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000000"/>
          <w:sz w:val="36"/>
          <w:szCs w:val="36"/>
        </w:rPr>
      </w:pPr>
    </w:p>
    <w:p>
      <w:pPr>
        <w:rPr>
          <w:rFonts w:hint="default" w:ascii="Times New Roman" w:hAnsi="Times New Roman" w:eastAsia="仿宋_GB2312" w:cs="Times New Roman"/>
          <w:color w:val="000000"/>
          <w:sz w:val="36"/>
          <w:szCs w:val="36"/>
        </w:rPr>
      </w:pPr>
    </w:p>
    <w:p>
      <w:pPr>
        <w:rPr>
          <w:rFonts w:hint="default" w:ascii="Times New Roman" w:hAnsi="Times New Roman" w:eastAsia="仿宋_GB2312" w:cs="Times New Roman"/>
          <w:color w:val="000000"/>
          <w:sz w:val="36"/>
          <w:szCs w:val="36"/>
        </w:rPr>
      </w:pPr>
    </w:p>
    <w:p>
      <w:pPr>
        <w:rPr>
          <w:rFonts w:hint="default" w:ascii="Times New Roman" w:hAnsi="Times New Roman" w:eastAsia="仿宋_GB2312" w:cs="Times New Roman"/>
          <w:color w:val="000000"/>
          <w:sz w:val="36"/>
          <w:szCs w:val="36"/>
        </w:rPr>
      </w:pPr>
    </w:p>
    <w:p>
      <w:pPr>
        <w:rPr>
          <w:rFonts w:hint="default" w:ascii="Times New Roman" w:hAnsi="Times New Roman" w:eastAsia="仿宋_GB2312" w:cs="Times New Roman"/>
          <w:color w:val="000000"/>
          <w:sz w:val="36"/>
          <w:szCs w:val="36"/>
        </w:rPr>
      </w:pPr>
    </w:p>
    <w:p>
      <w:pPr>
        <w:adjustRightInd w:val="0"/>
        <w:snapToGrid w:val="0"/>
        <w:jc w:val="center"/>
        <w:outlineLvl w:val="0"/>
        <w:rPr>
          <w:rFonts w:hint="default" w:ascii="Times New Roman" w:hAnsi="Times New Roman" w:eastAsia="方正小标宋_GBK" w:cs="Times New Roman"/>
          <w:bCs/>
          <w:color w:val="000000"/>
          <w:sz w:val="72"/>
          <w:szCs w:val="72"/>
        </w:rPr>
      </w:pPr>
      <w:r>
        <w:rPr>
          <w:rFonts w:hint="default" w:ascii="Times New Roman" w:hAnsi="Times New Roman" w:eastAsia="方正小标宋_GBK" w:cs="Times New Roman"/>
          <w:bCs/>
          <w:color w:val="000000"/>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000000"/>
          <w:sz w:val="48"/>
          <w:szCs w:val="48"/>
        </w:rPr>
      </w:pPr>
      <w:r>
        <w:rPr>
          <w:rFonts w:hint="default" w:ascii="Times New Roman" w:hAnsi="Times New Roman" w:eastAsia="楷体_GB2312" w:cs="Times New Roman"/>
          <w:bCs/>
          <w:color w:val="000000"/>
          <w:sz w:val="48"/>
          <w:szCs w:val="48"/>
        </w:rPr>
        <w:t>（污染影响类）</w:t>
      </w:r>
    </w:p>
    <w:p>
      <w:pPr>
        <w:jc w:val="center"/>
        <w:rPr>
          <w:rFonts w:hint="default" w:ascii="Times New Roman" w:hAnsi="Times New Roman" w:eastAsia="华文仿宋" w:cs="Times New Roman"/>
          <w:color w:val="000000"/>
          <w:kern w:val="44"/>
          <w:sz w:val="44"/>
          <w:szCs w:val="44"/>
        </w:rPr>
      </w:pPr>
    </w:p>
    <w:p>
      <w:pPr>
        <w:jc w:val="center"/>
        <w:rPr>
          <w:rFonts w:hint="default" w:ascii="Times New Roman" w:hAnsi="Times New Roman" w:eastAsia="仿宋" w:cs="Times New Roman"/>
          <w:color w:val="000000"/>
          <w:sz w:val="52"/>
          <w:szCs w:val="52"/>
        </w:rPr>
      </w:pPr>
    </w:p>
    <w:p>
      <w:pPr>
        <w:ind w:firstLine="1040"/>
        <w:rPr>
          <w:rFonts w:hint="default" w:ascii="Times New Roman" w:hAnsi="Times New Roman" w:eastAsia="仿宋" w:cs="Times New Roman"/>
          <w:color w:val="000000"/>
          <w:sz w:val="44"/>
          <w:szCs w:val="44"/>
        </w:rPr>
      </w:pPr>
    </w:p>
    <w:p>
      <w:pPr>
        <w:pStyle w:val="2"/>
        <w:rPr>
          <w:rFonts w:hint="default" w:ascii="Times New Roman" w:hAnsi="Times New Roman" w:cs="Times New Roman"/>
        </w:rPr>
      </w:pPr>
    </w:p>
    <w:p>
      <w:pPr>
        <w:adjustRightInd w:val="0"/>
        <w:snapToGrid w:val="0"/>
        <w:spacing w:line="360" w:lineRule="auto"/>
        <w:rPr>
          <w:rFonts w:hint="default" w:ascii="Times New Roman" w:hAnsi="Times New Roman" w:eastAsia="仿宋_GB2312" w:cs="Times New Roman"/>
          <w:color w:val="000000"/>
          <w:sz w:val="36"/>
          <w:szCs w:val="36"/>
        </w:rPr>
      </w:pPr>
    </w:p>
    <w:p>
      <w:pPr>
        <w:adjustRightInd w:val="0"/>
        <w:snapToGrid w:val="0"/>
        <w:spacing w:line="360" w:lineRule="auto"/>
        <w:rPr>
          <w:rFonts w:hint="default" w:ascii="Times New Roman" w:hAnsi="Times New Roman" w:cs="Times New Roman"/>
          <w:color w:val="000000"/>
          <w:sz w:val="36"/>
          <w:szCs w:val="36"/>
          <w:u w:val="single"/>
        </w:rPr>
      </w:pPr>
      <w:r>
        <w:rPr>
          <w:rFonts w:hint="default" w:ascii="Times New Roman" w:hAnsi="Times New Roman" w:cs="Times New Roman"/>
          <w:color w:val="000000"/>
          <w:sz w:val="36"/>
          <w:szCs w:val="36"/>
        </w:rPr>
        <w:t>项目名称：</w:t>
      </w:r>
      <w:r>
        <w:rPr>
          <w:rFonts w:hint="default" w:ascii="Times New Roman" w:hAnsi="Times New Roman" w:cs="Times New Roman"/>
          <w:color w:val="000000"/>
          <w:sz w:val="36"/>
          <w:szCs w:val="36"/>
          <w:u w:val="single"/>
        </w:rPr>
        <w:t xml:space="preserve">    年产5000套数控机床设备生产项目       </w:t>
      </w:r>
    </w:p>
    <w:p>
      <w:pPr>
        <w:adjustRightInd w:val="0"/>
        <w:snapToGrid w:val="0"/>
        <w:spacing w:line="360" w:lineRule="auto"/>
        <w:rPr>
          <w:rFonts w:hint="default" w:ascii="Times New Roman" w:hAnsi="Times New Roman" w:cs="Times New Roman"/>
          <w:color w:val="000000"/>
          <w:sz w:val="36"/>
          <w:szCs w:val="36"/>
        </w:rPr>
      </w:pPr>
      <w:r>
        <w:rPr>
          <w:rFonts w:hint="default" w:ascii="Times New Roman" w:hAnsi="Times New Roman" w:cs="Times New Roman"/>
          <w:color w:val="000000"/>
          <w:sz w:val="36"/>
          <w:szCs w:val="36"/>
        </w:rPr>
        <w:t>建设单位（盖章）：</w:t>
      </w:r>
      <w:r>
        <w:rPr>
          <w:rFonts w:hint="default" w:ascii="Times New Roman" w:hAnsi="Times New Roman" w:cs="Times New Roman"/>
          <w:color w:val="000000"/>
          <w:sz w:val="36"/>
          <w:szCs w:val="36"/>
          <w:u w:val="single"/>
        </w:rPr>
        <w:t xml:space="preserve">  江苏斯伯特智能装备有限公司     </w:t>
      </w:r>
    </w:p>
    <w:p>
      <w:pPr>
        <w:adjustRightInd w:val="0"/>
        <w:snapToGrid w:val="0"/>
        <w:spacing w:line="360" w:lineRule="auto"/>
        <w:rPr>
          <w:rFonts w:hint="default" w:ascii="Times New Roman" w:hAnsi="Times New Roman" w:eastAsia="仿宋_GB2312" w:cs="Times New Roman"/>
          <w:color w:val="000000"/>
          <w:sz w:val="36"/>
          <w:szCs w:val="36"/>
          <w:u w:val="single"/>
        </w:rPr>
      </w:pPr>
      <w:r>
        <w:rPr>
          <w:rFonts w:hint="default" w:ascii="Times New Roman" w:hAnsi="Times New Roman" w:cs="Times New Roman"/>
          <w:color w:val="000000"/>
          <w:sz w:val="36"/>
          <w:szCs w:val="36"/>
        </w:rPr>
        <w:t>编制日期：</w:t>
      </w:r>
      <w:r>
        <w:rPr>
          <w:rFonts w:hint="default" w:ascii="Times New Roman" w:hAnsi="Times New Roman" w:cs="Times New Roman"/>
          <w:color w:val="000000"/>
          <w:sz w:val="36"/>
          <w:szCs w:val="36"/>
          <w:u w:val="single"/>
        </w:rPr>
        <w:t xml:space="preserve">               202</w:t>
      </w:r>
      <w:r>
        <w:rPr>
          <w:rFonts w:hint="default" w:ascii="Times New Roman" w:hAnsi="Times New Roman" w:cs="Times New Roman"/>
          <w:color w:val="000000"/>
          <w:sz w:val="36"/>
          <w:szCs w:val="36"/>
          <w:u w:val="single"/>
          <w:lang w:val="en-US" w:eastAsia="zh-CN"/>
        </w:rPr>
        <w:t>6</w:t>
      </w:r>
      <w:r>
        <w:rPr>
          <w:rFonts w:hint="default" w:ascii="Times New Roman" w:hAnsi="Times New Roman" w:cs="Times New Roman"/>
          <w:color w:val="000000"/>
          <w:sz w:val="36"/>
          <w:szCs w:val="36"/>
          <w:u w:val="single"/>
        </w:rPr>
        <w:t>年</w:t>
      </w:r>
      <w:r>
        <w:rPr>
          <w:rFonts w:hint="default" w:ascii="Times New Roman" w:hAnsi="Times New Roman" w:cs="Times New Roman"/>
          <w:color w:val="000000"/>
          <w:sz w:val="36"/>
          <w:szCs w:val="36"/>
          <w:u w:val="single"/>
          <w:lang w:val="en-US" w:eastAsia="zh-CN"/>
        </w:rPr>
        <w:t>2</w:t>
      </w:r>
      <w:r>
        <w:rPr>
          <w:rFonts w:hint="default" w:ascii="Times New Roman" w:hAnsi="Times New Roman" w:cs="Times New Roman"/>
          <w:color w:val="000000"/>
          <w:sz w:val="36"/>
          <w:szCs w:val="36"/>
          <w:u w:val="single"/>
        </w:rPr>
        <w:t xml:space="preserve">月     </w:t>
      </w:r>
      <w:r>
        <w:rPr>
          <w:rFonts w:hint="default" w:ascii="Times New Roman" w:hAnsi="Times New Roman" w:eastAsia="仿宋_GB2312" w:cs="Times New Roman"/>
          <w:color w:val="000000"/>
          <w:sz w:val="36"/>
          <w:szCs w:val="36"/>
          <w:u w:val="single"/>
        </w:rPr>
        <w:t xml:space="preserve">         </w:t>
      </w:r>
    </w:p>
    <w:p>
      <w:pPr>
        <w:adjustRightInd w:val="0"/>
        <w:snapToGrid w:val="0"/>
        <w:spacing w:line="288" w:lineRule="auto"/>
        <w:ind w:firstLine="1040"/>
        <w:rPr>
          <w:rFonts w:hint="default" w:ascii="Times New Roman" w:hAnsi="Times New Roman" w:eastAsia="仿宋_GB2312" w:cs="Times New Roman"/>
          <w:color w:val="000000"/>
          <w:sz w:val="36"/>
          <w:szCs w:val="36"/>
        </w:rPr>
      </w:pPr>
      <w:bookmarkStart w:id="0" w:name="_Hlk57884087"/>
    </w:p>
    <w:p>
      <w:pPr>
        <w:adjustRightInd w:val="0"/>
        <w:snapToGrid w:val="0"/>
        <w:spacing w:line="288" w:lineRule="auto"/>
        <w:ind w:firstLine="1040"/>
        <w:rPr>
          <w:rFonts w:hint="default" w:ascii="Times New Roman" w:hAnsi="Times New Roman" w:eastAsia="仿宋_GB2312" w:cs="Times New Roman"/>
          <w:color w:val="000000"/>
          <w:sz w:val="36"/>
          <w:szCs w:val="36"/>
        </w:rPr>
      </w:pPr>
    </w:p>
    <w:p>
      <w:pPr>
        <w:adjustRightInd w:val="0"/>
        <w:snapToGrid w:val="0"/>
        <w:spacing w:line="288" w:lineRule="auto"/>
        <w:ind w:firstLine="1040"/>
        <w:rPr>
          <w:rFonts w:hint="default" w:ascii="Times New Roman" w:hAnsi="Times New Roman" w:eastAsia="仿宋_GB2312" w:cs="Times New Roman"/>
          <w:color w:val="000000"/>
          <w:sz w:val="36"/>
          <w:szCs w:val="36"/>
        </w:rPr>
      </w:pPr>
    </w:p>
    <w:p>
      <w:pPr>
        <w:adjustRightInd w:val="0"/>
        <w:snapToGrid w:val="0"/>
        <w:spacing w:line="288" w:lineRule="auto"/>
        <w:ind w:firstLine="1040"/>
        <w:rPr>
          <w:rFonts w:hint="default" w:ascii="Times New Roman" w:hAnsi="Times New Roman" w:eastAsia="仿宋_GB2312" w:cs="Times New Roman"/>
          <w:color w:val="000000"/>
          <w:sz w:val="36"/>
          <w:szCs w:val="36"/>
        </w:rPr>
      </w:pPr>
    </w:p>
    <w:bookmarkEnd w:id="0"/>
    <w:p>
      <w:pPr>
        <w:adjustRightInd w:val="0"/>
        <w:snapToGrid w:val="0"/>
        <w:spacing w:line="288" w:lineRule="auto"/>
        <w:jc w:val="center"/>
        <w:rPr>
          <w:rFonts w:hint="default" w:ascii="Times New Roman" w:hAnsi="Times New Roman" w:eastAsia="楷体_GB2312" w:cs="Times New Roman"/>
          <w:color w:val="00000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eastAsia="楷体_GB2312" w:cs="Times New Roman"/>
          <w:color w:val="000000"/>
          <w:sz w:val="36"/>
          <w:szCs w:val="36"/>
        </w:rPr>
        <w:t>中华人民共和国生态环境部制</w:t>
      </w:r>
    </w:p>
    <w:p>
      <w:pPr>
        <w:adjustRightInd w:val="0"/>
        <w:snapToGrid w:val="0"/>
        <w:spacing w:line="288" w:lineRule="auto"/>
        <w:jc w:val="center"/>
        <w:rPr>
          <w:rFonts w:hint="default" w:ascii="Times New Roman" w:hAnsi="Times New Roman" w:eastAsia="楷体_GB2312" w:cs="Times New Roman"/>
          <w:color w:val="00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附图1：项目地理位置图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附图2：项目周边500米土地使用状况图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附图3：如皋市生态管控区域示意图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附图4：厂区总平图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附图5：建设项目厂区平面布置图</w:t>
      </w:r>
    </w:p>
    <w:p>
      <w:pPr>
        <w:adjustRightInd w:val="0"/>
        <w:snapToGrid w:val="0"/>
        <w:spacing w:line="360" w:lineRule="auto"/>
        <w:jc w:val="left"/>
        <w:rPr>
          <w:rFonts w:hint="eastAsia" w:ascii="Times New Roman" w:hAnsi="Times New Roman" w:eastAsia="宋体" w:cs="Times New Roman"/>
          <w:color w:val="000000"/>
          <w:sz w:val="24"/>
          <w:lang w:eastAsia="zh-CN"/>
        </w:rPr>
      </w:pPr>
      <w:r>
        <w:rPr>
          <w:rFonts w:hint="default" w:ascii="Times New Roman" w:hAnsi="Times New Roman" w:cs="Times New Roman"/>
          <w:color w:val="000000"/>
          <w:sz w:val="24"/>
        </w:rPr>
        <w:t>附图6：</w:t>
      </w:r>
      <w:r>
        <w:rPr>
          <w:rFonts w:hint="eastAsia" w:cs="Times New Roman"/>
          <w:color w:val="000000"/>
          <w:sz w:val="24"/>
          <w:lang w:val="en-US" w:eastAsia="zh-CN"/>
        </w:rPr>
        <w:t>分区防渗图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附图7：国土空间规划图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附图8：周边水系图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附图9：声功能规划图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附图10：分区管控查询图</w:t>
      </w:r>
    </w:p>
    <w:p>
      <w:pPr>
        <w:adjustRightInd w:val="0"/>
        <w:snapToGrid w:val="0"/>
        <w:spacing w:line="360" w:lineRule="auto"/>
        <w:jc w:val="left"/>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附图11：基本信息底图（5公里范围大气环境敏感目标分布图）</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附件1 环评委托书</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附件2 环评技术合同</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附件3 备案证</w:t>
      </w:r>
    </w:p>
    <w:p>
      <w:pPr>
        <w:adjustRightInd w:val="0"/>
        <w:snapToGrid w:val="0"/>
        <w:spacing w:line="360" w:lineRule="auto"/>
        <w:jc w:val="left"/>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rPr>
        <w:t>附件4 用地手续</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附件5 声明</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附件6 营业执照</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附件7 法人身份证</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附件8 物料MSDS</w:t>
      </w:r>
    </w:p>
    <w:p>
      <w:pPr>
        <w:adjustRightInd w:val="0"/>
        <w:snapToGrid w:val="0"/>
        <w:spacing w:line="360" w:lineRule="auto"/>
        <w:jc w:val="left"/>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 xml:space="preserve">附件9 </w:t>
      </w:r>
      <w:r>
        <w:rPr>
          <w:rFonts w:hint="default" w:ascii="Times New Roman" w:hAnsi="Times New Roman" w:cs="Times New Roman"/>
          <w:color w:val="000000"/>
          <w:sz w:val="24"/>
          <w:lang w:val="en-US" w:eastAsia="zh-CN"/>
        </w:rPr>
        <w:t>物料VOCs检测报告</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附件10 江苏省生态环境分区管控综合查询报告书</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rPr>
        <w:t>附件11 通榆河三十七条等复函</w:t>
      </w:r>
    </w:p>
    <w:p>
      <w:pPr>
        <w:adjustRightInd w:val="0"/>
        <w:snapToGrid w:val="0"/>
        <w:spacing w:line="360" w:lineRule="auto"/>
        <w:jc w:val="left"/>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rPr>
        <w:t>附件1</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 xml:space="preserve"> </w:t>
      </w:r>
      <w:r>
        <w:rPr>
          <w:rFonts w:hint="default" w:ascii="Times New Roman" w:hAnsi="Times New Roman" w:cs="Times New Roman"/>
          <w:color w:val="000000"/>
          <w:sz w:val="24"/>
          <w:lang w:val="en-US" w:eastAsia="zh-CN"/>
        </w:rPr>
        <w:t>本底检测报告</w:t>
      </w:r>
    </w:p>
    <w:p>
      <w:pPr>
        <w:adjustRightInd w:val="0"/>
        <w:snapToGrid w:val="0"/>
        <w:spacing w:line="360" w:lineRule="auto"/>
        <w:jc w:val="left"/>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附件1</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 xml:space="preserve"> </w:t>
      </w:r>
      <w:r>
        <w:rPr>
          <w:rFonts w:hint="default" w:ascii="Times New Roman" w:hAnsi="Times New Roman" w:cs="Times New Roman"/>
          <w:color w:val="000000"/>
          <w:sz w:val="24"/>
          <w:lang w:val="en-US" w:eastAsia="zh-CN"/>
        </w:rPr>
        <w:t>油漆不可替代说明</w:t>
      </w:r>
    </w:p>
    <w:p>
      <w:pPr>
        <w:adjustRightInd w:val="0"/>
        <w:snapToGrid w:val="0"/>
        <w:spacing w:line="360" w:lineRule="auto"/>
        <w:jc w:val="left"/>
        <w:rPr>
          <w:rFonts w:hint="default" w:ascii="Times New Roman" w:hAnsi="Times New Roman" w:cs="Times New Roman"/>
          <w:color w:val="000000"/>
          <w:sz w:val="24"/>
          <w:lang w:val="en-US" w:eastAsia="zh-CN"/>
        </w:rPr>
      </w:pPr>
      <w:r>
        <w:rPr>
          <w:rFonts w:hint="eastAsia" w:cs="Times New Roman"/>
          <w:color w:val="000000"/>
          <w:sz w:val="24"/>
          <w:lang w:val="en-US" w:eastAsia="zh-CN"/>
        </w:rPr>
        <w:t>附件14 源强引用案例</w:t>
      </w:r>
    </w:p>
    <w:p>
      <w:pPr>
        <w:adjustRightInd w:val="0"/>
        <w:snapToGrid w:val="0"/>
        <w:spacing w:line="360" w:lineRule="auto"/>
        <w:jc w:val="left"/>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附件1</w:t>
      </w:r>
      <w:r>
        <w:rPr>
          <w:rFonts w:hint="eastAsia" w:cs="Times New Roman"/>
          <w:color w:val="000000"/>
          <w:sz w:val="24"/>
          <w:lang w:val="en-US" w:eastAsia="zh-CN"/>
        </w:rPr>
        <w:t>5</w:t>
      </w:r>
      <w:r>
        <w:rPr>
          <w:rFonts w:hint="default" w:ascii="Times New Roman" w:hAnsi="Times New Roman" w:cs="Times New Roman"/>
          <w:color w:val="000000"/>
          <w:sz w:val="24"/>
          <w:lang w:val="en-US" w:eastAsia="zh-CN"/>
        </w:rPr>
        <w:t xml:space="preserve"> </w:t>
      </w:r>
      <w:r>
        <w:rPr>
          <w:rFonts w:hint="default" w:ascii="Times New Roman" w:hAnsi="Times New Roman" w:cs="Times New Roman"/>
          <w:color w:val="000000"/>
          <w:sz w:val="24"/>
        </w:rPr>
        <w:t>建设单位承诺书</w:t>
      </w:r>
    </w:p>
    <w:p>
      <w:pPr>
        <w:adjustRightInd w:val="0"/>
        <w:snapToGrid w:val="0"/>
        <w:spacing w:line="360" w:lineRule="auto"/>
        <w:jc w:val="left"/>
        <w:rPr>
          <w:rFonts w:hint="default" w:ascii="Times New Roman" w:hAnsi="Times New Roman" w:cs="Times New Roman"/>
          <w:color w:val="000000"/>
          <w:sz w:val="24"/>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default" w:ascii="Times New Roman" w:hAnsi="Times New Roman" w:cs="Times New Roman"/>
          <w:color w:val="000000"/>
          <w:sz w:val="24"/>
        </w:rPr>
        <w:t>附件1</w:t>
      </w:r>
      <w:r>
        <w:rPr>
          <w:rFonts w:hint="eastAsia" w:cs="Times New Roman"/>
          <w:color w:val="000000"/>
          <w:sz w:val="24"/>
          <w:lang w:val="en-US" w:eastAsia="zh-CN"/>
        </w:rPr>
        <w:t>6</w:t>
      </w:r>
      <w:r>
        <w:rPr>
          <w:rFonts w:hint="default" w:ascii="Times New Roman" w:hAnsi="Times New Roman" w:cs="Times New Roman"/>
          <w:color w:val="000000"/>
          <w:sz w:val="24"/>
        </w:rPr>
        <w:t xml:space="preserve"> 环评自主公示截图</w:t>
      </w: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58"/>
        <w:gridCol w:w="2429"/>
        <w:gridCol w:w="2172"/>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建设项目名称</w:t>
            </w:r>
          </w:p>
        </w:tc>
        <w:tc>
          <w:tcPr>
            <w:tcW w:w="7712" w:type="dxa"/>
            <w:gridSpan w:val="3"/>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年产5000套数控机床设备生产项目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项目代码</w:t>
            </w:r>
          </w:p>
        </w:tc>
        <w:tc>
          <w:tcPr>
            <w:tcW w:w="7712" w:type="dxa"/>
            <w:gridSpan w:val="3"/>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2505-320682-89-05-912276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建设单位联系人</w:t>
            </w:r>
          </w:p>
        </w:tc>
        <w:tc>
          <w:tcPr>
            <w:tcW w:w="242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 xml:space="preserve"> </w:t>
            </w:r>
          </w:p>
        </w:tc>
        <w:tc>
          <w:tcPr>
            <w:tcW w:w="2172"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联系方式</w:t>
            </w:r>
          </w:p>
        </w:tc>
        <w:tc>
          <w:tcPr>
            <w:tcW w:w="3111" w:type="dxa"/>
            <w:vAlign w:val="center"/>
          </w:tcPr>
          <w:p>
            <w:pPr>
              <w:adjustRightInd w:val="0"/>
              <w:snapToGrid w:val="0"/>
              <w:jc w:val="both"/>
              <w:rPr>
                <w:rFonts w:hint="default" w:ascii="Times New Roman" w:hAnsi="Times New Roman" w:cs="Times New Roman"/>
                <w:color w:val="000000"/>
                <w:sz w:val="24"/>
              </w:rPr>
            </w:pPr>
            <w:bookmarkStart w:id="13" w:name="_GoBack"/>
            <w:bookmarkEnd w:id="1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建设地点</w:t>
            </w:r>
          </w:p>
        </w:tc>
        <w:tc>
          <w:tcPr>
            <w:tcW w:w="7712" w:type="dxa"/>
            <w:gridSpan w:val="3"/>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江苏省南通市如皋市搬经镇搬经社区10组、19组、村集体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地理坐标</w:t>
            </w:r>
          </w:p>
        </w:tc>
        <w:tc>
          <w:tcPr>
            <w:tcW w:w="7712" w:type="dxa"/>
            <w:gridSpan w:val="3"/>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（东经：120度24分22.583秒，北纬：32度19分4.007秒）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国民经济</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行业类别</w:t>
            </w:r>
          </w:p>
        </w:tc>
        <w:tc>
          <w:tcPr>
            <w:tcW w:w="242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〔C3421〕金属切削机床制造</w:t>
            </w:r>
          </w:p>
        </w:tc>
        <w:tc>
          <w:tcPr>
            <w:tcW w:w="2172" w:type="dxa"/>
            <w:vAlign w:val="center"/>
          </w:tcPr>
          <w:p>
            <w:pPr>
              <w:adjustRightInd w:val="0"/>
              <w:snapToGrid w:val="0"/>
              <w:jc w:val="center"/>
              <w:rPr>
                <w:rFonts w:hint="default" w:ascii="Times New Roman" w:hAnsi="Times New Roman" w:cs="Times New Roman"/>
                <w:b/>
                <w:bCs/>
                <w:color w:val="000000"/>
                <w:sz w:val="24"/>
              </w:rPr>
            </w:pPr>
            <w:bookmarkStart w:id="1" w:name="_Hlk49843745"/>
            <w:r>
              <w:rPr>
                <w:rFonts w:hint="default" w:ascii="Times New Roman" w:hAnsi="Times New Roman" w:cs="Times New Roman"/>
                <w:b/>
                <w:bCs/>
                <w:color w:val="000000"/>
                <w:sz w:val="24"/>
              </w:rPr>
              <w:t>建设项目</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行业类别</w:t>
            </w:r>
            <w:bookmarkEnd w:id="1"/>
          </w:p>
        </w:tc>
        <w:tc>
          <w:tcPr>
            <w:tcW w:w="3111"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三十一、通用设备制造业34金属加工机械制造342中“其他（仅分割、焊接、组装的除外；年用非溶剂型低VOCs含量涂料10吨以下的除外）”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建设性质</w:t>
            </w:r>
          </w:p>
        </w:tc>
        <w:tc>
          <w:tcPr>
            <w:tcW w:w="2429" w:type="dxa"/>
            <w:vAlign w:val="center"/>
          </w:tcPr>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52"/>
            </w:r>
            <w:r>
              <w:rPr>
                <w:rFonts w:hint="default" w:ascii="Times New Roman" w:hAnsi="Times New Roman" w:cs="Times New Roman"/>
                <w:color w:val="000000"/>
                <w:sz w:val="24"/>
              </w:rPr>
              <w:t>新建（迁建）</w:t>
            </w:r>
          </w:p>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改建</w:t>
            </w:r>
          </w:p>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扩建</w:t>
            </w:r>
          </w:p>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技术改造</w:t>
            </w:r>
          </w:p>
        </w:tc>
        <w:tc>
          <w:tcPr>
            <w:tcW w:w="2172"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建设项目</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申报情形</w:t>
            </w:r>
          </w:p>
        </w:tc>
        <w:tc>
          <w:tcPr>
            <w:tcW w:w="3111" w:type="dxa"/>
            <w:vAlign w:val="center"/>
          </w:tcPr>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52"/>
            </w:r>
            <w:r>
              <w:rPr>
                <w:rFonts w:hint="default" w:ascii="Times New Roman" w:hAnsi="Times New Roman" w:cs="Times New Roman"/>
                <w:color w:val="000000"/>
                <w:sz w:val="24"/>
              </w:rPr>
              <w:t xml:space="preserve">首次申报项目             </w:t>
            </w:r>
          </w:p>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不予批准后再次申报项目</w:t>
            </w:r>
          </w:p>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 xml:space="preserve">超五年重新审核项目     </w:t>
            </w:r>
          </w:p>
          <w:p>
            <w:pPr>
              <w:jc w:val="left"/>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项目审批（核准/</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备案）部门（选填）</w:t>
            </w:r>
          </w:p>
        </w:tc>
        <w:tc>
          <w:tcPr>
            <w:tcW w:w="242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如皋市数据局</w:t>
            </w:r>
          </w:p>
        </w:tc>
        <w:tc>
          <w:tcPr>
            <w:tcW w:w="2172"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项目审批（核准/</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备案）文号（选填）</w:t>
            </w:r>
          </w:p>
        </w:tc>
        <w:tc>
          <w:tcPr>
            <w:tcW w:w="3111"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皋数据备〔2025〕847号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总投资（万元）</w:t>
            </w:r>
          </w:p>
        </w:tc>
        <w:tc>
          <w:tcPr>
            <w:tcW w:w="242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30000</w:t>
            </w:r>
          </w:p>
        </w:tc>
        <w:tc>
          <w:tcPr>
            <w:tcW w:w="2172"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环保投资（万元）</w:t>
            </w:r>
          </w:p>
        </w:tc>
        <w:tc>
          <w:tcPr>
            <w:tcW w:w="3111"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环保投资占比（%）</w:t>
            </w:r>
          </w:p>
        </w:tc>
        <w:tc>
          <w:tcPr>
            <w:tcW w:w="242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0.83</w:t>
            </w:r>
          </w:p>
        </w:tc>
        <w:tc>
          <w:tcPr>
            <w:tcW w:w="2172"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施工工期</w:t>
            </w:r>
          </w:p>
        </w:tc>
        <w:tc>
          <w:tcPr>
            <w:tcW w:w="3111"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是否开工建设</w:t>
            </w:r>
          </w:p>
        </w:tc>
        <w:tc>
          <w:tcPr>
            <w:tcW w:w="2429" w:type="dxa"/>
            <w:vAlign w:val="center"/>
          </w:tcPr>
          <w:p>
            <w:pPr>
              <w:adjustRightInd w:val="0"/>
              <w:snapToGrid w:val="0"/>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52"/>
            </w:r>
            <w:r>
              <w:rPr>
                <w:rFonts w:hint="default" w:ascii="Times New Roman" w:hAnsi="Times New Roman" w:cs="Times New Roman"/>
                <w:color w:val="000000"/>
                <w:sz w:val="24"/>
              </w:rPr>
              <w:t>否</w:t>
            </w:r>
          </w:p>
          <w:p>
            <w:pPr>
              <w:adjustRightInd w:val="0"/>
              <w:snapToGrid w:val="0"/>
              <w:rPr>
                <w:rFonts w:hint="default" w:ascii="Times New Roman" w:hAnsi="Times New Roman" w:cs="Times New Roman"/>
                <w:color w:val="000000"/>
                <w:sz w:val="24"/>
              </w:rPr>
            </w:pPr>
            <w:r>
              <w:rPr>
                <w:rFonts w:hint="default" w:ascii="Times New Roman" w:hAnsi="Times New Roman" w:cs="Times New Roman"/>
                <w:color w:val="000000"/>
                <w:sz w:val="24"/>
              </w:rPr>
              <w:sym w:font="Wingdings 2" w:char="00A3"/>
            </w:r>
            <w:r>
              <w:rPr>
                <w:rFonts w:hint="default" w:ascii="Times New Roman" w:hAnsi="Times New Roman" w:cs="Times New Roman"/>
                <w:color w:val="000000"/>
                <w:sz w:val="24"/>
              </w:rPr>
              <w:t>是：</w:t>
            </w:r>
            <w:r>
              <w:rPr>
                <w:rFonts w:hint="default" w:ascii="Times New Roman" w:hAnsi="Times New Roman" w:cs="Times New Roman"/>
                <w:color w:val="000000"/>
                <w:sz w:val="24"/>
                <w:u w:val="single"/>
              </w:rPr>
              <w:t xml:space="preserve">             </w:t>
            </w:r>
          </w:p>
        </w:tc>
        <w:tc>
          <w:tcPr>
            <w:tcW w:w="2172" w:type="dxa"/>
            <w:tcMar>
              <w:top w:w="16" w:type="dxa"/>
              <w:left w:w="16" w:type="dxa"/>
              <w:right w:w="16" w:type="dxa"/>
            </w:tcMar>
            <w:vAlign w:val="center"/>
          </w:tcPr>
          <w:p>
            <w:pPr>
              <w:adjustRightInd w:val="0"/>
              <w:snapToGrid w:val="0"/>
              <w:jc w:val="center"/>
              <w:rPr>
                <w:rFonts w:hint="default" w:ascii="Times New Roman" w:hAnsi="Times New Roman" w:cs="Times New Roman"/>
                <w:b/>
                <w:bCs/>
                <w:color w:val="000000"/>
                <w:spacing w:val="-6"/>
                <w:sz w:val="24"/>
              </w:rPr>
            </w:pPr>
            <w:r>
              <w:rPr>
                <w:rFonts w:hint="default" w:ascii="Times New Roman" w:hAnsi="Times New Roman" w:cs="Times New Roman"/>
                <w:b/>
                <w:bCs/>
                <w:color w:val="000000"/>
                <w:spacing w:val="-6"/>
                <w:sz w:val="24"/>
              </w:rPr>
              <w:t>用地（用海）</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pacing w:val="-6"/>
                <w:sz w:val="24"/>
              </w:rPr>
              <w:t>面积（m</w:t>
            </w:r>
            <w:r>
              <w:rPr>
                <w:rFonts w:hint="default" w:ascii="Times New Roman" w:hAnsi="Times New Roman" w:cs="Times New Roman"/>
                <w:b/>
                <w:bCs/>
                <w:color w:val="000000"/>
                <w:spacing w:val="-6"/>
                <w:sz w:val="24"/>
                <w:vertAlign w:val="superscript"/>
              </w:rPr>
              <w:t>2</w:t>
            </w:r>
            <w:r>
              <w:rPr>
                <w:rFonts w:hint="default" w:ascii="Times New Roman" w:hAnsi="Times New Roman" w:cs="Times New Roman"/>
                <w:b/>
                <w:bCs/>
                <w:color w:val="000000"/>
                <w:spacing w:val="-6"/>
                <w:sz w:val="24"/>
              </w:rPr>
              <w:t>）</w:t>
            </w:r>
          </w:p>
        </w:tc>
        <w:tc>
          <w:tcPr>
            <w:tcW w:w="3111"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35892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vAlign w:val="center"/>
          </w:tcPr>
          <w:p>
            <w:pPr>
              <w:autoSpaceDE w:val="0"/>
              <w:autoSpaceDN w:val="0"/>
              <w:adjustRightInd w:val="0"/>
              <w:snapToGrid w:val="0"/>
              <w:jc w:val="center"/>
              <w:rPr>
                <w:rFonts w:hint="default" w:ascii="Times New Roman" w:hAnsi="Times New Roman" w:cs="Times New Roman"/>
                <w:b/>
                <w:bCs/>
                <w:color w:val="000000"/>
                <w:kern w:val="0"/>
                <w:sz w:val="24"/>
              </w:rPr>
            </w:pPr>
            <w:r>
              <w:rPr>
                <w:rFonts w:hint="default" w:ascii="Times New Roman" w:hAnsi="Times New Roman" w:cs="Times New Roman"/>
                <w:b/>
                <w:bCs/>
                <w:color w:val="000000"/>
                <w:kern w:val="0"/>
                <w:sz w:val="24"/>
              </w:rPr>
              <w:t>专项评价设置情况</w:t>
            </w:r>
          </w:p>
        </w:tc>
        <w:tc>
          <w:tcPr>
            <w:tcW w:w="7712" w:type="dxa"/>
            <w:gridSpan w:val="3"/>
            <w:vAlign w:val="center"/>
          </w:tcPr>
          <w:p>
            <w:pPr>
              <w:autoSpaceDE w:val="0"/>
              <w:autoSpaceDN w:val="0"/>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专项评价设置原则表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45"/>
              <w:gridCol w:w="4171"/>
              <w:gridCol w:w="1578"/>
              <w:gridCol w:w="77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32" w:type="pct"/>
                  <w:tcBorders>
                    <w:tl2br w:val="nil"/>
                    <w:tr2bl w:val="nil"/>
                  </w:tcBorders>
                  <w:vAlign w:val="center"/>
                </w:tcPr>
                <w:p>
                  <w:pPr>
                    <w:pStyle w:val="79"/>
                    <w:spacing w:line="240" w:lineRule="auto"/>
                    <w:ind w:firstLine="0" w:firstLineChars="0"/>
                    <w:rPr>
                      <w:rFonts w:hint="default" w:ascii="Times New Roman" w:hAnsi="Times New Roman" w:cs="Times New Roman"/>
                      <w:b/>
                      <w:color w:val="000000"/>
                    </w:rPr>
                  </w:pPr>
                  <w:r>
                    <w:rPr>
                      <w:rFonts w:hint="default" w:ascii="Times New Roman" w:hAnsi="Times New Roman" w:cs="Times New Roman"/>
                      <w:b/>
                      <w:color w:val="000000"/>
                    </w:rPr>
                    <w:t>专项评价的类别</w:t>
                  </w:r>
                </w:p>
              </w:tc>
              <w:tc>
                <w:tcPr>
                  <w:tcW w:w="2792" w:type="pct"/>
                  <w:tcBorders>
                    <w:tl2br w:val="nil"/>
                    <w:tr2bl w:val="nil"/>
                  </w:tcBorders>
                  <w:vAlign w:val="center"/>
                </w:tcPr>
                <w:p>
                  <w:pPr>
                    <w:pStyle w:val="79"/>
                    <w:spacing w:line="240" w:lineRule="auto"/>
                    <w:ind w:firstLine="0" w:firstLineChars="0"/>
                    <w:rPr>
                      <w:rFonts w:hint="default" w:ascii="Times New Roman" w:hAnsi="Times New Roman" w:cs="Times New Roman"/>
                      <w:b/>
                      <w:color w:val="000000"/>
                    </w:rPr>
                  </w:pPr>
                  <w:r>
                    <w:rPr>
                      <w:rFonts w:hint="default" w:ascii="Times New Roman" w:hAnsi="Times New Roman" w:cs="Times New Roman"/>
                      <w:b/>
                      <w:color w:val="000000"/>
                    </w:rPr>
                    <w:t>设置原则</w:t>
                  </w:r>
                </w:p>
              </w:tc>
              <w:tc>
                <w:tcPr>
                  <w:tcW w:w="1057" w:type="pct"/>
                  <w:tcBorders>
                    <w:tl2br w:val="nil"/>
                    <w:tr2bl w:val="nil"/>
                  </w:tcBorders>
                  <w:vAlign w:val="center"/>
                </w:tcPr>
                <w:p>
                  <w:pPr>
                    <w:pStyle w:val="79"/>
                    <w:spacing w:line="240" w:lineRule="auto"/>
                    <w:ind w:firstLine="0" w:firstLineChars="0"/>
                    <w:rPr>
                      <w:rFonts w:hint="default" w:ascii="Times New Roman" w:hAnsi="Times New Roman" w:cs="Times New Roman"/>
                      <w:b/>
                      <w:color w:val="000000"/>
                    </w:rPr>
                  </w:pPr>
                  <w:r>
                    <w:rPr>
                      <w:rFonts w:hint="default" w:ascii="Times New Roman" w:hAnsi="Times New Roman" w:cs="Times New Roman"/>
                      <w:b/>
                      <w:color w:val="000000"/>
                    </w:rPr>
                    <w:t>本项目情况</w:t>
                  </w:r>
                </w:p>
              </w:tc>
              <w:tc>
                <w:tcPr>
                  <w:tcW w:w="517" w:type="pct"/>
                  <w:tcBorders>
                    <w:tl2br w:val="nil"/>
                    <w:tr2bl w:val="nil"/>
                  </w:tcBorders>
                  <w:vAlign w:val="center"/>
                </w:tcPr>
                <w:p>
                  <w:pPr>
                    <w:pStyle w:val="79"/>
                    <w:spacing w:line="240" w:lineRule="auto"/>
                    <w:ind w:firstLine="0" w:firstLineChars="0"/>
                    <w:rPr>
                      <w:rFonts w:hint="default" w:ascii="Times New Roman" w:hAnsi="Times New Roman" w:cs="Times New Roman"/>
                      <w:b/>
                      <w:color w:val="000000"/>
                    </w:rPr>
                  </w:pPr>
                  <w:r>
                    <w:rPr>
                      <w:rFonts w:hint="default" w:ascii="Times New Roman" w:hAnsi="Times New Roman" w:cs="Times New Roman"/>
                      <w:b/>
                      <w:color w:val="000000"/>
                    </w:rPr>
                    <w:t>设置情况</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3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大气</w:t>
                  </w:r>
                </w:p>
              </w:tc>
              <w:tc>
                <w:tcPr>
                  <w:tcW w:w="279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spacing w:val="-7"/>
                    </w:rPr>
                    <w:t>排放废气含有毒有害污染物</w:t>
                  </w:r>
                  <w:r>
                    <w:rPr>
                      <w:rFonts w:hint="default" w:ascii="Times New Roman" w:hAnsi="Times New Roman" w:cs="Times New Roman"/>
                      <w:color w:val="000000"/>
                      <w:position w:val="7"/>
                    </w:rPr>
                    <w:t>1</w:t>
                  </w:r>
                  <w:r>
                    <w:rPr>
                      <w:rFonts w:hint="default" w:ascii="Times New Roman" w:hAnsi="Times New Roman" w:cs="Times New Roman"/>
                      <w:color w:val="000000"/>
                      <w:spacing w:val="-24"/>
                    </w:rPr>
                    <w:t>、二噁英、苯</w:t>
                  </w:r>
                  <w:r>
                    <w:rPr>
                      <w:rFonts w:hint="default" w:ascii="Times New Roman" w:hAnsi="Times New Roman" w:cs="Times New Roman"/>
                      <w:color w:val="000000"/>
                    </w:rPr>
                    <w:t>并</w:t>
                  </w:r>
                  <w:r>
                    <w:rPr>
                      <w:rFonts w:hint="default" w:ascii="Times New Roman" w:hAnsi="Times New Roman" w:cs="Times New Roman"/>
                      <w:color w:val="000000"/>
                      <w:spacing w:val="-5"/>
                    </w:rPr>
                    <w:t>[</w:t>
                  </w:r>
                  <w:r>
                    <w:rPr>
                      <w:rFonts w:hint="default" w:ascii="Times New Roman" w:hAnsi="Times New Roman" w:cs="Times New Roman"/>
                      <w:color w:val="000000"/>
                    </w:rPr>
                    <w:t>a</w:t>
                  </w:r>
                  <w:r>
                    <w:rPr>
                      <w:rFonts w:hint="default" w:ascii="Times New Roman" w:hAnsi="Times New Roman" w:cs="Times New Roman"/>
                      <w:color w:val="000000"/>
                      <w:spacing w:val="-6"/>
                    </w:rPr>
                    <w:t>]</w:t>
                  </w:r>
                  <w:r>
                    <w:rPr>
                      <w:rFonts w:hint="default" w:ascii="Times New Roman" w:hAnsi="Times New Roman" w:cs="Times New Roman"/>
                      <w:color w:val="000000"/>
                      <w:spacing w:val="-13"/>
                    </w:rPr>
                    <w:t>芘、氰化物、氯气且厂界外</w:t>
                  </w:r>
                  <w:r>
                    <w:rPr>
                      <w:rFonts w:hint="default" w:ascii="Times New Roman" w:hAnsi="Times New Roman" w:cs="Times New Roman"/>
                      <w:color w:val="000000"/>
                    </w:rPr>
                    <w:t>500米范</w:t>
                  </w:r>
                  <w:r>
                    <w:rPr>
                      <w:rFonts w:hint="default" w:ascii="Times New Roman" w:hAnsi="Times New Roman" w:cs="Times New Roman"/>
                      <w:color w:val="000000"/>
                      <w:spacing w:val="-8"/>
                    </w:rPr>
                    <w:t>围内有环境空气保护目标</w:t>
                  </w:r>
                  <w:r>
                    <w:rPr>
                      <w:rFonts w:hint="default" w:ascii="Times New Roman" w:hAnsi="Times New Roman" w:cs="Times New Roman"/>
                      <w:color w:val="000000"/>
                      <w:position w:val="7"/>
                    </w:rPr>
                    <w:t>2</w:t>
                  </w:r>
                  <w:r>
                    <w:rPr>
                      <w:rFonts w:hint="default" w:ascii="Times New Roman" w:hAnsi="Times New Roman" w:cs="Times New Roman"/>
                      <w:color w:val="000000"/>
                      <w:spacing w:val="-3"/>
                    </w:rPr>
                    <w:t>的建设项目</w:t>
                  </w:r>
                </w:p>
              </w:tc>
              <w:tc>
                <w:tcPr>
                  <w:tcW w:w="105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本项目排放废气含有有毒有害污染物-甲醛，且厂界外500米范围内有环境空气保护目标</w:t>
                  </w:r>
                </w:p>
              </w:tc>
              <w:tc>
                <w:tcPr>
                  <w:tcW w:w="51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lang w:val="en-US" w:eastAsia="zh-CN"/>
                    </w:rPr>
                    <w:t>已</w:t>
                  </w:r>
                  <w:r>
                    <w:rPr>
                      <w:rFonts w:hint="default" w:ascii="Times New Roman" w:hAnsi="Times New Roman" w:cs="Times New Roman"/>
                      <w:color w:val="000000"/>
                    </w:rPr>
                    <w:t>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05" w:hRule="atLeast"/>
                <w:jc w:val="center"/>
              </w:trPr>
              <w:tc>
                <w:tcPr>
                  <w:tcW w:w="63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地表水</w:t>
                  </w:r>
                </w:p>
              </w:tc>
              <w:tc>
                <w:tcPr>
                  <w:tcW w:w="279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新增工业废水直排建设项目（槽罐车外送污水处理厂的除外）；新增废水直排的污水集中处理厂</w:t>
                  </w:r>
                </w:p>
              </w:tc>
              <w:tc>
                <w:tcPr>
                  <w:tcW w:w="105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本项目无新增工业废水排放</w:t>
                  </w:r>
                </w:p>
              </w:tc>
              <w:tc>
                <w:tcPr>
                  <w:tcW w:w="51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不设置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63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环境风险</w:t>
                  </w:r>
                </w:p>
              </w:tc>
              <w:tc>
                <w:tcPr>
                  <w:tcW w:w="279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有毒有害和易燃易爆危险物质存储量超过临界量</w:t>
                  </w:r>
                  <w:r>
                    <w:rPr>
                      <w:rFonts w:hint="default" w:ascii="Times New Roman" w:hAnsi="Times New Roman" w:cs="Times New Roman"/>
                      <w:color w:val="000000"/>
                      <w:vertAlign w:val="superscript"/>
                    </w:rPr>
                    <w:t>3</w:t>
                  </w:r>
                  <w:r>
                    <w:rPr>
                      <w:rFonts w:hint="default" w:ascii="Times New Roman" w:hAnsi="Times New Roman" w:cs="Times New Roman"/>
                      <w:color w:val="000000"/>
                    </w:rPr>
                    <w:t>的建设项目</w:t>
                  </w:r>
                </w:p>
              </w:tc>
              <w:tc>
                <w:tcPr>
                  <w:tcW w:w="1057" w:type="pct"/>
                  <w:tcBorders>
                    <w:tl2br w:val="nil"/>
                    <w:tr2bl w:val="nil"/>
                  </w:tcBorders>
                  <w:vAlign w:val="center"/>
                </w:tcPr>
                <w:p>
                  <w:pPr>
                    <w:pStyle w:val="79"/>
                    <w:spacing w:line="240" w:lineRule="auto"/>
                    <w:ind w:firstLine="0" w:firstLineChars="0"/>
                    <w:rPr>
                      <w:rFonts w:hint="default" w:ascii="Times New Roman" w:hAnsi="Times New Roman" w:cs="Times New Roman"/>
                      <w:b/>
                      <w:bCs/>
                      <w:color w:val="000000"/>
                    </w:rPr>
                  </w:pPr>
                  <w:r>
                    <w:rPr>
                      <w:rFonts w:hint="default" w:ascii="Times New Roman" w:hAnsi="Times New Roman" w:cs="Times New Roman"/>
                      <w:color w:val="000000"/>
                    </w:rPr>
                    <w:t>不涉及</w:t>
                  </w:r>
                </w:p>
              </w:tc>
              <w:tc>
                <w:tcPr>
                  <w:tcW w:w="517" w:type="pct"/>
                  <w:tcBorders>
                    <w:tl2br w:val="nil"/>
                    <w:tr2bl w:val="nil"/>
                  </w:tcBorders>
                  <w:vAlign w:val="center"/>
                </w:tcPr>
                <w:p>
                  <w:pPr>
                    <w:pStyle w:val="79"/>
                    <w:spacing w:line="240" w:lineRule="auto"/>
                    <w:ind w:firstLine="0" w:firstLineChars="0"/>
                    <w:rPr>
                      <w:rFonts w:hint="default" w:ascii="Times New Roman" w:hAnsi="Times New Roman" w:cs="Times New Roman"/>
                      <w:b/>
                      <w:bCs/>
                      <w:color w:val="000000"/>
                    </w:rPr>
                  </w:pPr>
                  <w:r>
                    <w:rPr>
                      <w:rFonts w:hint="default" w:ascii="Times New Roman" w:hAnsi="Times New Roman" w:cs="Times New Roman"/>
                      <w:color w:val="000000"/>
                    </w:rPr>
                    <w:t>不设置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63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生态</w:t>
                  </w:r>
                </w:p>
              </w:tc>
              <w:tc>
                <w:tcPr>
                  <w:tcW w:w="279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spacing w:val="-6"/>
                    </w:rPr>
                    <w:t>取水口下游</w:t>
                  </w:r>
                  <w:r>
                    <w:rPr>
                      <w:rFonts w:hint="default" w:ascii="Times New Roman" w:hAnsi="Times New Roman" w:cs="Times New Roman"/>
                      <w:color w:val="000000"/>
                    </w:rPr>
                    <w:t>500</w:t>
                  </w:r>
                  <w:r>
                    <w:rPr>
                      <w:rFonts w:hint="default" w:ascii="Times New Roman" w:hAnsi="Times New Roman" w:cs="Times New Roman"/>
                      <w:color w:val="000000"/>
                      <w:spacing w:val="-3"/>
                    </w:rPr>
                    <w:t>米范围内有重要水生生物</w:t>
                  </w:r>
                  <w:r>
                    <w:rPr>
                      <w:rFonts w:hint="default" w:ascii="Times New Roman" w:hAnsi="Times New Roman" w:cs="Times New Roman"/>
                      <w:color w:val="000000"/>
                    </w:rPr>
                    <w:t>的自然产卵场、索饵场、越冬场和洄游通</w:t>
                  </w:r>
                  <w:r>
                    <w:rPr>
                      <w:rFonts w:hint="default" w:ascii="Times New Roman" w:hAnsi="Times New Roman" w:cs="Times New Roman"/>
                      <w:color w:val="000000"/>
                      <w:spacing w:val="-3"/>
                    </w:rPr>
                    <w:t>道的新增河道取水的污染类建设项目</w:t>
                  </w:r>
                </w:p>
              </w:tc>
              <w:tc>
                <w:tcPr>
                  <w:tcW w:w="105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不涉及</w:t>
                  </w:r>
                </w:p>
              </w:tc>
              <w:tc>
                <w:tcPr>
                  <w:tcW w:w="51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不设置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海洋</w:t>
                  </w:r>
                </w:p>
              </w:tc>
              <w:tc>
                <w:tcPr>
                  <w:tcW w:w="2792"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直接向海排放污染物的海洋工程建设项目</w:t>
                  </w:r>
                </w:p>
              </w:tc>
              <w:tc>
                <w:tcPr>
                  <w:tcW w:w="105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不涉及</w:t>
                  </w:r>
                </w:p>
              </w:tc>
              <w:tc>
                <w:tcPr>
                  <w:tcW w:w="517" w:type="pct"/>
                  <w:tcBorders>
                    <w:tl2br w:val="nil"/>
                    <w:tr2bl w:val="nil"/>
                  </w:tcBorders>
                  <w:vAlign w:val="center"/>
                </w:tcPr>
                <w:p>
                  <w:pPr>
                    <w:pStyle w:val="79"/>
                    <w:spacing w:line="24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不设置</w:t>
                  </w:r>
                </w:p>
              </w:tc>
            </w:tr>
          </w:tbl>
          <w:p>
            <w:pPr>
              <w:autoSpaceDE w:val="0"/>
              <w:autoSpaceDN w:val="0"/>
              <w:adjustRightInd w:val="0"/>
              <w:snapToGrid w:val="0"/>
              <w:jc w:val="left"/>
              <w:rPr>
                <w:rFonts w:hint="default" w:ascii="Times New Roman" w:hAnsi="Times New Roman" w:cs="Times New Roman"/>
                <w:color w:val="000000"/>
                <w:kern w:val="0"/>
                <w:sz w:val="24"/>
              </w:rPr>
            </w:pPr>
            <w:r>
              <w:rPr>
                <w:rFonts w:hint="default" w:ascii="Times New Roman" w:hAnsi="Times New Roman" w:cs="Times New Roman"/>
                <w:color w:val="000000"/>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vAlign w:val="center"/>
          </w:tcPr>
          <w:p>
            <w:pPr>
              <w:autoSpaceDE w:val="0"/>
              <w:autoSpaceDN w:val="0"/>
              <w:adjustRightInd w:val="0"/>
              <w:snapToGrid w:val="0"/>
              <w:jc w:val="center"/>
              <w:rPr>
                <w:rFonts w:hint="default" w:ascii="Times New Roman" w:hAnsi="Times New Roman" w:cs="Times New Roman"/>
                <w:b/>
                <w:bCs/>
                <w:color w:val="000000"/>
                <w:kern w:val="0"/>
                <w:sz w:val="24"/>
              </w:rPr>
            </w:pPr>
            <w:r>
              <w:rPr>
                <w:rFonts w:hint="default" w:ascii="Times New Roman" w:hAnsi="Times New Roman" w:cs="Times New Roman"/>
                <w:b/>
                <w:bCs/>
                <w:color w:val="000000"/>
                <w:sz w:val="24"/>
              </w:rPr>
              <w:t>规划情况</w:t>
            </w:r>
          </w:p>
        </w:tc>
        <w:tc>
          <w:tcPr>
            <w:tcW w:w="7712" w:type="dxa"/>
            <w:gridSpan w:val="3"/>
            <w:vAlign w:val="center"/>
          </w:tcPr>
          <w:p>
            <w:pPr>
              <w:autoSpaceDE w:val="0"/>
              <w:autoSpaceDN w:val="0"/>
              <w:adjustRightInd w:val="0"/>
              <w:snapToGrid w:val="0"/>
              <w:spacing w:line="360" w:lineRule="auto"/>
              <w:jc w:val="left"/>
              <w:rPr>
                <w:rFonts w:hint="default" w:ascii="Times New Roman" w:hAnsi="Times New Roman" w:cs="Times New Roman"/>
                <w:kern w:val="0"/>
                <w:sz w:val="24"/>
                <w:lang w:eastAsia="zh-CN"/>
              </w:rPr>
            </w:pPr>
            <w:r>
              <w:rPr>
                <w:rFonts w:hint="default" w:ascii="Times New Roman" w:hAnsi="Times New Roman" w:cs="Times New Roman"/>
                <w:kern w:val="0"/>
                <w:sz w:val="24"/>
              </w:rPr>
              <w:t>规划名称：</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如皋市搬经镇成片开发片区（凤凰大道两侧片区、镇区西工业片区、镇区北工业片区）控制性详细规划</w:t>
            </w:r>
            <w:r>
              <w:rPr>
                <w:rFonts w:hint="default" w:ascii="Times New Roman" w:hAnsi="Times New Roman" w:cs="Times New Roman"/>
                <w:kern w:val="0"/>
                <w:sz w:val="24"/>
                <w:lang w:eastAsia="zh-CN"/>
              </w:rPr>
              <w:t>》</w:t>
            </w:r>
          </w:p>
          <w:p>
            <w:pPr>
              <w:autoSpaceDE w:val="0"/>
              <w:autoSpaceDN w:val="0"/>
              <w:adjustRightInd w:val="0"/>
              <w:snapToGrid w:val="0"/>
              <w:spacing w:line="360" w:lineRule="auto"/>
              <w:jc w:val="left"/>
              <w:rPr>
                <w:rFonts w:hint="eastAsia" w:cs="Times New Roman"/>
                <w:kern w:val="0"/>
                <w:sz w:val="24"/>
                <w:lang w:val="en-US" w:eastAsia="zh-CN"/>
              </w:rPr>
            </w:pPr>
            <w:r>
              <w:rPr>
                <w:rFonts w:hint="eastAsia" w:cs="Times New Roman"/>
                <w:kern w:val="0"/>
                <w:sz w:val="24"/>
                <w:lang w:val="en-US" w:eastAsia="zh-CN"/>
              </w:rPr>
              <w:t>规划名称：《如皋市国土空间总体规划（2021-2035年）》</w:t>
            </w:r>
          </w:p>
          <w:p>
            <w:pPr>
              <w:autoSpaceDE w:val="0"/>
              <w:autoSpaceDN w:val="0"/>
              <w:adjustRightInd w:val="0"/>
              <w:snapToGrid w:val="0"/>
              <w:spacing w:line="360" w:lineRule="auto"/>
              <w:jc w:val="left"/>
              <w:rPr>
                <w:rFonts w:hint="eastAsia" w:cs="Times New Roman"/>
                <w:kern w:val="0"/>
                <w:sz w:val="24"/>
                <w:lang w:val="en-US" w:eastAsia="zh-CN"/>
              </w:rPr>
            </w:pPr>
            <w:r>
              <w:rPr>
                <w:rFonts w:hint="eastAsia" w:cs="Times New Roman"/>
                <w:kern w:val="0"/>
                <w:sz w:val="24"/>
                <w:lang w:val="en-US" w:eastAsia="zh-CN"/>
              </w:rPr>
              <w:t>审批机关：江苏省人民政府</w:t>
            </w:r>
          </w:p>
          <w:p>
            <w:pPr>
              <w:autoSpaceDE w:val="0"/>
              <w:autoSpaceDN w:val="0"/>
              <w:adjustRightInd w:val="0"/>
              <w:snapToGrid w:val="0"/>
              <w:spacing w:line="360" w:lineRule="auto"/>
              <w:jc w:val="left"/>
              <w:rPr>
                <w:rFonts w:hint="default"/>
                <w:lang w:val="en-US" w:eastAsia="zh-CN"/>
              </w:rPr>
            </w:pPr>
            <w:r>
              <w:rPr>
                <w:rFonts w:hint="eastAsia" w:cs="Times New Roman"/>
                <w:kern w:val="0"/>
                <w:sz w:val="24"/>
                <w:lang w:val="en-US" w:eastAsia="zh-CN"/>
              </w:rPr>
              <w:t>审批文件名称及文号：《省政府关于南通市海门区、如东县、启东市、如皋市、海安市国土空间总体规划（2021-2035）的批复》（苏政复</w:t>
            </w:r>
            <w:r>
              <w:rPr>
                <w:rFonts w:hint="default" w:ascii="Times New Roman" w:hAnsi="Times New Roman" w:cs="Times New Roman"/>
                <w:color w:val="000000"/>
                <w:sz w:val="24"/>
              </w:rPr>
              <w:t>〔</w:t>
            </w:r>
            <w:r>
              <w:rPr>
                <w:rFonts w:hint="eastAsia" w:cs="Times New Roman"/>
                <w:color w:val="000000"/>
                <w:sz w:val="24"/>
                <w:lang w:val="en-US" w:eastAsia="zh-CN"/>
              </w:rPr>
              <w:t>2023</w:t>
            </w:r>
            <w:r>
              <w:rPr>
                <w:rFonts w:hint="default" w:ascii="Times New Roman" w:hAnsi="Times New Roman" w:cs="Times New Roman"/>
                <w:color w:val="000000"/>
                <w:sz w:val="24"/>
              </w:rPr>
              <w:t>〕</w:t>
            </w:r>
            <w:r>
              <w:rPr>
                <w:rFonts w:hint="eastAsia" w:cs="Times New Roman"/>
                <w:color w:val="000000"/>
                <w:sz w:val="24"/>
                <w:lang w:val="en-US" w:eastAsia="zh-CN"/>
              </w:rPr>
              <w:t>43号</w:t>
            </w:r>
            <w:r>
              <w:rPr>
                <w:rFonts w:hint="eastAsia" w:cs="Times New Roman"/>
                <w:kern w:val="0"/>
                <w:sz w:val="24"/>
                <w:lang w:val="en-US" w:eastAsia="zh-CN"/>
              </w:rPr>
              <w:t>），2023年11月13日。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8"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规划环境影响</w:t>
            </w:r>
          </w:p>
          <w:p>
            <w:pPr>
              <w:adjustRightInd w:val="0"/>
              <w:snapToGrid w:val="0"/>
              <w:jc w:val="center"/>
              <w:rPr>
                <w:rFonts w:hint="default" w:ascii="Times New Roman" w:hAnsi="Times New Roman" w:cs="Times New Roman"/>
                <w:b/>
                <w:bCs/>
                <w:color w:val="000000"/>
                <w:kern w:val="0"/>
                <w:sz w:val="24"/>
              </w:rPr>
            </w:pPr>
            <w:r>
              <w:rPr>
                <w:rFonts w:hint="default" w:ascii="Times New Roman" w:hAnsi="Times New Roman" w:cs="Times New Roman"/>
                <w:b/>
                <w:bCs/>
                <w:color w:val="000000"/>
                <w:sz w:val="24"/>
              </w:rPr>
              <w:t>评价情况</w:t>
            </w:r>
          </w:p>
        </w:tc>
        <w:tc>
          <w:tcPr>
            <w:tcW w:w="7712" w:type="dxa"/>
            <w:gridSpan w:val="3"/>
            <w:vAlign w:val="center"/>
          </w:tcPr>
          <w:p>
            <w:pPr>
              <w:autoSpaceDE w:val="0"/>
              <w:autoSpaceDN w:val="0"/>
              <w:adjustRightInd w:val="0"/>
              <w:snapToGrid w:val="0"/>
              <w:spacing w:line="360" w:lineRule="auto"/>
              <w:jc w:val="center"/>
              <w:rPr>
                <w:rFonts w:hint="default" w:ascii="Times New Roman" w:hAnsi="Times New Roman" w:eastAsia="宋体" w:cs="Times New Roman"/>
                <w:color w:val="000000"/>
                <w:kern w:val="0"/>
                <w:sz w:val="24"/>
                <w:lang w:val="en-US" w:eastAsia="zh-CN"/>
              </w:rPr>
            </w:pPr>
            <w:r>
              <w:rPr>
                <w:rFonts w:hint="default" w:ascii="Times New Roman" w:hAnsi="Times New Roman" w:cs="Times New Roman"/>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vAlign w:val="center"/>
          </w:tcPr>
          <w:p>
            <w:pPr>
              <w:autoSpaceDE w:val="0"/>
              <w:autoSpaceDN w:val="0"/>
              <w:adjustRightInd w:val="0"/>
              <w:snapToGrid w:val="0"/>
              <w:jc w:val="center"/>
              <w:rPr>
                <w:rFonts w:hint="default" w:ascii="Times New Roman" w:hAnsi="Times New Roman" w:cs="Times New Roman"/>
                <w:b/>
                <w:bCs/>
                <w:color w:val="000000"/>
                <w:kern w:val="0"/>
                <w:sz w:val="24"/>
              </w:rPr>
            </w:pPr>
            <w:r>
              <w:rPr>
                <w:rFonts w:hint="default" w:ascii="Times New Roman" w:hAnsi="Times New Roman" w:cs="Times New Roman"/>
                <w:b/>
                <w:bCs/>
                <w:color w:val="000000"/>
                <w:kern w:val="0"/>
                <w:sz w:val="24"/>
              </w:rPr>
              <w:t>规划及规划环境</w:t>
            </w:r>
          </w:p>
          <w:p>
            <w:pPr>
              <w:autoSpaceDE w:val="0"/>
              <w:autoSpaceDN w:val="0"/>
              <w:adjustRightInd w:val="0"/>
              <w:snapToGrid w:val="0"/>
              <w:jc w:val="center"/>
              <w:rPr>
                <w:rFonts w:hint="default" w:ascii="Times New Roman" w:hAnsi="Times New Roman" w:cs="Times New Roman"/>
                <w:b/>
                <w:bCs/>
                <w:color w:val="000000"/>
                <w:kern w:val="0"/>
                <w:sz w:val="24"/>
              </w:rPr>
            </w:pPr>
            <w:r>
              <w:rPr>
                <w:rFonts w:hint="default" w:ascii="Times New Roman" w:hAnsi="Times New Roman" w:cs="Times New Roman"/>
                <w:b/>
                <w:bCs/>
                <w:color w:val="000000"/>
                <w:kern w:val="0"/>
                <w:sz w:val="24"/>
              </w:rPr>
              <w:t>影响评价符合性分析</w:t>
            </w:r>
          </w:p>
        </w:tc>
        <w:tc>
          <w:tcPr>
            <w:tcW w:w="7712" w:type="dxa"/>
            <w:gridSpan w:val="3"/>
            <w:vAlign w:val="center"/>
          </w:tcPr>
          <w:p>
            <w:pPr>
              <w:tabs>
                <w:tab w:val="left" w:pos="918"/>
              </w:tabs>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kern w:val="0"/>
                <w:sz w:val="24"/>
                <w:lang w:val="en-US" w:eastAsia="zh-CN"/>
              </w:rPr>
              <w:t>本项目位于</w:t>
            </w:r>
            <w:r>
              <w:rPr>
                <w:rFonts w:hint="default" w:ascii="Times New Roman" w:hAnsi="Times New Roman" w:cs="Times New Roman"/>
                <w:color w:val="000000"/>
                <w:sz w:val="24"/>
              </w:rPr>
              <w:t>如皋市搬经镇搬经社区10组、19组、村集体</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属于搬经镇镇区北工业片区，本项目为</w:t>
            </w:r>
            <w:r>
              <w:rPr>
                <w:rFonts w:hint="default" w:ascii="Times New Roman" w:hAnsi="Times New Roman" w:cs="Times New Roman"/>
                <w:color w:val="000000"/>
                <w:sz w:val="24"/>
              </w:rPr>
              <w:t>〔C3421〕金属切削机床制造</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属于设备制造，与该片区产业主要门类相符。</w:t>
            </w:r>
          </w:p>
          <w:p>
            <w:pPr>
              <w:tabs>
                <w:tab w:val="left" w:pos="918"/>
              </w:tabs>
              <w:spacing w:line="360" w:lineRule="auto"/>
              <w:ind w:firstLine="482" w:firstLineChars="200"/>
              <w:rPr>
                <w:rFonts w:hint="eastAsia" w:cs="Times New Roman"/>
                <w:b/>
                <w:bCs/>
                <w:color w:val="000000"/>
                <w:sz w:val="24"/>
                <w:lang w:val="en-US" w:eastAsia="zh-CN"/>
              </w:rPr>
            </w:pPr>
            <w:r>
              <w:rPr>
                <w:rFonts w:hint="eastAsia" w:cs="Times New Roman"/>
                <w:b/>
                <w:bCs/>
                <w:color w:val="000000"/>
                <w:sz w:val="24"/>
                <w:lang w:val="en-US" w:eastAsia="zh-CN"/>
              </w:rPr>
              <w:t>与《如皋市国土空间总体规划（2021-2035年）》相符性分析</w:t>
            </w:r>
          </w:p>
          <w:p>
            <w:pPr>
              <w:tabs>
                <w:tab w:val="left" w:pos="918"/>
              </w:tabs>
              <w:spacing w:line="360" w:lineRule="auto"/>
              <w:ind w:firstLine="480" w:firstLineChars="200"/>
              <w:rPr>
                <w:rFonts w:hint="eastAsia"/>
                <w:color w:val="000000"/>
                <w:sz w:val="24"/>
              </w:rPr>
            </w:pPr>
            <w:r>
              <w:rPr>
                <w:rFonts w:hint="eastAsia"/>
                <w:color w:val="000000"/>
                <w:sz w:val="24"/>
              </w:rPr>
              <w:t>①规划范围</w:t>
            </w:r>
          </w:p>
          <w:p>
            <w:pPr>
              <w:tabs>
                <w:tab w:val="left" w:pos="918"/>
              </w:tabs>
              <w:spacing w:line="360" w:lineRule="auto"/>
              <w:ind w:firstLine="480" w:firstLineChars="200"/>
              <w:rPr>
                <w:rFonts w:hint="eastAsia"/>
                <w:color w:val="000000"/>
                <w:sz w:val="24"/>
              </w:rPr>
            </w:pPr>
            <w:r>
              <w:rPr>
                <w:rFonts w:hint="eastAsia"/>
                <w:color w:val="000000"/>
                <w:sz w:val="24"/>
              </w:rPr>
              <w:t>市域规划范围：如皋市行政管辖范围，总面积1573.9579平方千米(含长江水域面积24.9541平方千米)。</w:t>
            </w:r>
          </w:p>
          <w:p>
            <w:pPr>
              <w:tabs>
                <w:tab w:val="left" w:pos="918"/>
              </w:tabs>
              <w:spacing w:line="360" w:lineRule="auto"/>
              <w:ind w:firstLine="480" w:firstLineChars="200"/>
              <w:rPr>
                <w:rFonts w:hint="eastAsia"/>
                <w:color w:val="000000"/>
                <w:sz w:val="24"/>
              </w:rPr>
            </w:pPr>
            <w:r>
              <w:rPr>
                <w:rFonts w:hint="eastAsia"/>
                <w:color w:val="000000"/>
                <w:sz w:val="24"/>
              </w:rPr>
              <w:t>中心城区规划范围：如城街道、城南街道、城北街道城镇开发边界包络线范围，总面积96.5176平方千米。</w:t>
            </w:r>
          </w:p>
          <w:p>
            <w:pPr>
              <w:tabs>
                <w:tab w:val="left" w:pos="918"/>
              </w:tabs>
              <w:spacing w:line="360" w:lineRule="auto"/>
              <w:ind w:firstLine="480" w:firstLineChars="200"/>
              <w:rPr>
                <w:rFonts w:hint="eastAsia"/>
                <w:color w:val="000000"/>
                <w:sz w:val="24"/>
              </w:rPr>
            </w:pPr>
            <w:r>
              <w:rPr>
                <w:rFonts w:hint="eastAsia"/>
                <w:color w:val="000000"/>
                <w:sz w:val="24"/>
              </w:rPr>
              <w:t>②规划期限</w:t>
            </w:r>
          </w:p>
          <w:p>
            <w:pPr>
              <w:tabs>
                <w:tab w:val="left" w:pos="918"/>
              </w:tabs>
              <w:spacing w:line="360" w:lineRule="auto"/>
              <w:ind w:firstLine="480" w:firstLineChars="200"/>
              <w:rPr>
                <w:rFonts w:hint="eastAsia"/>
                <w:color w:val="000000"/>
                <w:sz w:val="24"/>
              </w:rPr>
            </w:pPr>
            <w:r>
              <w:rPr>
                <w:rFonts w:hint="eastAsia"/>
                <w:color w:val="000000"/>
                <w:sz w:val="24"/>
              </w:rPr>
              <w:t>规划基期年为2020年，规划目标年为2035年，近期至2025年，远景展望至2050年。</w:t>
            </w:r>
          </w:p>
          <w:p>
            <w:pPr>
              <w:tabs>
                <w:tab w:val="left" w:pos="918"/>
              </w:tabs>
              <w:spacing w:line="360" w:lineRule="auto"/>
              <w:ind w:firstLine="480" w:firstLineChars="200"/>
              <w:rPr>
                <w:rFonts w:hint="eastAsia"/>
                <w:color w:val="000000"/>
                <w:sz w:val="24"/>
              </w:rPr>
            </w:pPr>
            <w:r>
              <w:rPr>
                <w:rFonts w:hint="eastAsia"/>
                <w:color w:val="000000"/>
                <w:sz w:val="24"/>
              </w:rPr>
              <w:t>③总体格局</w:t>
            </w:r>
          </w:p>
          <w:p>
            <w:pPr>
              <w:tabs>
                <w:tab w:val="left" w:pos="918"/>
              </w:tabs>
              <w:spacing w:line="360" w:lineRule="auto"/>
              <w:ind w:firstLine="480" w:firstLineChars="200"/>
              <w:rPr>
                <w:rFonts w:hint="eastAsia"/>
                <w:color w:val="000000"/>
                <w:sz w:val="24"/>
              </w:rPr>
            </w:pPr>
            <w:r>
              <w:rPr>
                <w:rFonts w:hint="eastAsia"/>
                <w:color w:val="000000"/>
                <w:sz w:val="24"/>
              </w:rPr>
              <w:t>依托东陈镇、丁堰镇、白蒲镇、九华镇、下原镇和长江镇打造东部绿色稻米优化发展区，依托如城街道、城南街道和磨头镇打造中部精品花木发展区，依托城北街道、搬经镇、吴窑镇、江安镇和石庄镇打造西部特色农产品发展区。</w:t>
            </w:r>
          </w:p>
          <w:p>
            <w:pPr>
              <w:tabs>
                <w:tab w:val="left" w:pos="918"/>
              </w:tabs>
              <w:spacing w:line="360" w:lineRule="auto"/>
              <w:ind w:firstLine="480" w:firstLineChars="200"/>
              <w:rPr>
                <w:rFonts w:hint="eastAsia"/>
                <w:color w:val="000000"/>
                <w:sz w:val="24"/>
              </w:rPr>
            </w:pPr>
            <w:r>
              <w:rPr>
                <w:rFonts w:hint="eastAsia"/>
                <w:color w:val="000000"/>
                <w:sz w:val="24"/>
              </w:rPr>
              <w:t>构建“两带、两核、多廊道”的市域生态保护格局。“两带”即沿江生态带和焦港河生态带，“两核”即城郊苗木生态核心和长江湿地生态核心，“多廊道”即沿河生态骨架，白茅港—南凌河、大寨河—大明河、司马港、立新河—跃进河、如海运河、丁堡河—通扬运河生态廊道。</w:t>
            </w:r>
          </w:p>
          <w:p>
            <w:pPr>
              <w:tabs>
                <w:tab w:val="left" w:pos="918"/>
              </w:tabs>
              <w:spacing w:line="360" w:lineRule="auto"/>
              <w:ind w:firstLine="480" w:firstLineChars="200"/>
              <w:rPr>
                <w:rFonts w:hint="eastAsia"/>
                <w:color w:val="000000"/>
                <w:sz w:val="24"/>
              </w:rPr>
            </w:pPr>
            <w:r>
              <w:rPr>
                <w:rFonts w:hint="eastAsia"/>
                <w:color w:val="000000"/>
                <w:sz w:val="24"/>
              </w:rPr>
              <w:t>形成“双核双区、一廊两带”的城镇体系空间结构。“双核”即中心城区和长江镇；“双区”即依托中心城区和搬经镇、东陈镇、丁堰镇、磨头镇形成北部创新发展引领区，依托长江镇和石庄镇、九华镇、下原镇形成南部跨江融合前沿区；“一廊”即依托如港路快速通道形成的龙游河中部科创走廊；“两带”即依托沈海高速公路形成的东部城镇发展带和沿江公路形成的沿江绿色发展带。</w:t>
            </w:r>
          </w:p>
          <w:p>
            <w:pPr>
              <w:tabs>
                <w:tab w:val="left" w:pos="918"/>
              </w:tabs>
              <w:spacing w:line="360" w:lineRule="auto"/>
              <w:ind w:firstLine="480" w:firstLineChars="200"/>
              <w:rPr>
                <w:rFonts w:hint="default" w:ascii="Times New Roman" w:hAnsi="Times New Roman" w:eastAsia="宋体" w:cs="Times New Roman"/>
                <w:color w:val="000000"/>
                <w:kern w:val="0"/>
                <w:sz w:val="24"/>
                <w:lang w:val="en-US" w:eastAsia="zh-CN"/>
              </w:rPr>
            </w:pPr>
            <w:r>
              <w:rPr>
                <w:rFonts w:hint="eastAsia"/>
                <w:color w:val="000000"/>
                <w:sz w:val="24"/>
              </w:rPr>
              <w:t>本项目位于江苏省南通市如皋市搬经镇搬经社区10组、19组、村集体，项目新建厂房，新增用地约</w:t>
            </w:r>
            <w:r>
              <w:rPr>
                <w:rFonts w:hint="eastAsia"/>
                <w:color w:val="000000"/>
                <w:sz w:val="24"/>
                <w:lang w:eastAsia="zh-CN"/>
              </w:rPr>
              <w:t>3</w:t>
            </w:r>
            <w:r>
              <w:rPr>
                <w:rFonts w:hint="eastAsia"/>
                <w:color w:val="000000"/>
                <w:sz w:val="24"/>
                <w:lang w:val="en-US" w:eastAsia="zh-CN"/>
              </w:rPr>
              <w:t>5892平方米</w:t>
            </w:r>
            <w:r>
              <w:rPr>
                <w:rFonts w:hint="eastAsia"/>
                <w:color w:val="000000"/>
                <w:sz w:val="24"/>
              </w:rPr>
              <w:t>，用地范围属于工业用地，符合</w:t>
            </w:r>
            <w:r>
              <w:rPr>
                <w:rFonts w:hint="eastAsia"/>
                <w:color w:val="000000"/>
                <w:sz w:val="24"/>
                <w:lang w:val="en-US" w:eastAsia="zh-CN"/>
              </w:rPr>
              <w:t>搬经镇</w:t>
            </w:r>
            <w:r>
              <w:rPr>
                <w:rFonts w:hint="eastAsia"/>
                <w:color w:val="000000"/>
                <w:sz w:val="24"/>
              </w:rPr>
              <w:t>土地利用总体规划和城镇总体规划，符合《如皋市国土空间总体规划（2021~2035年）》要求。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vAlign w:val="center"/>
          </w:tcPr>
          <w:p>
            <w:pPr>
              <w:autoSpaceDE w:val="0"/>
              <w:autoSpaceDN w:val="0"/>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b/>
                <w:bCs/>
                <w:color w:val="000000"/>
                <w:kern w:val="0"/>
                <w:szCs w:val="21"/>
              </w:rPr>
              <w:t>其他符合性分析</w:t>
            </w:r>
          </w:p>
        </w:tc>
        <w:tc>
          <w:tcPr>
            <w:tcW w:w="7712" w:type="dxa"/>
            <w:gridSpan w:val="3"/>
            <w:vAlign w:val="center"/>
          </w:tcPr>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1、产业政策相符性分析</w:t>
            </w:r>
          </w:p>
          <w:p>
            <w:pPr>
              <w:adjustRightInd w:val="0"/>
              <w:snapToGrid w:val="0"/>
              <w:spacing w:line="360" w:lineRule="auto"/>
              <w:ind w:firstLine="480" w:firstLineChars="200"/>
              <w:jc w:val="left"/>
              <w:rPr>
                <w:rFonts w:hint="default" w:ascii="Times New Roman" w:hAnsi="Times New Roman" w:cs="Times New Roman"/>
              </w:rPr>
            </w:pPr>
            <w:r>
              <w:rPr>
                <w:rFonts w:hint="default" w:ascii="Times New Roman" w:hAnsi="Times New Roman" w:cs="Times New Roman"/>
                <w:color w:val="000000"/>
                <w:sz w:val="24"/>
              </w:rPr>
              <w:t>本项目行业类别为〔C3421〕金属切削机床制造，产品为数控机床设备，对照国家和地方产业政策，本项目不属于淘汰和限制类项目，不属于两高项目，符合相关产业政策。</w:t>
            </w:r>
          </w:p>
          <w:p>
            <w:pPr>
              <w:jc w:val="center"/>
              <w:rPr>
                <w:rFonts w:hint="default" w:ascii="Times New Roman" w:hAnsi="Times New Roman" w:cs="Times New Roman"/>
                <w:b/>
                <w:bCs/>
                <w:sz w:val="24"/>
              </w:rPr>
            </w:pPr>
            <w:r>
              <w:rPr>
                <w:rFonts w:hint="default" w:ascii="Times New Roman" w:hAnsi="Times New Roman" w:cs="Times New Roman"/>
                <w:b/>
                <w:bCs/>
                <w:sz w:val="24"/>
              </w:rPr>
              <w:t>表1-1 本项目与相关产业政策相符性分析</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473"/>
              <w:gridCol w:w="4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vAlign w:val="center"/>
                </w:tcPr>
                <w:p>
                  <w:pPr>
                    <w:pStyle w:val="56"/>
                    <w:ind w:firstLine="0" w:firstLineChars="0"/>
                    <w:rPr>
                      <w:rFonts w:hint="default" w:ascii="Times New Roman" w:hAnsi="Times New Roman" w:cs="Times New Roman"/>
                      <w:bCs/>
                    </w:rPr>
                  </w:pPr>
                  <w:r>
                    <w:rPr>
                      <w:rFonts w:hint="default" w:ascii="Times New Roman" w:hAnsi="Times New Roman" w:cs="Times New Roman"/>
                      <w:bCs/>
                    </w:rPr>
                    <w:t>序号</w:t>
                  </w:r>
                </w:p>
              </w:tc>
              <w:tc>
                <w:tcPr>
                  <w:tcW w:w="2473" w:type="dxa"/>
                  <w:tcBorders>
                    <w:tl2br w:val="nil"/>
                    <w:tr2bl w:val="nil"/>
                  </w:tcBorders>
                  <w:vAlign w:val="center"/>
                </w:tcPr>
                <w:p>
                  <w:pPr>
                    <w:pStyle w:val="56"/>
                    <w:ind w:firstLine="0" w:firstLineChars="0"/>
                    <w:rPr>
                      <w:rFonts w:hint="default" w:ascii="Times New Roman" w:hAnsi="Times New Roman" w:cs="Times New Roman"/>
                      <w:bCs/>
                    </w:rPr>
                  </w:pPr>
                  <w:r>
                    <w:rPr>
                      <w:rFonts w:hint="default" w:ascii="Times New Roman" w:hAnsi="Times New Roman" w:cs="Times New Roman"/>
                      <w:bCs/>
                    </w:rPr>
                    <w:t>产业政策名称</w:t>
                  </w:r>
                </w:p>
              </w:tc>
              <w:tc>
                <w:tcPr>
                  <w:tcW w:w="4295" w:type="dxa"/>
                  <w:tcBorders>
                    <w:tl2br w:val="nil"/>
                    <w:tr2bl w:val="nil"/>
                  </w:tcBorders>
                  <w:vAlign w:val="center"/>
                </w:tcPr>
                <w:p>
                  <w:pPr>
                    <w:pStyle w:val="56"/>
                    <w:ind w:firstLine="0" w:firstLineChars="0"/>
                    <w:rPr>
                      <w:rFonts w:hint="default" w:ascii="Times New Roman" w:hAnsi="Times New Roman" w:cs="Times New Roman"/>
                      <w:bCs/>
                    </w:rPr>
                  </w:pPr>
                  <w:r>
                    <w:rPr>
                      <w:rFonts w:hint="default" w:ascii="Times New Roman" w:hAnsi="Times New Roman" w:cs="Times New Roman"/>
                      <w:bCs/>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1</w:t>
                  </w:r>
                </w:p>
              </w:tc>
              <w:tc>
                <w:tcPr>
                  <w:tcW w:w="2473"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《产业结构调整指导目录（2024 年本）》</w:t>
                  </w:r>
                </w:p>
              </w:tc>
              <w:tc>
                <w:tcPr>
                  <w:tcW w:w="4295"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按照《产业结构调整指导目录（2024年本）》，本项目不属于</w:t>
                  </w:r>
                  <w:r>
                    <w:rPr>
                      <w:rFonts w:hint="default" w:ascii="Times New Roman" w:hAnsi="Times New Roman" w:cs="Times New Roman"/>
                      <w:color w:val="auto"/>
                      <w:lang w:val="en-US" w:eastAsia="zh-CN"/>
                    </w:rPr>
                    <w:t>鼓励类、</w:t>
                  </w:r>
                  <w:r>
                    <w:rPr>
                      <w:rFonts w:hint="default" w:ascii="Times New Roman" w:hAnsi="Times New Roman" w:cs="Times New Roman"/>
                      <w:color w:val="auto"/>
                    </w:rPr>
                    <w:t>限制类和淘汰类项目</w:t>
                  </w:r>
                  <w:r>
                    <w:rPr>
                      <w:rFonts w:hint="default" w:ascii="Times New Roman" w:hAnsi="Times New Roman" w:cs="Times New Roman"/>
                    </w:rPr>
                    <w:t>，</w:t>
                  </w:r>
                  <w:r>
                    <w:rPr>
                      <w:rFonts w:hint="default" w:ascii="Times New Roman" w:hAnsi="Times New Roman" w:cs="Times New Roman"/>
                      <w:lang w:val="en-US" w:eastAsia="zh-CN"/>
                    </w:rPr>
                    <w:t>则为允许类，</w:t>
                  </w:r>
                  <w:r>
                    <w:rPr>
                      <w:rFonts w:hint="default" w:ascii="Times New Roman" w:hAnsi="Times New Roman" w:cs="Times New Roman"/>
                    </w:rPr>
                    <w:t>符合该文件的要求。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2</w:t>
                  </w:r>
                </w:p>
              </w:tc>
              <w:tc>
                <w:tcPr>
                  <w:tcW w:w="2473"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《环境保护综合名录》（2021版）</w:t>
                  </w:r>
                </w:p>
              </w:tc>
              <w:tc>
                <w:tcPr>
                  <w:tcW w:w="4295"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本项目的产品不在“高污染”产品名录、 “高环境风险”产品名录以及“高污染、高环境风险”产品名录内，因此本项目不属于“两高”项目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3</w:t>
                  </w:r>
                </w:p>
              </w:tc>
              <w:tc>
                <w:tcPr>
                  <w:tcW w:w="2473"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《江苏省产业结构调整限制、淘汰和禁止目录（2018 年）》</w:t>
                  </w:r>
                </w:p>
              </w:tc>
              <w:tc>
                <w:tcPr>
                  <w:tcW w:w="4295"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本项目不属于其中的限制类、淘汰类和禁止类项目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4</w:t>
                  </w:r>
                </w:p>
              </w:tc>
              <w:tc>
                <w:tcPr>
                  <w:tcW w:w="2473"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《市场准入负面清单》（2025年版）</w:t>
                  </w:r>
                </w:p>
              </w:tc>
              <w:tc>
                <w:tcPr>
                  <w:tcW w:w="4295"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本项目不涉及禁止准入类要求、许可准入类行业要求、禁止性规定，符合该文件的要求。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5</w:t>
                  </w:r>
                </w:p>
              </w:tc>
              <w:tc>
                <w:tcPr>
                  <w:tcW w:w="2473" w:type="dxa"/>
                  <w:tcBorders>
                    <w:tl2br w:val="nil"/>
                    <w:tr2bl w:val="nil"/>
                  </w:tcBorders>
                  <w:vAlign w:val="center"/>
                </w:tcPr>
                <w:p>
                  <w:pPr>
                    <w:jc w:val="center"/>
                    <w:rPr>
                      <w:rFonts w:hint="default" w:ascii="Times New Roman" w:hAnsi="Times New Roman" w:cs="Times New Roman"/>
                      <w:lang w:bidi="ar"/>
                    </w:rPr>
                  </w:pPr>
                  <w:r>
                    <w:rPr>
                      <w:rFonts w:hint="default" w:ascii="Times New Roman" w:hAnsi="Times New Roman" w:cs="Times New Roman"/>
                      <w:lang w:bidi="ar"/>
                    </w:rPr>
                    <w:t>《江苏省“两高”项目管理名录》（2025年版）</w:t>
                  </w:r>
                </w:p>
              </w:tc>
              <w:tc>
                <w:tcPr>
                  <w:tcW w:w="4295" w:type="dxa"/>
                  <w:tcBorders>
                    <w:tl2br w:val="nil"/>
                    <w:tr2bl w:val="nil"/>
                  </w:tcBorders>
                  <w:vAlign w:val="center"/>
                </w:tcPr>
                <w:p>
                  <w:pPr>
                    <w:rPr>
                      <w:rFonts w:hint="default" w:ascii="Times New Roman" w:hAnsi="Times New Roman" w:cs="Times New Roman"/>
                    </w:rPr>
                  </w:pPr>
                  <w:r>
                    <w:rPr>
                      <w:rFonts w:hint="default" w:ascii="Times New Roman" w:hAnsi="Times New Roman" w:cs="Times New Roman"/>
                    </w:rPr>
                    <w:t>本项目不属于“两高”项目。</w:t>
                  </w:r>
                </w:p>
              </w:tc>
            </w:tr>
          </w:tbl>
          <w:p>
            <w:pPr>
              <w:numPr>
                <w:ilvl w:val="0"/>
                <w:numId w:val="1"/>
              </w:num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bCs/>
                <w:color w:val="000000"/>
                <w:sz w:val="24"/>
              </w:rPr>
              <w:t>项目</w:t>
            </w:r>
            <w:r>
              <w:rPr>
                <w:rFonts w:hint="default" w:ascii="Times New Roman" w:hAnsi="Times New Roman" w:cs="Times New Roman"/>
                <w:b/>
                <w:color w:val="000000"/>
                <w:sz w:val="24"/>
              </w:rPr>
              <w:t>选址合理合法性分析</w:t>
            </w:r>
          </w:p>
          <w:p>
            <w:pPr>
              <w:spacing w:line="360" w:lineRule="auto"/>
              <w:ind w:firstLine="480" w:firstLineChars="200"/>
              <w:rPr>
                <w:rFonts w:hint="default" w:ascii="Times New Roman" w:hAnsi="Times New Roman" w:cs="Times New Roman"/>
                <w:color w:val="000000"/>
                <w:sz w:val="24"/>
                <w:lang w:bidi="ar"/>
              </w:rPr>
            </w:pPr>
            <w:r>
              <w:rPr>
                <w:rFonts w:hint="default" w:ascii="Times New Roman" w:hAnsi="Times New Roman" w:cs="Times New Roman"/>
                <w:color w:val="000000"/>
                <w:sz w:val="24"/>
                <w:lang w:bidi="ar"/>
              </w:rPr>
              <w:t>本项目位于南通市如皋市搬经镇搬经社区10组、19组、村集体，用地</w:t>
            </w:r>
            <w:r>
              <w:rPr>
                <w:rFonts w:hint="default" w:ascii="Times New Roman" w:hAnsi="Times New Roman" w:cs="Times New Roman"/>
                <w:color w:val="auto"/>
                <w:sz w:val="24"/>
                <w:lang w:bidi="ar"/>
              </w:rPr>
              <w:t>性质为工业用地</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见附件4-3</w:t>
            </w:r>
            <w:r>
              <w:rPr>
                <w:rFonts w:hint="default" w:ascii="Times New Roman" w:hAnsi="Times New Roman" w:cs="Times New Roman"/>
                <w:color w:val="auto"/>
                <w:sz w:val="24"/>
                <w:lang w:eastAsia="zh-CN" w:bidi="ar"/>
              </w:rPr>
              <w:t>）</w:t>
            </w:r>
            <w:r>
              <w:rPr>
                <w:rFonts w:hint="default" w:ascii="Times New Roman" w:hAnsi="Times New Roman" w:cs="Times New Roman"/>
                <w:color w:val="000000"/>
                <w:sz w:val="24"/>
                <w:lang w:bidi="ar"/>
              </w:rPr>
              <w:t>，符合如皋市搬经镇土地利用总体规划和城镇建设规划。</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项目用地不属于国家《自然资源要素支撑产业高质量发展指导目录（2024年本）》中禁止、限制用地类项目。</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因此，本项目选址合理且符合用地规划。</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（1）与《市政府办公室印发〈关于进一步促进全市乡镇工业集聚区高质量发展的实施意见〉的通知》（通政办发〔2022〕70号）</w:t>
            </w:r>
            <w:r>
              <w:rPr>
                <w:rFonts w:hint="default" w:ascii="Times New Roman" w:hAnsi="Times New Roman" w:cs="Times New Roman"/>
                <w:b/>
                <w:bCs/>
                <w:color w:val="000000"/>
                <w:sz w:val="24"/>
                <w:lang w:val="en-US" w:eastAsia="zh-CN"/>
              </w:rPr>
              <w:t>与《江苏省生态环境保护条例》</w:t>
            </w:r>
            <w:r>
              <w:rPr>
                <w:rFonts w:hint="default" w:ascii="Times New Roman" w:hAnsi="Times New Roman" w:cs="Times New Roman"/>
                <w:b/>
                <w:bCs/>
                <w:color w:val="000000"/>
                <w:sz w:val="24"/>
              </w:rPr>
              <w:t>相符性分析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根据《市政府办公室印发〈关于进一步促进全市乡镇工业集聚区高质量发展的实施意见〉的通知》（通政办发〔2022〕70号）中</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各地新建项目一律进入开发区（园区）和集聚区，按照管理权限履行好审批手续。</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本项目位于如皋市搬经镇</w:t>
            </w:r>
            <w:r>
              <w:rPr>
                <w:rFonts w:hint="default" w:ascii="Times New Roman" w:hAnsi="Times New Roman" w:cs="Times New Roman"/>
                <w:color w:val="000000"/>
                <w:sz w:val="24"/>
                <w:lang w:val="en-US" w:eastAsia="zh-CN"/>
              </w:rPr>
              <w:t>镇北工业片区</w:t>
            </w:r>
            <w:r>
              <w:rPr>
                <w:rFonts w:hint="default" w:ascii="Times New Roman" w:hAnsi="Times New Roman" w:cs="Times New Roman"/>
                <w:color w:val="000000"/>
                <w:sz w:val="24"/>
              </w:rPr>
              <w:t>内，符合如皋市搬经镇用地规划，属于工业用地，因此，本项目符合《市政府办公室印发〈关于进一步促进全市乡镇工业集聚区高质量发展的实施意见〉的通知》。</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000000"/>
                <w:sz w:val="24"/>
                <w:lang w:val="en-US" w:eastAsia="zh-CN"/>
              </w:rPr>
              <w:t>根据《江苏省生态环境保护条例》中“第六十二条 新建排放重点污染物的工业项目原则上应当进入符合规划的园区。鼓励园区外已建排放重点污染物的工业项目通过搬迁等方式进入符合规划的园区。”本项目属于新建且排放重点污染物（颗粒物与挥发性有机物）项目，本项目选址属于如皋市搬经镇镇北工业片区内，</w:t>
            </w:r>
            <w:r>
              <w:rPr>
                <w:rFonts w:hint="default" w:ascii="Times New Roman" w:hAnsi="Times New Roman" w:cs="Times New Roman"/>
                <w:color w:val="auto"/>
                <w:sz w:val="24"/>
                <w:lang w:val="en-US" w:eastAsia="zh-CN"/>
              </w:rPr>
              <w:t>且项目已取得如皋市搬经镇人民政府相关证明（见附件4-4），因此本项目符合《江苏省生态环境保护条例》。</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（2）与“三区三线”相符性分析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“三区三线”：是指城镇空间、农业空间、生态空间三种类型的空间，分别对应划定的城镇开发边界、永久基本农田保护红线、生态保护红线三条控制线。本项目位于江苏省南通市</w:t>
            </w:r>
            <w:r>
              <w:rPr>
                <w:rFonts w:hint="default" w:ascii="Times New Roman" w:hAnsi="Times New Roman" w:cs="Times New Roman"/>
                <w:sz w:val="24"/>
                <w:lang w:bidi="ar"/>
              </w:rPr>
              <w:t>如皋市搬经镇搬经社区10组、19组、村集体</w:t>
            </w:r>
            <w:r>
              <w:rPr>
                <w:rFonts w:hint="default" w:ascii="Times New Roman" w:hAnsi="Times New Roman" w:cs="Times New Roman"/>
                <w:sz w:val="24"/>
              </w:rPr>
              <w:t>，为工业用地，在城镇开发边界内，不涉及基本农田和生态红线，符合“三区三线”要求。</w:t>
            </w:r>
            <w:r>
              <w:rPr>
                <w:rFonts w:hint="default" w:ascii="Times New Roman" w:hAnsi="Times New Roman" w:cs="Times New Roman"/>
                <w:color w:val="000000"/>
                <w:kern w:val="0"/>
                <w:sz w:val="24"/>
              </w:rPr>
              <w:t>对照《如皋市国土空间总体规划》（2021—2035年）如皋市村镇布局规划图，本项目位于城镇开发边界内</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见附图7</w:t>
            </w:r>
            <w:r>
              <w:rPr>
                <w:rFonts w:hint="default" w:ascii="Times New Roman" w:hAnsi="Times New Roman" w:cs="Times New Roman"/>
                <w:color w:val="auto"/>
                <w:kern w:val="0"/>
                <w:sz w:val="24"/>
                <w:lang w:eastAsia="zh-CN"/>
              </w:rPr>
              <w:t>）</w:t>
            </w:r>
            <w:r>
              <w:rPr>
                <w:rFonts w:hint="default" w:ascii="Times New Roman" w:hAnsi="Times New Roman" w:cs="Times New Roman"/>
                <w:color w:val="000000"/>
                <w:kern w:val="0"/>
                <w:sz w:val="24"/>
              </w:rPr>
              <w:t>，符合规划要求</w:t>
            </w:r>
            <w:r>
              <w:rPr>
                <w:rFonts w:hint="default" w:ascii="Times New Roman" w:hAnsi="Times New Roman" w:cs="Times New Roman"/>
                <w:color w:val="000000"/>
                <w:kern w:val="0"/>
                <w:sz w:val="24"/>
                <w:lang w:eastAsia="zh-CN"/>
              </w:rPr>
              <w:t>。</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3、“三线一单”相符性分析</w:t>
            </w:r>
          </w:p>
          <w:p>
            <w:pPr>
              <w:spacing w:line="360" w:lineRule="auto"/>
              <w:ind w:firstLine="482" w:firstLineChars="200"/>
              <w:rPr>
                <w:rFonts w:hint="default" w:ascii="Times New Roman" w:hAnsi="Times New Roman" w:cs="Times New Roman"/>
                <w:color w:val="000000"/>
                <w:sz w:val="24"/>
              </w:rPr>
            </w:pPr>
            <w:r>
              <w:rPr>
                <w:rFonts w:hint="default" w:ascii="Times New Roman" w:hAnsi="Times New Roman" w:cs="Times New Roman"/>
                <w:b/>
                <w:bCs/>
                <w:color w:val="000000"/>
                <w:sz w:val="24"/>
              </w:rPr>
              <w:t>（1）与生态红线相符性分析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①根据《自然资源部 生态环境部 国家林业和草原局关于加强生态保护红线管理的通知（试行）》（自然资发〔2022〕142号）、《自然资源部办公厅发文同意江苏省正式启用“三区三线”划定成果》（自然资办函〔2022〕2207号），对照《如皋市国土空间总体规划》（2021-2035 年），如皋市境内生态保护红线为长江长青沙饮用水水源保护区、长青沙水库应急水源地饮用水水源保护区、长江如皋段刀鲚国家级水产种质资源保护区。本项目位于</w:t>
            </w:r>
            <w:r>
              <w:rPr>
                <w:rFonts w:hint="default" w:ascii="Times New Roman" w:hAnsi="Times New Roman" w:cs="Times New Roman"/>
                <w:color w:val="000000"/>
                <w:sz w:val="24"/>
                <w:lang w:bidi="ar"/>
              </w:rPr>
              <w:t>如皋市搬经镇搬经社区10组、19组、村集体</w:t>
            </w:r>
            <w:r>
              <w:rPr>
                <w:rFonts w:hint="default" w:ascii="Times New Roman" w:hAnsi="Times New Roman" w:cs="Times New Roman"/>
                <w:color w:val="000000"/>
                <w:sz w:val="24"/>
              </w:rPr>
              <w:t>，项目距离最近的生态保护区为长江如皋段刀鲚国家级水产种质资源保护区，最近距离约31.74km（东南），不涉及上述生态保护红线。</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对照《江苏省生态空间管控区域规划》（苏政发〔2020〕1号）、《江苏省自然资源厅关于如皋市生态空间管控区域调整方案的复函》（苏自然资函〔2021〕1588号，2021年12月15日）、《如皋市生态空间管控区域调整方案》（如皋市人民政府，2021年11月），与本项目最近的生态空间保护区域－焦港河（如皋市）清水通道维护区距离为100m（东），不在其生态空间管控区域范围内，在项目评价范围内不涉及如皋市范围内的重要生态空间保护区域，不会导致如皋市辖区内生态空间保护区域重要生态服务功能下降。因此，本项目与《江苏省生态空间管控区域规划》和《如皋市生态空间管控区域调整方案》是相符的。如皋市生态空间管控区域图见附图3。</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rPr>
              <w:t>③</w:t>
            </w:r>
            <w:r>
              <w:rPr>
                <w:rFonts w:hint="default" w:ascii="Times New Roman" w:hAnsi="Times New Roman" w:cs="Times New Roman"/>
                <w:sz w:val="24"/>
              </w:rPr>
              <w:t>对照《江苏省2023年生态环境分区管控动态更新成果公告》，本项目位于一般管控单元，总体要求对照如下。</w:t>
            </w:r>
          </w:p>
          <w:p>
            <w:pPr>
              <w:pStyle w:val="56"/>
              <w:ind w:firstLine="0" w:firstLineChars="0"/>
              <w:rPr>
                <w:rFonts w:hint="default" w:ascii="Times New Roman" w:hAnsi="Times New Roman" w:cs="Times New Roman"/>
                <w:b/>
                <w:sz w:val="24"/>
                <w:szCs w:val="24"/>
              </w:rPr>
            </w:pPr>
            <w:r>
              <w:rPr>
                <w:rFonts w:hint="default" w:ascii="Times New Roman" w:hAnsi="Times New Roman" w:cs="Times New Roman"/>
                <w:b/>
                <w:sz w:val="24"/>
                <w:szCs w:val="24"/>
              </w:rPr>
              <w:t>表1-2 与《江苏省2023年生态环境分区管控动态更新成果公告》相符性</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2"/>
              <w:gridCol w:w="4874"/>
              <w:gridCol w:w="1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w:t>
                  </w:r>
                </w:p>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类别</w:t>
                  </w:r>
                </w:p>
              </w:tc>
              <w:tc>
                <w:tcPr>
                  <w:tcW w:w="3264"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管控要求</w:t>
                  </w:r>
                </w:p>
              </w:tc>
              <w:tc>
                <w:tcPr>
                  <w:tcW w:w="1110"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空间布局约束</w:t>
                  </w:r>
                </w:p>
              </w:tc>
              <w:tc>
                <w:tcPr>
                  <w:tcW w:w="3264" w:type="pct"/>
                  <w:tcBorders>
                    <w:tl2br w:val="nil"/>
                    <w:tr2bl w:val="nil"/>
                  </w:tcBorders>
                  <w:vAlign w:val="center"/>
                </w:tcPr>
                <w:p>
                  <w:pPr>
                    <w:pStyle w:val="102"/>
                    <w:numPr>
                      <w:ilvl w:val="0"/>
                      <w:numId w:val="2"/>
                    </w:numPr>
                    <w:rPr>
                      <w:rFonts w:hint="default" w:ascii="Times New Roman" w:hAnsi="Times New Roman" w:cs="Times New Roman"/>
                      <w:szCs w:val="21"/>
                    </w:rPr>
                  </w:pPr>
                  <w:r>
                    <w:rPr>
                      <w:rFonts w:hint="default" w:ascii="Times New Roman" w:hAnsi="Times New Roman" w:cs="Times New Roman"/>
                      <w:szCs w:val="21"/>
                    </w:rPr>
                    <w:t>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pPr>
                    <w:pStyle w:val="102"/>
                    <w:numPr>
                      <w:ilvl w:val="0"/>
                      <w:numId w:val="2"/>
                    </w:numPr>
                    <w:rPr>
                      <w:rFonts w:hint="default" w:ascii="Times New Roman" w:hAnsi="Times New Roman" w:cs="Times New Roman"/>
                      <w:szCs w:val="21"/>
                    </w:rPr>
                  </w:pPr>
                  <w:r>
                    <w:rPr>
                      <w:rFonts w:hint="default" w:ascii="Times New Roman" w:hAnsi="Times New Roman" w:cs="Times New Roman"/>
                      <w:szCs w:val="21"/>
                    </w:rPr>
                    <w:t xml:space="preserve">牢牢把握推动长江经济带发展“共抓大保护，不搞大开发”战略导向，对省域范围内需要重点保护的岸线、河段和区域实行严格管控，管住控好排放量大、耗能高、产能过剩的产业，推动长江经济带高质量发展。 </w:t>
                  </w:r>
                </w:p>
                <w:p>
                  <w:pPr>
                    <w:pStyle w:val="102"/>
                    <w:numPr>
                      <w:ilvl w:val="0"/>
                      <w:numId w:val="2"/>
                    </w:numPr>
                    <w:rPr>
                      <w:rFonts w:hint="default" w:ascii="Times New Roman" w:hAnsi="Times New Roman" w:cs="Times New Roman"/>
                      <w:szCs w:val="21"/>
                    </w:rPr>
                  </w:pPr>
                  <w:r>
                    <w:rPr>
                      <w:rFonts w:hint="default" w:ascii="Times New Roman" w:hAnsi="Times New Roman" w:cs="Times New Roman"/>
                      <w:szCs w:val="21"/>
                    </w:rPr>
                    <w:t xml:space="preserve">大幅压减沿长江干支流两侧1公里范围内、环境敏感区域、城镇人口密集区、化工园区外和规模以下化工生产企业，着力破解“重化围江”突出问题，高起点同步推进沿江地区战略性转型和沿海地区战略性布局。 </w:t>
                  </w:r>
                </w:p>
                <w:p>
                  <w:pPr>
                    <w:pStyle w:val="102"/>
                    <w:numPr>
                      <w:ilvl w:val="0"/>
                      <w:numId w:val="2"/>
                    </w:numPr>
                    <w:rPr>
                      <w:rFonts w:hint="default" w:ascii="Times New Roman" w:hAnsi="Times New Roman" w:cs="Times New Roman"/>
                      <w:szCs w:val="21"/>
                    </w:rPr>
                  </w:pPr>
                  <w:r>
                    <w:rPr>
                      <w:rFonts w:hint="default" w:ascii="Times New Roman" w:hAnsi="Times New Roman" w:cs="Times New Roman"/>
                      <w:szCs w:val="21"/>
                    </w:rPr>
                    <w:t xml:space="preserve">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 </w:t>
                  </w:r>
                </w:p>
                <w:p>
                  <w:pPr>
                    <w:pStyle w:val="102"/>
                    <w:numPr>
                      <w:ilvl w:val="0"/>
                      <w:numId w:val="2"/>
                    </w:numPr>
                    <w:rPr>
                      <w:rFonts w:hint="default" w:ascii="Times New Roman" w:hAnsi="Times New Roman" w:cs="Times New Roman"/>
                      <w:szCs w:val="21"/>
                    </w:rPr>
                  </w:pPr>
                  <w:r>
                    <w:rPr>
                      <w:rFonts w:hint="default" w:ascii="Times New Roman" w:hAnsi="Times New Roman" w:cs="Times New Roman"/>
                      <w:szCs w:val="21"/>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110" w:type="pct"/>
                  <w:tcBorders>
                    <w:tl2br w:val="nil"/>
                    <w:tr2bl w:val="nil"/>
                  </w:tcBorders>
                  <w:vAlign w:val="center"/>
                </w:tcPr>
                <w:p>
                  <w:pPr>
                    <w:numPr>
                      <w:ilvl w:val="0"/>
                      <w:numId w:val="3"/>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本项目所在地不在生态管控区域范围内，项目建设符合生态红线相关管控要求，不会导致如皋市生态红线区域生产服务功能下降；</w:t>
                  </w:r>
                </w:p>
                <w:p>
                  <w:pPr>
                    <w:numPr>
                      <w:ilvl w:val="0"/>
                      <w:numId w:val="3"/>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本项目属于〔C3421〕金属切削机床制造，不属于耗能高、产能过剩产业；</w:t>
                  </w:r>
                </w:p>
                <w:p>
                  <w:pPr>
                    <w:numPr>
                      <w:ilvl w:val="0"/>
                      <w:numId w:val="3"/>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本项目所在地不在长江干支流两侧1公里范围内，且不涉及环境敏感区域及城镇人口密集区，不属于化工项目；</w:t>
                  </w:r>
                </w:p>
                <w:p>
                  <w:pPr>
                    <w:numPr>
                      <w:ilvl w:val="0"/>
                      <w:numId w:val="3"/>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本项目不属于钢铁行业项目；</w:t>
                  </w:r>
                </w:p>
                <w:p>
                  <w:pPr>
                    <w:numPr>
                      <w:ilvl w:val="0"/>
                      <w:numId w:val="3"/>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本项目不属于重大民生及重大基础设施项目。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污染物排放管控</w:t>
                  </w:r>
                </w:p>
              </w:tc>
              <w:tc>
                <w:tcPr>
                  <w:tcW w:w="3264" w:type="pct"/>
                  <w:tcBorders>
                    <w:tl2br w:val="nil"/>
                    <w:tr2bl w:val="nil"/>
                  </w:tcBorders>
                  <w:vAlign w:val="center"/>
                </w:tcPr>
                <w:p>
                  <w:pPr>
                    <w:numPr>
                      <w:ilvl w:val="0"/>
                      <w:numId w:val="4"/>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坚持生态环境质量只能更好、不能变坏，实施污染物总量控制，以环境容量定产业、定项目、定规模，确保开发建设行为不突破生态环境承载力。 </w:t>
                  </w:r>
                </w:p>
                <w:p>
                  <w:pPr>
                    <w:numPr>
                      <w:ilvl w:val="0"/>
                      <w:numId w:val="4"/>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110"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本项目严格按照污染物总量控制的要求，项目建设不会突破区域生态环境承载力。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环境风险防控</w:t>
                  </w:r>
                </w:p>
              </w:tc>
              <w:tc>
                <w:tcPr>
                  <w:tcW w:w="3264" w:type="pct"/>
                  <w:tcBorders>
                    <w:tl2br w:val="nil"/>
                    <w:tr2bl w:val="nil"/>
                  </w:tcBorders>
                  <w:vAlign w:val="center"/>
                </w:tcPr>
                <w:p>
                  <w:pPr>
                    <w:numPr>
                      <w:ilvl w:val="0"/>
                      <w:numId w:val="5"/>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强化饮用水水源环境风险管控。县级以上城市全部建成应急水源或双源供水。 </w:t>
                  </w:r>
                </w:p>
                <w:p>
                  <w:pPr>
                    <w:numPr>
                      <w:ilvl w:val="0"/>
                      <w:numId w:val="5"/>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pPr>
                    <w:numPr>
                      <w:ilvl w:val="0"/>
                      <w:numId w:val="5"/>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强化环境事故应急管理。深化跨部门、跨区域环境应急协调联动，分区域建立环境应急物资储备库。各级工业园区（集聚区）和企业的环境应急装备和储备物资应纳入储备体系。</w:t>
                  </w:r>
                </w:p>
                <w:p>
                  <w:pPr>
                    <w:numPr>
                      <w:ilvl w:val="0"/>
                      <w:numId w:val="5"/>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110" w:type="pct"/>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项目建成后</w:t>
                  </w:r>
                  <w:r>
                    <w:rPr>
                      <w:rFonts w:hint="default" w:ascii="Times New Roman" w:hAnsi="Times New Roman" w:cs="Times New Roman"/>
                      <w:color w:val="auto"/>
                      <w:szCs w:val="21"/>
                    </w:rPr>
                    <w:t>，企业将</w:t>
                  </w:r>
                  <w:r>
                    <w:rPr>
                      <w:rFonts w:hint="default" w:ascii="Times New Roman" w:hAnsi="Times New Roman" w:cs="Times New Roman"/>
                      <w:color w:val="auto"/>
                      <w:szCs w:val="21"/>
                      <w:lang w:val="en-US" w:eastAsia="zh-CN"/>
                    </w:rPr>
                    <w:t>建立</w:t>
                  </w:r>
                  <w:r>
                    <w:rPr>
                      <w:rFonts w:hint="default" w:ascii="Times New Roman" w:hAnsi="Times New Roman" w:cs="Times New Roman"/>
                      <w:color w:val="auto"/>
                      <w:szCs w:val="21"/>
                    </w:rPr>
                    <w:t>厂区风险防范体系，</w:t>
                  </w:r>
                  <w:r>
                    <w:rPr>
                      <w:rFonts w:hint="default" w:ascii="Times New Roman" w:hAnsi="Times New Roman" w:cs="Times New Roman"/>
                      <w:color w:val="auto"/>
                      <w:szCs w:val="21"/>
                      <w:lang w:val="en-US" w:eastAsia="zh-CN"/>
                    </w:rPr>
                    <w:t>购置</w:t>
                  </w:r>
                  <w:r>
                    <w:rPr>
                      <w:rFonts w:hint="default" w:ascii="Times New Roman" w:hAnsi="Times New Roman" w:cs="Times New Roman"/>
                      <w:color w:val="auto"/>
                      <w:szCs w:val="21"/>
                    </w:rPr>
                    <w:t>一定数量的应急救援物资，及时</w:t>
                  </w:r>
                  <w:r>
                    <w:rPr>
                      <w:rFonts w:hint="default" w:ascii="Times New Roman" w:hAnsi="Times New Roman" w:cs="Times New Roman"/>
                      <w:color w:val="auto"/>
                      <w:szCs w:val="21"/>
                      <w:lang w:val="en-US" w:eastAsia="zh-CN"/>
                    </w:rPr>
                    <w:t>编制</w:t>
                  </w:r>
                  <w:r>
                    <w:rPr>
                      <w:rFonts w:hint="default" w:ascii="Times New Roman" w:hAnsi="Times New Roman" w:cs="Times New Roman"/>
                      <w:color w:val="auto"/>
                      <w:szCs w:val="21"/>
                    </w:rPr>
                    <w:t>突发环境事件应急预案，</w:t>
                  </w:r>
                  <w:r>
                    <w:rPr>
                      <w:rFonts w:hint="default" w:ascii="Times New Roman" w:hAnsi="Times New Roman" w:cs="Times New Roman"/>
                      <w:szCs w:val="21"/>
                    </w:rPr>
                    <w:t>并定期组织演练，定期进行突发环境事件隐患排查，项目环境风险可控。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资源利用效率要求</w:t>
                  </w:r>
                </w:p>
              </w:tc>
              <w:tc>
                <w:tcPr>
                  <w:tcW w:w="3264" w:type="pct"/>
                  <w:tcBorders>
                    <w:tl2br w:val="nil"/>
                    <w:tr2bl w:val="nil"/>
                  </w:tcBorders>
                  <w:vAlign w:val="center"/>
                </w:tcPr>
                <w:p>
                  <w:pPr>
                    <w:numPr>
                      <w:ilvl w:val="0"/>
                      <w:numId w:val="6"/>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水资源利用总量及效率要求：到2025年，全省用水总量控制在525.9亿立方米以内，万元地区生产总值用水量、万元工业增加值用水量下降完成国家下达目标，农田灌溉水有效利用系数提高到0.625。 </w:t>
                  </w:r>
                </w:p>
                <w:p>
                  <w:pPr>
                    <w:numPr>
                      <w:ilvl w:val="0"/>
                      <w:numId w:val="6"/>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土地资源总量要求：到2025年，江苏省耕地保有量不低于5977万亩，其中永久基本农田保护面积不低于5344万亩。</w:t>
                  </w:r>
                </w:p>
                <w:p>
                  <w:pPr>
                    <w:numPr>
                      <w:ilvl w:val="0"/>
                      <w:numId w:val="6"/>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禁燃区要求：在禁燃区内，禁止销售、燃用高污染燃料；禁止新建、扩建燃用高污染燃料的设施，已建成的，应当在城市人民政府规定的期限内改用天然气、页岩气、液化石油气、电或者其他清洁能源。</w:t>
                  </w:r>
                </w:p>
              </w:tc>
              <w:tc>
                <w:tcPr>
                  <w:tcW w:w="1110"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本项目运营期间会消耗一定量的电、水、气等能源，但各类资源消耗均在区域可承受范围内，不会突破环境资源利用上线。</w:t>
                  </w:r>
                </w:p>
              </w:tc>
            </w:tr>
          </w:tbl>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由上表可知，本项目建设符合《江苏省2023年生态环境分区管控动态更新成果公告》中总体要求。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④与江苏省重点区域（流域）生态环境分区管控要求相符性</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本项目位于江苏省如皋搬经镇，属于长江流域、淮河流域、沿海地区，对照江苏省重点区域（流域）生态环境分区管控要求，具体分析如下表1-3。</w:t>
            </w:r>
          </w:p>
          <w:p>
            <w:pPr>
              <w:pStyle w:val="56"/>
              <w:ind w:firstLine="0" w:firstLineChars="0"/>
              <w:rPr>
                <w:rFonts w:hint="default" w:ascii="Times New Roman" w:hAnsi="Times New Roman" w:cs="Times New Roman"/>
                <w:b/>
                <w:sz w:val="24"/>
                <w:szCs w:val="24"/>
              </w:rPr>
            </w:pPr>
            <w:r>
              <w:rPr>
                <w:rFonts w:hint="default" w:ascii="Times New Roman" w:hAnsi="Times New Roman" w:cs="Times New Roman"/>
                <w:b/>
                <w:sz w:val="24"/>
                <w:szCs w:val="24"/>
              </w:rPr>
              <w:t>表1-3 与江苏省重点区域（流域）生态环境分区管控要求相符性</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773"/>
              <w:gridCol w:w="3843"/>
              <w:gridCol w:w="2194"/>
              <w:gridCol w:w="6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管控类别</w:t>
                  </w:r>
                </w:p>
              </w:tc>
              <w:tc>
                <w:tcPr>
                  <w:tcW w:w="2574"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重点管控要求</w:t>
                  </w:r>
                </w:p>
              </w:tc>
              <w:tc>
                <w:tcPr>
                  <w:tcW w:w="1469"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本项目建设情况</w:t>
                  </w:r>
                </w:p>
              </w:tc>
              <w:tc>
                <w:tcPr>
                  <w:tcW w:w="436"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一、长江流域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空间布局约束</w:t>
                  </w:r>
                </w:p>
              </w:tc>
              <w:tc>
                <w:tcPr>
                  <w:tcW w:w="2574" w:type="pct"/>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1.始终把长江生态修复放在首位，坚持共抓大保护、不搞大开发，引导长江流域产业转型升级和布局优化调整，实现科学发展、有序发展、高质量发展。</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2.加强生态空间保护，禁止在国家确定的生态保护红线和永久基本农田范围内，投资建设除国家重大战略资源</w:t>
                  </w:r>
                  <w:r>
                    <w:rPr>
                      <w:rFonts w:hint="eastAsia" w:cs="Times New Roman"/>
                      <w:szCs w:val="21"/>
                      <w:lang w:val="en-US" w:eastAsia="zh-CN"/>
                    </w:rPr>
                    <w:t>勘查</w:t>
                  </w:r>
                  <w:r>
                    <w:rPr>
                      <w:rFonts w:hint="default" w:ascii="Times New Roman" w:hAnsi="Times New Roman" w:cs="Times New Roman"/>
                      <w:szCs w:val="21"/>
                    </w:rPr>
                    <w:t>项目、生态保护修复和地质灾害治理项目、重大基础设施项目、军事国防项目以及农民基本生产生活等必要的民生项目以外的项目。</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5.禁止新建独立焦化项目。</w:t>
                  </w:r>
                </w:p>
              </w:tc>
              <w:tc>
                <w:tcPr>
                  <w:tcW w:w="1469"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w:t>
                  </w:r>
                  <w:r>
                    <w:rPr>
                      <w:rFonts w:hint="default" w:ascii="Times New Roman" w:hAnsi="Times New Roman" w:cs="Times New Roman"/>
                      <w:spacing w:val="4"/>
                      <w:kern w:val="0"/>
                      <w:szCs w:val="21"/>
                    </w:rPr>
                    <w:t>属于</w:t>
                  </w:r>
                  <w:r>
                    <w:rPr>
                      <w:rFonts w:hint="default" w:ascii="Times New Roman" w:hAnsi="Times New Roman" w:cs="Times New Roman"/>
                      <w:szCs w:val="21"/>
                    </w:rPr>
                    <w:t>〔C3421〕金属切削机床制造，不在生态空间管控区域规划范围内，不属于化工、钢铁行业。</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污染物排放管控</w:t>
                  </w:r>
                </w:p>
              </w:tc>
              <w:tc>
                <w:tcPr>
                  <w:tcW w:w="2574" w:type="pct"/>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1.根据《江苏省长江水污染防治条例》实施污染物总量控制制度。</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2.全面加强和规范长江入河排污口管理，有效管控入河污染物排放，形成权责清晰、监控到位、管理规范的长江入河排污口监管体系，加快改善长江水环境质量。</w:t>
                  </w:r>
                </w:p>
              </w:tc>
              <w:tc>
                <w:tcPr>
                  <w:tcW w:w="1469"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根据《南通市如皋生态环境局关于建设项目总量平衡相关问题的函》，对实施登记管理的建设项目不再实施总量平衡。本项目排污许可类别为登记管理，无需申请污染物排放总量。</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环境风险防控</w:t>
                  </w:r>
                </w:p>
              </w:tc>
              <w:tc>
                <w:tcPr>
                  <w:tcW w:w="2574" w:type="pct"/>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1.防范沿江环境风险。深化沿江石化、化工、医药、纺织、印染、化纤、危化品和石油类仓储、涉重金属和危险废物处置等重点企业环境风险防控。</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2.加强饮用水水源保护。优化水源保护区划定，推动饮用水水源地规范化建设。</w:t>
                  </w:r>
                </w:p>
              </w:tc>
              <w:tc>
                <w:tcPr>
                  <w:tcW w:w="1469"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本项目建成后将制定环境风险应急预案，同时企业储备有足够的环境应急物资，实现环境风险联防联控，故能满足环境风险防控的相关要求。</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资源利用效率要求</w:t>
                  </w:r>
                </w:p>
              </w:tc>
              <w:tc>
                <w:tcPr>
                  <w:tcW w:w="2574" w:type="pct"/>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到2020年长江干支流自然岸线保有率达到国家要求。</w:t>
                  </w:r>
                </w:p>
              </w:tc>
              <w:tc>
                <w:tcPr>
                  <w:tcW w:w="1469"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本项目不新增岸线要求，满足资源利用效率要求。</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b/>
                      <w:bCs/>
                      <w:szCs w:val="21"/>
                    </w:rPr>
                    <w:t>二、淮河流域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color w:val="000000"/>
                      <w:kern w:val="0"/>
                      <w:szCs w:val="21"/>
                      <w:lang w:bidi="ar"/>
                    </w:rPr>
                    <w:t>空间</w:t>
                  </w:r>
                  <w:r>
                    <w:rPr>
                      <w:rFonts w:hint="eastAsia" w:cs="Times New Roman"/>
                      <w:color w:val="000000"/>
                      <w:kern w:val="0"/>
                      <w:szCs w:val="21"/>
                      <w:lang w:val="en-US" w:eastAsia="zh-CN" w:bidi="ar"/>
                    </w:rPr>
                    <w:t>布</w:t>
                  </w:r>
                  <w:r>
                    <w:rPr>
                      <w:rFonts w:hint="default" w:ascii="Times New Roman" w:hAnsi="Times New Roman" w:cs="Times New Roman"/>
                      <w:color w:val="000000"/>
                      <w:kern w:val="0"/>
                      <w:szCs w:val="21"/>
                      <w:lang w:bidi="ar"/>
                    </w:rPr>
                    <w:t>局</w:t>
                  </w:r>
                  <w:r>
                    <w:rPr>
                      <w:rFonts w:hint="eastAsia" w:cs="Times New Roman"/>
                      <w:color w:val="000000"/>
                      <w:kern w:val="0"/>
                      <w:szCs w:val="21"/>
                      <w:lang w:val="en-US" w:eastAsia="zh-CN" w:bidi="ar"/>
                    </w:rPr>
                    <w:t>约</w:t>
                  </w:r>
                  <w:r>
                    <w:rPr>
                      <w:rFonts w:hint="default" w:ascii="Times New Roman" w:hAnsi="Times New Roman" w:cs="Times New Roman"/>
                      <w:color w:val="000000"/>
                      <w:kern w:val="0"/>
                      <w:szCs w:val="21"/>
                      <w:lang w:bidi="ar"/>
                    </w:rPr>
                    <w:t>束</w:t>
                  </w:r>
                </w:p>
              </w:tc>
              <w:tc>
                <w:tcPr>
                  <w:tcW w:w="2574" w:type="pct"/>
                  <w:tcBorders>
                    <w:tl2br w:val="nil"/>
                    <w:tr2bl w:val="nil"/>
                  </w:tcBorders>
                  <w:vAlign w:val="center"/>
                </w:tcPr>
                <w:p>
                  <w:pPr>
                    <w:widowControl/>
                    <w:jc w:val="left"/>
                    <w:rPr>
                      <w:rFonts w:hint="default" w:ascii="Times New Roman" w:hAnsi="Times New Roman" w:cs="Times New Roman"/>
                      <w:szCs w:val="21"/>
                    </w:rPr>
                  </w:pPr>
                  <w:r>
                    <w:rPr>
                      <w:rFonts w:hint="default" w:ascii="Times New Roman" w:hAnsi="Times New Roman" w:cs="Times New Roman"/>
                      <w:color w:val="000000"/>
                      <w:kern w:val="0"/>
                      <w:szCs w:val="21"/>
                      <w:lang w:bidi="ar"/>
                    </w:rPr>
                    <w:t>1.禁止在淮河流域新建化学制浆造纸企业，禁止在淮河流域新建制革、化工、印染、电镀、酿造等污染严重的小型企业。</w:t>
                  </w:r>
                </w:p>
                <w:p>
                  <w:pPr>
                    <w:widowControl/>
                    <w:jc w:val="left"/>
                    <w:rPr>
                      <w:rFonts w:hint="default" w:ascii="Times New Roman" w:hAnsi="Times New Roman" w:cs="Times New Roman"/>
                      <w:szCs w:val="21"/>
                    </w:rPr>
                  </w:pPr>
                  <w:r>
                    <w:rPr>
                      <w:rFonts w:hint="default" w:ascii="Times New Roman" w:hAnsi="Times New Roman" w:cs="Times New Roman"/>
                      <w:color w:val="000000"/>
                      <w:kern w:val="0"/>
                      <w:szCs w:val="21"/>
                      <w:lang w:bidi="ar"/>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pPr>
                    <w:widowControl/>
                    <w:jc w:val="left"/>
                    <w:rPr>
                      <w:rFonts w:hint="default" w:ascii="Times New Roman" w:hAnsi="Times New Roman" w:cs="Times New Roman"/>
                      <w:szCs w:val="21"/>
                    </w:rPr>
                  </w:pPr>
                  <w:r>
                    <w:rPr>
                      <w:rFonts w:hint="default" w:ascii="Times New Roman" w:hAnsi="Times New Roman" w:cs="Times New Roman"/>
                      <w:color w:val="000000"/>
                      <w:kern w:val="0"/>
                      <w:szCs w:val="21"/>
                      <w:lang w:bidi="ar"/>
                    </w:rPr>
                    <w:t>3.在通榆河一级保护区，禁止新建、扩建直接或者间接向水体排放污染物的项目，禁止建设工业固体废物集中贮存、利用、处置设施或者场所以及城市生活垃圾填埋场，禁止新建规模化畜禽养殖场。</w:t>
                  </w:r>
                </w:p>
              </w:tc>
              <w:tc>
                <w:tcPr>
                  <w:tcW w:w="1469" w:type="pct"/>
                  <w:tcBorders>
                    <w:tl2br w:val="nil"/>
                    <w:tr2bl w:val="nil"/>
                  </w:tcBorders>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color w:val="000000"/>
                      <w:kern w:val="0"/>
                      <w:szCs w:val="21"/>
                      <w:lang w:bidi="ar"/>
                    </w:rPr>
                    <w:t>本项目</w:t>
                  </w:r>
                  <w:r>
                    <w:rPr>
                      <w:rFonts w:hint="default" w:ascii="Times New Roman" w:hAnsi="Times New Roman" w:cs="Times New Roman"/>
                      <w:spacing w:val="4"/>
                      <w:kern w:val="0"/>
                      <w:szCs w:val="21"/>
                    </w:rPr>
                    <w:t>属于</w:t>
                  </w:r>
                  <w:r>
                    <w:rPr>
                      <w:rFonts w:hint="default" w:ascii="Times New Roman" w:hAnsi="Times New Roman" w:cs="Times New Roman"/>
                      <w:szCs w:val="21"/>
                    </w:rPr>
                    <w:t>〔C3421〕金属切削机床制造</w:t>
                  </w:r>
                  <w:r>
                    <w:rPr>
                      <w:rFonts w:hint="default" w:ascii="Times New Roman" w:hAnsi="Times New Roman" w:cs="Times New Roman"/>
                      <w:color w:val="000000"/>
                      <w:kern w:val="0"/>
                      <w:szCs w:val="21"/>
                      <w:lang w:bidi="ar"/>
                    </w:rPr>
                    <w:t>，不属于上述禁止建设类项目类别。</w:t>
                  </w:r>
                  <w:r>
                    <w:rPr>
                      <w:rFonts w:hint="default" w:ascii="Times New Roman" w:hAnsi="Times New Roman" w:cs="Times New Roman"/>
                      <w:color w:val="000000"/>
                      <w:kern w:val="0"/>
                      <w:szCs w:val="21"/>
                      <w:lang w:val="en-US" w:eastAsia="zh-CN" w:bidi="ar"/>
                    </w:rPr>
                    <w:t>且本项目无生产废水产生，生活污水经化粪池+隔油池处理后接管如皋市搬经污水处理厂处理。</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污染物排放管控</w:t>
                  </w:r>
                </w:p>
              </w:tc>
              <w:tc>
                <w:tcPr>
                  <w:tcW w:w="2574" w:type="pct"/>
                  <w:tcBorders>
                    <w:tl2br w:val="nil"/>
                    <w:tr2bl w:val="nil"/>
                  </w:tcBorders>
                  <w:vAlign w:val="center"/>
                </w:tcPr>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按照《淮河流域水污染防治暂行条例》实施排污总量控制制度。</w:t>
                  </w:r>
                </w:p>
              </w:tc>
              <w:tc>
                <w:tcPr>
                  <w:tcW w:w="1469"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szCs w:val="21"/>
                    </w:rPr>
                    <w:t>根据《南通市如皋生态环境局关于建设项目总量平衡相关问题的函》，对实施登记管理的建设项目不再实施总量平衡。本项目排污许可类别为登记管理，无需申请污染物排放总量。</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环境风险防控</w:t>
                  </w:r>
                </w:p>
              </w:tc>
              <w:tc>
                <w:tcPr>
                  <w:tcW w:w="2574" w:type="pct"/>
                  <w:tcBorders>
                    <w:tl2br w:val="nil"/>
                    <w:tr2bl w:val="nil"/>
                  </w:tcBorders>
                  <w:vAlign w:val="center"/>
                </w:tcPr>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禁止运输剧毒化学品以及国家规定禁止通过内河运输的其他危险化学品的船舶进入通榆河及主要供水河道。</w:t>
                  </w:r>
                </w:p>
              </w:tc>
              <w:tc>
                <w:tcPr>
                  <w:tcW w:w="1469"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本项目不涉及剧毒化学品。</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资源利用效率要求</w:t>
                  </w:r>
                </w:p>
              </w:tc>
              <w:tc>
                <w:tcPr>
                  <w:tcW w:w="2574" w:type="pct"/>
                  <w:tcBorders>
                    <w:tl2br w:val="nil"/>
                    <w:tr2bl w:val="nil"/>
                  </w:tcBorders>
                  <w:vAlign w:val="center"/>
                </w:tcPr>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限制缺水地区发展耗水型产业，调整缺水地区的产业结构，严格控制高耗水、高耗能和重污染的建设项目。</w:t>
                  </w:r>
                </w:p>
              </w:tc>
              <w:tc>
                <w:tcPr>
                  <w:tcW w:w="1469"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本项目不属于高耗水、高耗能和重污染项目。</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b/>
                      <w:bCs/>
                      <w:szCs w:val="21"/>
                    </w:rPr>
                    <w:t>三、沿海地区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color w:val="000000"/>
                      <w:kern w:val="0"/>
                      <w:szCs w:val="21"/>
                      <w:lang w:bidi="ar"/>
                    </w:rPr>
                    <w:t>空间</w:t>
                  </w:r>
                  <w:r>
                    <w:rPr>
                      <w:rFonts w:hint="eastAsia" w:cs="Times New Roman"/>
                      <w:color w:val="000000"/>
                      <w:kern w:val="0"/>
                      <w:szCs w:val="21"/>
                      <w:lang w:val="en-US" w:eastAsia="zh-CN" w:bidi="ar"/>
                    </w:rPr>
                    <w:t>布</w:t>
                  </w:r>
                  <w:r>
                    <w:rPr>
                      <w:rFonts w:hint="default" w:ascii="Times New Roman" w:hAnsi="Times New Roman" w:cs="Times New Roman"/>
                      <w:color w:val="000000"/>
                      <w:kern w:val="0"/>
                      <w:szCs w:val="21"/>
                      <w:lang w:bidi="ar"/>
                    </w:rPr>
                    <w:t>局</w:t>
                  </w:r>
                  <w:r>
                    <w:rPr>
                      <w:rFonts w:hint="eastAsia" w:cs="Times New Roman"/>
                      <w:color w:val="000000"/>
                      <w:kern w:val="0"/>
                      <w:szCs w:val="21"/>
                      <w:lang w:val="en-US" w:eastAsia="zh-CN" w:bidi="ar"/>
                    </w:rPr>
                    <w:t>约</w:t>
                  </w:r>
                  <w:r>
                    <w:rPr>
                      <w:rFonts w:hint="default" w:ascii="Times New Roman" w:hAnsi="Times New Roman" w:cs="Times New Roman"/>
                      <w:color w:val="000000"/>
                      <w:kern w:val="0"/>
                      <w:szCs w:val="21"/>
                      <w:lang w:bidi="ar"/>
                    </w:rPr>
                    <w:t>束</w:t>
                  </w:r>
                </w:p>
              </w:tc>
              <w:tc>
                <w:tcPr>
                  <w:tcW w:w="2574" w:type="pct"/>
                  <w:tcBorders>
                    <w:tl2br w:val="nil"/>
                    <w:tr2bl w:val="nil"/>
                  </w:tcBorders>
                  <w:vAlign w:val="center"/>
                </w:tcPr>
                <w:p>
                  <w:pPr>
                    <w:widowControl/>
                    <w:jc w:val="left"/>
                    <w:rPr>
                      <w:rFonts w:hint="default" w:ascii="Times New Roman" w:hAnsi="Times New Roman" w:cs="Times New Roman"/>
                      <w:szCs w:val="21"/>
                    </w:rPr>
                  </w:pPr>
                  <w:r>
                    <w:rPr>
                      <w:rFonts w:hint="default" w:ascii="Times New Roman" w:hAnsi="Times New Roman" w:cs="Times New Roman"/>
                      <w:color w:val="000000"/>
                      <w:kern w:val="0"/>
                      <w:szCs w:val="21"/>
                      <w:lang w:bidi="ar"/>
                    </w:rPr>
                    <w:t>1.禁止在沿海陆域内新建不具备有效治理措施的化学制浆造纸、化工、印染、制革、电镀、酿造、炼油、岸边冲滩拆船以及其他严重污染海洋环境的工业生产项目。</w:t>
                  </w:r>
                </w:p>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2.沿海地区严格控制新建医药、农药和染料中间体项目。</w:t>
                  </w:r>
                </w:p>
              </w:tc>
              <w:tc>
                <w:tcPr>
                  <w:tcW w:w="1469"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本项目不属于以上管控项目</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污染物排放管控</w:t>
                  </w:r>
                </w:p>
              </w:tc>
              <w:tc>
                <w:tcPr>
                  <w:tcW w:w="2574" w:type="pct"/>
                  <w:tcBorders>
                    <w:tl2br w:val="nil"/>
                    <w:tr2bl w:val="nil"/>
                  </w:tcBorders>
                  <w:vAlign w:val="center"/>
                </w:tcPr>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按照《江苏省海洋环境保护条例》实施重点海域排污总量控制制度。</w:t>
                  </w:r>
                </w:p>
              </w:tc>
              <w:tc>
                <w:tcPr>
                  <w:tcW w:w="1469"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szCs w:val="21"/>
                    </w:rPr>
                    <w:t>根据《南通市如皋生态环境局关于建设项目总量平衡相关问题的函》，对实施登记管理的建设项目不再实施总量平衡。本项目排污许可类别为登记管理，无需申请污染物排放总量。</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环境风险防控</w:t>
                  </w:r>
                </w:p>
              </w:tc>
              <w:tc>
                <w:tcPr>
                  <w:tcW w:w="2574" w:type="pct"/>
                  <w:tcBorders>
                    <w:tl2br w:val="nil"/>
                    <w:tr2bl w:val="nil"/>
                  </w:tcBorders>
                  <w:vAlign w:val="center"/>
                </w:tcPr>
                <w:p>
                  <w:pPr>
                    <w:widowControl/>
                    <w:jc w:val="left"/>
                    <w:rPr>
                      <w:rFonts w:hint="default" w:ascii="Times New Roman" w:hAnsi="Times New Roman" w:cs="Times New Roman"/>
                      <w:szCs w:val="21"/>
                    </w:rPr>
                  </w:pPr>
                  <w:r>
                    <w:rPr>
                      <w:rFonts w:hint="default" w:ascii="Times New Roman" w:hAnsi="Times New Roman" w:cs="Times New Roman"/>
                      <w:color w:val="000000"/>
                      <w:kern w:val="0"/>
                      <w:szCs w:val="21"/>
                      <w:lang w:bidi="ar"/>
                    </w:rPr>
                    <w:t>1.禁止向海洋倾倒汞及汞化合物、强放射性物质等国家规定的一类废弃物。</w:t>
                  </w:r>
                </w:p>
                <w:p>
                  <w:pPr>
                    <w:widowControl/>
                    <w:jc w:val="left"/>
                    <w:rPr>
                      <w:rFonts w:hint="default" w:ascii="Times New Roman" w:hAnsi="Times New Roman" w:cs="Times New Roman"/>
                      <w:szCs w:val="21"/>
                    </w:rPr>
                  </w:pPr>
                  <w:r>
                    <w:rPr>
                      <w:rFonts w:hint="default" w:ascii="Times New Roman" w:hAnsi="Times New Roman" w:cs="Times New Roman"/>
                      <w:color w:val="000000"/>
                      <w:kern w:val="0"/>
                      <w:szCs w:val="21"/>
                      <w:lang w:bidi="ar"/>
                    </w:rPr>
                    <w:t>2.加强对赤潮、浒苔绿潮、溢油、危险化学品泄漏及海洋核辐射等海上突发性海洋灾害事故的应急监视，防治突发性海洋环境灾害。</w:t>
                  </w:r>
                </w:p>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3.沿海地区应加强危险货物运输风险、船舶污染事故风险应急管控。</w:t>
                  </w:r>
                </w:p>
              </w:tc>
              <w:tc>
                <w:tcPr>
                  <w:tcW w:w="1469" w:type="pct"/>
                  <w:tcBorders>
                    <w:tl2br w:val="nil"/>
                    <w:tr2bl w:val="nil"/>
                  </w:tcBorders>
                  <w:vAlign w:val="center"/>
                </w:tcPr>
                <w:p>
                  <w:pPr>
                    <w:widowControl/>
                    <w:jc w:val="center"/>
                    <w:rPr>
                      <w:rFonts w:hint="default" w:ascii="Times New Roman" w:hAnsi="Times New Roman" w:cs="Times New Roman"/>
                      <w:color w:val="000000"/>
                      <w:kern w:val="0"/>
                      <w:szCs w:val="21"/>
                      <w:lang w:val="en-US" w:bidi="ar"/>
                    </w:rPr>
                  </w:pPr>
                  <w:r>
                    <w:rPr>
                      <w:rFonts w:hint="default" w:ascii="Times New Roman" w:hAnsi="Times New Roman" w:cs="Times New Roman"/>
                      <w:color w:val="000000"/>
                      <w:kern w:val="0"/>
                      <w:szCs w:val="21"/>
                      <w:lang w:val="en-US" w:eastAsia="zh-CN" w:bidi="ar"/>
                    </w:rPr>
                    <w:t>本项目无生产废水，生活污水经化粪池+隔油池处理后接管如皋市搬经污水处理厂处理，不会向海洋倾倒汞及汞化合物、强放射性物质等一等废弃物、不涉及海洋运输、不涉及危险货物运输、无船舶污染事故风险。</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资源利用效率要求</w:t>
                  </w:r>
                </w:p>
              </w:tc>
              <w:tc>
                <w:tcPr>
                  <w:tcW w:w="2574" w:type="pct"/>
                  <w:tcBorders>
                    <w:tl2br w:val="nil"/>
                    <w:tr2bl w:val="nil"/>
                  </w:tcBorders>
                  <w:vAlign w:val="center"/>
                </w:tcPr>
                <w:p>
                  <w:pPr>
                    <w:widowControl/>
                    <w:jc w:val="left"/>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至2025年，大陆自然岸线保有率不低于36.1%。</w:t>
                  </w:r>
                </w:p>
              </w:tc>
              <w:tc>
                <w:tcPr>
                  <w:tcW w:w="1469" w:type="pct"/>
                  <w:tcBorders>
                    <w:tl2br w:val="nil"/>
                    <w:tr2bl w:val="nil"/>
                  </w:tcBorders>
                  <w:vAlign w:val="center"/>
                </w:tcPr>
                <w:p>
                  <w:pPr>
                    <w:widowControl/>
                    <w:jc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本项目所在地不在大陆自然岸线</w:t>
                  </w:r>
                </w:p>
              </w:tc>
              <w:tc>
                <w:tcPr>
                  <w:tcW w:w="43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符合</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综上，本项目符合江苏省重点区域（流域）生态环境分区管控要求。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⑤与《南通市2023年度生态环境分区管控动态更新成果公告》相符性分析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本项目位于一般管控单元，对照总体要求如下。</w:t>
            </w:r>
          </w:p>
          <w:p>
            <w:pPr>
              <w:pStyle w:val="56"/>
              <w:ind w:firstLine="482"/>
              <w:rPr>
                <w:rFonts w:hint="default" w:ascii="Times New Roman" w:hAnsi="Times New Roman" w:cs="Times New Roman"/>
                <w:b/>
                <w:sz w:val="24"/>
                <w:szCs w:val="24"/>
              </w:rPr>
            </w:pPr>
            <w:r>
              <w:rPr>
                <w:rFonts w:hint="default" w:ascii="Times New Roman" w:hAnsi="Times New Roman" w:cs="Times New Roman"/>
                <w:b/>
                <w:sz w:val="24"/>
                <w:szCs w:val="24"/>
              </w:rPr>
              <w:t>表1-4  与《南通市2023年生态环境分区管控动态更新成果公告》相符性</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4875"/>
              <w:gridCol w:w="1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w:t>
                  </w:r>
                </w:p>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类别</w:t>
                  </w:r>
                </w:p>
              </w:tc>
              <w:tc>
                <w:tcPr>
                  <w:tcW w:w="3264"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管控要求</w:t>
                  </w:r>
                </w:p>
              </w:tc>
              <w:tc>
                <w:tcPr>
                  <w:tcW w:w="1109"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空间布局约束</w:t>
                  </w:r>
                </w:p>
              </w:tc>
              <w:tc>
                <w:tcPr>
                  <w:tcW w:w="3264" w:type="pct"/>
                  <w:tcBorders>
                    <w:tl2br w:val="nil"/>
                    <w:tr2bl w:val="nil"/>
                  </w:tcBorders>
                  <w:vAlign w:val="center"/>
                </w:tcPr>
                <w:p>
                  <w:pPr>
                    <w:numPr>
                      <w:ilvl w:val="0"/>
                      <w:numId w:val="7"/>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落实国土空间总体规划，严守生态保护红线，陆域生态保护红线53.4917平方公里，海洋生态保护红线2480.777平方公里。南通市生态空间管控区域面积1532.87平方公里。</w:t>
                  </w:r>
                </w:p>
                <w:p>
                  <w:pPr>
                    <w:pStyle w:val="102"/>
                    <w:numPr>
                      <w:ilvl w:val="0"/>
                      <w:numId w:val="7"/>
                    </w:numPr>
                    <w:rPr>
                      <w:rFonts w:hint="default" w:ascii="Times New Roman" w:hAnsi="Times New Roman" w:cs="Times New Roman"/>
                      <w:szCs w:val="21"/>
                    </w:rPr>
                  </w:pPr>
                  <w:r>
                    <w:rPr>
                      <w:rFonts w:hint="default" w:ascii="Times New Roman" w:hAnsi="Times New Roman" w:cs="Times New Roman"/>
                      <w:szCs w:val="21"/>
                    </w:rPr>
                    <w:t>严格执行《（长江经济带发展负面清单指南）江苏省实施细则（试行）》；禁止引进引入《南通市工业结构调整指导目录》淘汰类的产品、列入《南通市工业产业技术改造负面清单》严格禁止的技术改造工艺装备及产品。</w:t>
                  </w:r>
                </w:p>
                <w:p>
                  <w:pPr>
                    <w:pStyle w:val="102"/>
                    <w:numPr>
                      <w:ilvl w:val="0"/>
                      <w:numId w:val="7"/>
                    </w:numPr>
                    <w:rPr>
                      <w:rFonts w:hint="default" w:ascii="Times New Roman" w:hAnsi="Times New Roman" w:cs="Times New Roman"/>
                      <w:szCs w:val="21"/>
                    </w:rPr>
                  </w:pPr>
                  <w:r>
                    <w:rPr>
                      <w:rFonts w:hint="default" w:ascii="Times New Roman" w:hAnsi="Times New Roman" w:cs="Times New Roman"/>
                      <w:szCs w:val="21"/>
                    </w:rPr>
                    <w:t>根据《省政府关于加强全省化工园区化工集中区规范化管理的通知》（苏政发〔2020〕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存在新上医药中间体、农药中间体、染料中间体项目（具有自主知识产权的关键中间体及高产出、低污染项目除外，分别由科技部门和环保部门认定）。沿江化工园区不再新建农药、染料化工企业。</w:t>
                  </w:r>
                </w:p>
                <w:p>
                  <w:pPr>
                    <w:pStyle w:val="102"/>
                    <w:numPr>
                      <w:ilvl w:val="0"/>
                      <w:numId w:val="7"/>
                    </w:numPr>
                    <w:rPr>
                      <w:rFonts w:hint="default" w:ascii="Times New Roman" w:hAnsi="Times New Roman" w:cs="Times New Roman"/>
                      <w:szCs w:val="21"/>
                    </w:rPr>
                  </w:pPr>
                  <w:r>
                    <w:rPr>
                      <w:rFonts w:hint="default" w:ascii="Times New Roman" w:hAnsi="Times New Roman" w:cs="Times New Roman"/>
                      <w:szCs w:val="21"/>
                    </w:rPr>
                    <w:t>落实《市政府办公室印发〈关于进一步促进全市乡镇工业集聚区高质量发展的实施意见〉的通知》（通政办发〔2022〕70号），严格控制新增集聚区，推动园区外企业入园进区。除保障农村一二三产业融合发展所需项目外，对招商中不符合规划的项目实行一票否决，各地不得为项目随意调整规划。</w:t>
                  </w:r>
                </w:p>
                <w:p>
                  <w:pPr>
                    <w:pStyle w:val="102"/>
                    <w:numPr>
                      <w:ilvl w:val="0"/>
                      <w:numId w:val="7"/>
                    </w:numPr>
                    <w:rPr>
                      <w:rFonts w:hint="default" w:ascii="Times New Roman" w:hAnsi="Times New Roman" w:cs="Times New Roman"/>
                      <w:szCs w:val="21"/>
                    </w:rPr>
                  </w:pPr>
                  <w:r>
                    <w:rPr>
                      <w:rFonts w:hint="default" w:ascii="Times New Roman" w:hAnsi="Times New Roman" w:cs="Times New Roman"/>
                      <w:szCs w:val="21"/>
                    </w:rPr>
                    <w:t>落实《市政府办公室关于印发南通市减污降碳协同增效三年行动计划（2023—2025年）的通知》（通政办发〔2023〕24号），实施“两高”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构建自主可控、安全可靠的绿色产业链。</w:t>
                  </w:r>
                </w:p>
                <w:p>
                  <w:pPr>
                    <w:pStyle w:val="102"/>
                    <w:numPr>
                      <w:ilvl w:val="0"/>
                      <w:numId w:val="7"/>
                    </w:numPr>
                    <w:rPr>
                      <w:rFonts w:hint="default" w:ascii="Times New Roman" w:hAnsi="Times New Roman" w:cs="Times New Roman"/>
                      <w:szCs w:val="21"/>
                    </w:rPr>
                  </w:pPr>
                  <w:r>
                    <w:rPr>
                      <w:rFonts w:hint="default" w:ascii="Times New Roman" w:hAnsi="Times New Roman" w:cs="Times New Roman"/>
                      <w:szCs w:val="21"/>
                    </w:rPr>
                    <w:t>落实《自然资源部国家发展改革委农业农村部关于保障和规范农村一二三产业融合发展用地的通知》（自然资发〔2021〕16号）要求，引导农村产业在县域范围内统筹布局，规模较大、工业化程度高、分散布局配套设施成本高的产业项目要进产业园区；具有一定规模的农产品加工要向县域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得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1109" w:type="pct"/>
                  <w:tcBorders>
                    <w:tl2br w:val="nil"/>
                    <w:tr2bl w:val="nil"/>
                  </w:tcBorders>
                  <w:vAlign w:val="center"/>
                </w:tcPr>
                <w:p>
                  <w:pPr>
                    <w:numPr>
                      <w:ilvl w:val="0"/>
                      <w:numId w:val="8"/>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本项目所在地不在生态管控区域范围内，项目建设符合生态红线相关管控要求，不会导致如皋市生态红线区域生产服务功能下降；</w:t>
                  </w:r>
                </w:p>
                <w:p>
                  <w:pPr>
                    <w:numPr>
                      <w:ilvl w:val="0"/>
                      <w:numId w:val="8"/>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本项目不使用限制淘汰类工艺装备；</w:t>
                  </w:r>
                </w:p>
                <w:p>
                  <w:pPr>
                    <w:numPr>
                      <w:ilvl w:val="0"/>
                      <w:numId w:val="8"/>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本项目不涉及化工；</w:t>
                  </w:r>
                </w:p>
                <w:p>
                  <w:pPr>
                    <w:numPr>
                      <w:ilvl w:val="0"/>
                      <w:numId w:val="8"/>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本项目选址位于</w:t>
                  </w:r>
                  <w:r>
                    <w:rPr>
                      <w:rFonts w:hint="default" w:ascii="Times New Roman" w:hAnsi="Times New Roman" w:cs="Times New Roman"/>
                      <w:kern w:val="0"/>
                      <w:szCs w:val="21"/>
                    </w:rPr>
                    <w:t>搬经镇</w:t>
                  </w:r>
                  <w:r>
                    <w:rPr>
                      <w:rFonts w:hint="default" w:ascii="Times New Roman" w:hAnsi="Times New Roman" w:cs="Times New Roman"/>
                      <w:szCs w:val="21"/>
                    </w:rPr>
                    <w:t>工业集聚区；</w:t>
                  </w:r>
                </w:p>
                <w:p>
                  <w:pPr>
                    <w:numPr>
                      <w:ilvl w:val="0"/>
                      <w:numId w:val="8"/>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本项目不属于“两高”项目；</w:t>
                  </w:r>
                </w:p>
                <w:p>
                  <w:pPr>
                    <w:numPr>
                      <w:ilvl w:val="0"/>
                      <w:numId w:val="8"/>
                    </w:num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本项目选址位于城镇开发边界，不涉及基本农田及生态红线。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污染物排放管控</w:t>
                  </w:r>
                </w:p>
              </w:tc>
              <w:tc>
                <w:tcPr>
                  <w:tcW w:w="3264" w:type="pct"/>
                  <w:tcBorders>
                    <w:tl2br w:val="nil"/>
                    <w:tr2bl w:val="nil"/>
                  </w:tcBorders>
                  <w:vAlign w:val="center"/>
                </w:tcPr>
                <w:p>
                  <w:pPr>
                    <w:numPr>
                      <w:ilvl w:val="0"/>
                      <w:numId w:val="9"/>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pPr>
                    <w:numPr>
                      <w:ilvl w:val="0"/>
                      <w:numId w:val="9"/>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w:t>
                  </w:r>
                </w:p>
                <w:p>
                  <w:pPr>
                    <w:numPr>
                      <w:ilvl w:val="0"/>
                      <w:numId w:val="9"/>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落实《省政府办公厅关于印发江苏省排污权有偿使用和交易管理暂行办法的通知》（苏政办发〔2017〕115号）及配套的实施细则中，关于新、改扩建项目获得排污权指标的相关要求。</w:t>
                  </w:r>
                </w:p>
                <w:p>
                  <w:pPr>
                    <w:numPr>
                      <w:ilvl w:val="0"/>
                      <w:numId w:val="9"/>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tc>
              <w:tc>
                <w:tcPr>
                  <w:tcW w:w="1109"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根据《南通市如皋生态环境局关于建设项目总量平衡相关问题的函》，对实施登记管理的建设项目不再实施总量平衡。本项目排污许可类别为登记管理，无需申请污染物排放总量。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环境风险防控</w:t>
                  </w:r>
                </w:p>
              </w:tc>
              <w:tc>
                <w:tcPr>
                  <w:tcW w:w="3264" w:type="pct"/>
                  <w:tcBorders>
                    <w:tl2br w:val="nil"/>
                    <w:tr2bl w:val="nil"/>
                  </w:tcBorders>
                  <w:vAlign w:val="center"/>
                </w:tcPr>
                <w:p>
                  <w:pPr>
                    <w:numPr>
                      <w:ilvl w:val="0"/>
                      <w:numId w:val="10"/>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落实《南通市突发环境事件应急预案（2020年修订版）》（通政办发〔2020〕46号）。</w:t>
                  </w:r>
                </w:p>
                <w:p>
                  <w:pPr>
                    <w:numPr>
                      <w:ilvl w:val="0"/>
                      <w:numId w:val="10"/>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pPr>
                    <w:numPr>
                      <w:ilvl w:val="0"/>
                      <w:numId w:val="10"/>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109" w:type="pct"/>
                  <w:tcBorders>
                    <w:tl2br w:val="nil"/>
                    <w:tr2bl w:val="nil"/>
                  </w:tcBorders>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本项目建成后将制定环境风险应急预案，同时</w:t>
                  </w:r>
                  <w:r>
                    <w:rPr>
                      <w:rFonts w:hint="eastAsia" w:cs="Times New Roman"/>
                      <w:szCs w:val="21"/>
                      <w:lang w:eastAsia="zh-CN"/>
                    </w:rPr>
                    <w:t>企业</w:t>
                  </w:r>
                  <w:r>
                    <w:rPr>
                      <w:rFonts w:hint="default" w:ascii="Times New Roman" w:hAnsi="Times New Roman" w:cs="Times New Roman"/>
                      <w:szCs w:val="21"/>
                    </w:rPr>
                    <w:t>储备有足够的环境应急物资，实现环境风险联防联控，故能满足环境风险防控的相关要求。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adjustRightInd w:val="0"/>
                    <w:snapToGrid w:val="0"/>
                    <w:jc w:val="center"/>
                    <w:rPr>
                      <w:rFonts w:hint="default" w:ascii="Times New Roman" w:hAnsi="Times New Roman" w:cs="Times New Roman"/>
                      <w:szCs w:val="21"/>
                    </w:rPr>
                  </w:pPr>
                </w:p>
                <w:p>
                  <w:pPr>
                    <w:adjustRightInd w:val="0"/>
                    <w:snapToGrid w:val="0"/>
                    <w:jc w:val="center"/>
                    <w:rPr>
                      <w:rFonts w:hint="default" w:ascii="Times New Roman" w:hAnsi="Times New Roman" w:cs="Times New Roman"/>
                      <w:szCs w:val="21"/>
                    </w:rPr>
                  </w:pPr>
                </w:p>
                <w:p>
                  <w:pPr>
                    <w:adjustRightInd w:val="0"/>
                    <w:snapToGrid w:val="0"/>
                    <w:jc w:val="center"/>
                    <w:rPr>
                      <w:rFonts w:hint="default" w:ascii="Times New Roman" w:hAnsi="Times New Roman" w:cs="Times New Roman"/>
                      <w:szCs w:val="21"/>
                    </w:rPr>
                  </w:pPr>
                </w:p>
                <w:p>
                  <w:pPr>
                    <w:adjustRightInd w:val="0"/>
                    <w:snapToGrid w:val="0"/>
                    <w:jc w:val="center"/>
                    <w:rPr>
                      <w:rFonts w:hint="default" w:ascii="Times New Roman" w:hAnsi="Times New Roman" w:cs="Times New Roman"/>
                      <w:szCs w:val="21"/>
                    </w:rPr>
                  </w:pPr>
                </w:p>
                <w:p>
                  <w:pPr>
                    <w:adjustRightInd w:val="0"/>
                    <w:snapToGrid w:val="0"/>
                    <w:jc w:val="center"/>
                    <w:rPr>
                      <w:rFonts w:hint="default" w:ascii="Times New Roman" w:hAnsi="Times New Roman" w:cs="Times New Roman"/>
                      <w:szCs w:val="21"/>
                    </w:rPr>
                  </w:pPr>
                </w:p>
                <w:p>
                  <w:pPr>
                    <w:adjustRightInd w:val="0"/>
                    <w:snapToGrid w:val="0"/>
                    <w:jc w:val="center"/>
                    <w:rPr>
                      <w:rFonts w:hint="default" w:ascii="Times New Roman" w:hAnsi="Times New Roman" w:cs="Times New Roman"/>
                      <w:szCs w:val="21"/>
                    </w:rPr>
                  </w:pP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资源利用效率要求</w:t>
                  </w:r>
                </w:p>
              </w:tc>
              <w:tc>
                <w:tcPr>
                  <w:tcW w:w="3264" w:type="pct"/>
                  <w:tcBorders>
                    <w:tl2br w:val="nil"/>
                    <w:tr2bl w:val="nil"/>
                  </w:tcBorders>
                  <w:vAlign w:val="center"/>
                </w:tcPr>
                <w:p>
                  <w:pPr>
                    <w:numPr>
                      <w:ilvl w:val="0"/>
                      <w:numId w:val="11"/>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根据《中华人民共和国大气污染防治法》，禁燃区禁止新建、扩建燃用高污染燃料的项目和设施，已建成的应逐步或依法限期改用天然气、电或者其他清洁能源。</w:t>
                  </w:r>
                </w:p>
                <w:p>
                  <w:pPr>
                    <w:numPr>
                      <w:ilvl w:val="0"/>
                      <w:numId w:val="11"/>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pPr>
                    <w:numPr>
                      <w:ilvl w:val="0"/>
                      <w:numId w:val="11"/>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pPr>
                    <w:numPr>
                      <w:ilvl w:val="0"/>
                      <w:numId w:val="11"/>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市政府办公室印发〈关于进一步促进全市乡镇工业集聚区高质量发展的实施意见〉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化零为整”。</w:t>
                  </w:r>
                </w:p>
                <w:p>
                  <w:pPr>
                    <w:numPr>
                      <w:ilvl w:val="0"/>
                      <w:numId w:val="11"/>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落实《市政府办公室关于印发南通市减污降碳协同增效三年行动计划（2023—2025年）的通知》（通政办发〔2023〕24号），加强岸线动态监管，严禁工贸和港口企业无序占用港口岸线。严控煤炭消费总量，严禁新（扩）建燃煤自备电厂，新建燃煤发电机组达到煤炭清洁高效利用标杆水平，2025年底前现有机组达到标杆水平。</w:t>
                  </w:r>
                </w:p>
                <w:p>
                  <w:pPr>
                    <w:numPr>
                      <w:ilvl w:val="0"/>
                      <w:numId w:val="11"/>
                    </w:numPr>
                    <w:adjustRightInd w:val="0"/>
                    <w:snapToGrid w:val="0"/>
                    <w:ind w:firstLine="420" w:firstLineChars="200"/>
                    <w:rPr>
                      <w:rFonts w:hint="default" w:ascii="Times New Roman" w:hAnsi="Times New Roman" w:cs="Times New Roman"/>
                      <w:szCs w:val="21"/>
                    </w:rPr>
                  </w:pPr>
                  <w:r>
                    <w:rPr>
                      <w:rFonts w:hint="default" w:ascii="Times New Roman" w:hAnsi="Times New Roman" w:cs="Times New Roman"/>
                      <w:szCs w:val="21"/>
                    </w:rPr>
                    <w:t>根据《省最严格水资源管理考核和节约用水工作联席会议办公室关于下达2023年度实行最严格水资源管理制度目标任务的通知》（苏水办资联﹝2023﹞2号），2023年南通市地下水用水总量为2800万立方米。</w:t>
                  </w:r>
                </w:p>
              </w:tc>
              <w:tc>
                <w:tcPr>
                  <w:tcW w:w="1109"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本项目不使用高污染燃料，不使用地下水资源，各项指标达到当地要求。</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color w:val="auto"/>
                      <w:szCs w:val="21"/>
                      <w:lang w:val="en-US" w:eastAsia="zh-CN"/>
                    </w:rPr>
                    <w:t>根据附件4-1，本项目亩均投资为571万元，亩均税收35万元，满足</w:t>
                  </w:r>
                  <w:r>
                    <w:rPr>
                      <w:rFonts w:hint="default" w:ascii="Times New Roman" w:hAnsi="Times New Roman" w:cs="Times New Roman"/>
                      <w:color w:val="auto"/>
                      <w:szCs w:val="21"/>
                    </w:rPr>
                    <w:t>《市政府办公室印发〈关于进一步促进全市乡镇工业集聚区高质量发展的实施意见〉的通知》（通政办发〔2022〕70号）</w:t>
                  </w:r>
                  <w:r>
                    <w:rPr>
                      <w:rFonts w:hint="default" w:ascii="Times New Roman" w:hAnsi="Times New Roman" w:cs="Times New Roman"/>
                      <w:color w:val="auto"/>
                      <w:szCs w:val="21"/>
                      <w:lang w:val="en-US" w:eastAsia="zh-CN"/>
                    </w:rPr>
                    <w:t>要求</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由上表可知，本项目建设符合《南通市2023年生态环境分区管控动态更新成果公告》中对南通市市域生态环境重点管控的要求。</w:t>
            </w:r>
          </w:p>
          <w:p>
            <w:pPr>
              <w:spacing w:line="360" w:lineRule="auto"/>
              <w:ind w:firstLine="480" w:firstLineChars="200"/>
              <w:rPr>
                <w:rFonts w:hint="default" w:ascii="Times New Roman" w:hAnsi="Times New Roman" w:cs="Times New Roman"/>
                <w:b/>
                <w:bCs/>
                <w:sz w:val="24"/>
              </w:rPr>
            </w:pPr>
            <w:r>
              <w:rPr>
                <w:rFonts w:hint="default" w:ascii="Times New Roman" w:hAnsi="Times New Roman" w:cs="Times New Roman"/>
                <w:sz w:val="24"/>
              </w:rPr>
              <w:t>⑥与生态环境管控单元相符性分析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对照江苏省生态环境厅关于江苏省2023年度生态分区管控动态更新成果公告（查询结果见附件8，属于一般管控单元），本项目与“三线一单”生态环境分区管控方案相符性见表1-5。</w:t>
            </w:r>
          </w:p>
          <w:p>
            <w:pPr>
              <w:jc w:val="center"/>
              <w:rPr>
                <w:rFonts w:hint="default" w:ascii="Times New Roman" w:hAnsi="Times New Roman" w:cs="Times New Roman"/>
                <w:b/>
                <w:bCs/>
                <w:sz w:val="24"/>
              </w:rPr>
            </w:pPr>
            <w:r>
              <w:rPr>
                <w:rFonts w:hint="default" w:ascii="Times New Roman" w:hAnsi="Times New Roman" w:cs="Times New Roman"/>
                <w:b/>
                <w:bCs/>
                <w:sz w:val="24"/>
              </w:rPr>
              <w:t>表1-5  与“三线一单”生态环境分区管控方案相符性</w:t>
            </w:r>
          </w:p>
          <w:tbl>
            <w:tblPr>
              <w:tblStyle w:val="2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970"/>
              <w:gridCol w:w="2766"/>
              <w:gridCol w:w="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管控类别</w:t>
                  </w:r>
                </w:p>
              </w:tc>
              <w:tc>
                <w:tcPr>
                  <w:tcW w:w="1990" w:type="pct"/>
                  <w:tcBorders>
                    <w:tl2br w:val="nil"/>
                    <w:tr2bl w:val="nil"/>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管控要求（搬经镇）</w:t>
                  </w:r>
                </w:p>
              </w:tc>
              <w:tc>
                <w:tcPr>
                  <w:tcW w:w="1853"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b/>
                      <w:bCs/>
                      <w:szCs w:val="21"/>
                    </w:rPr>
                    <w:t>本项目建设情况</w:t>
                  </w:r>
                </w:p>
              </w:tc>
              <w:tc>
                <w:tcPr>
                  <w:tcW w:w="654" w:type="pct"/>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b/>
                      <w:bCs/>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空间布局约束</w:t>
                  </w:r>
                </w:p>
              </w:tc>
              <w:tc>
                <w:tcPr>
                  <w:tcW w:w="1990" w:type="pct"/>
                  <w:tcBorders>
                    <w:tl2br w:val="nil"/>
                    <w:tr2bl w:val="nil"/>
                  </w:tcBorders>
                  <w:vAlign w:val="center"/>
                </w:tcPr>
                <w:p>
                  <w:pPr>
                    <w:rPr>
                      <w:rFonts w:hint="default" w:ascii="Times New Roman" w:hAnsi="Times New Roman" w:cs="Times New Roman"/>
                      <w:szCs w:val="21"/>
                    </w:rPr>
                  </w:pPr>
                  <w:r>
                    <w:rPr>
                      <w:rFonts w:hint="default" w:ascii="Times New Roman" w:hAnsi="Times New Roman" w:cs="Times New Roman"/>
                      <w:szCs w:val="21"/>
                    </w:rPr>
                    <w:t>1.各类开发建设活动应符合如皋市、搬经镇国土空间总体规划、控制性详细规划等相关要求。2.位于通榆河流域的建设项目，符合《江苏省通榆河水污染防治条例》等相关要求。</w:t>
                  </w:r>
                </w:p>
              </w:tc>
              <w:tc>
                <w:tcPr>
                  <w:tcW w:w="185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本项目</w:t>
                  </w:r>
                  <w:r>
                    <w:rPr>
                      <w:rFonts w:hint="default" w:ascii="Times New Roman" w:hAnsi="Times New Roman" w:cs="Times New Roman"/>
                      <w:spacing w:val="4"/>
                      <w:kern w:val="0"/>
                      <w:szCs w:val="21"/>
                    </w:rPr>
                    <w:t>属于</w:t>
                  </w:r>
                  <w:r>
                    <w:rPr>
                      <w:rFonts w:hint="default" w:ascii="Times New Roman" w:hAnsi="Times New Roman" w:cs="Times New Roman"/>
                      <w:szCs w:val="21"/>
                    </w:rPr>
                    <w:t>〔C3421〕金属切削机床制造，本项目不在生态空间管控区域规划范围内，不属于排放量大、耗能高、产能过剩的产业；不属于化工企业、钢铁企业；不属于重大民生项目、重大基础设施项目。</w:t>
                  </w:r>
                </w:p>
              </w:tc>
              <w:tc>
                <w:tcPr>
                  <w:tcW w:w="654"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污染物排放管控</w:t>
                  </w:r>
                </w:p>
              </w:tc>
              <w:tc>
                <w:tcPr>
                  <w:tcW w:w="1990" w:type="pct"/>
                  <w:tcBorders>
                    <w:tl2br w:val="nil"/>
                    <w:tr2bl w:val="nil"/>
                  </w:tcBorders>
                  <w:vAlign w:val="center"/>
                </w:tcPr>
                <w:p>
                  <w:pPr>
                    <w:rPr>
                      <w:rFonts w:hint="default" w:ascii="Times New Roman" w:hAnsi="Times New Roman" w:cs="Times New Roman"/>
                      <w:szCs w:val="21"/>
                    </w:rPr>
                  </w:pPr>
                  <w:r>
                    <w:rPr>
                      <w:rFonts w:hint="default" w:ascii="Times New Roman" w:hAnsi="Times New Roman" w:cs="Times New Roman"/>
                      <w:szCs w:val="21"/>
                    </w:rPr>
                    <w:t>1.落实污染物总量控制制度，根据区域环境质量改善目标，削减污染物排放总量。</w:t>
                  </w:r>
                </w:p>
                <w:p>
                  <w:pPr>
                    <w:rPr>
                      <w:rFonts w:hint="default" w:ascii="Times New Roman" w:hAnsi="Times New Roman" w:cs="Times New Roman"/>
                      <w:szCs w:val="21"/>
                    </w:rPr>
                  </w:pPr>
                  <w:r>
                    <w:rPr>
                      <w:rFonts w:hint="default" w:ascii="Times New Roman" w:hAnsi="Times New Roman" w:cs="Times New Roman"/>
                      <w:szCs w:val="21"/>
                    </w:rPr>
                    <w:t>2.开展管网排查，提升污水收集效率。强化餐饮油烟治理，加强噪声污染防治，严格施工扬尘监管，加强土壤和地下水污染防治与修复。</w:t>
                  </w:r>
                </w:p>
                <w:p>
                  <w:pPr>
                    <w:rPr>
                      <w:rFonts w:hint="default" w:ascii="Times New Roman" w:hAnsi="Times New Roman" w:cs="Times New Roman"/>
                      <w:szCs w:val="21"/>
                    </w:rPr>
                  </w:pPr>
                  <w:r>
                    <w:rPr>
                      <w:rFonts w:hint="default" w:ascii="Times New Roman" w:hAnsi="Times New Roman" w:cs="Times New Roman"/>
                      <w:szCs w:val="21"/>
                    </w:rPr>
                    <w:t>3.加强农业面源污染治理，严格控制化肥农药施加量，合理水产养殖布局，控制水产养殖污染，逐步削减农业面源污染物排放量</w:t>
                  </w:r>
                </w:p>
              </w:tc>
              <w:tc>
                <w:tcPr>
                  <w:tcW w:w="185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根据《南通市如皋生态环境局关于建设项目总量平衡相关问题的函》，对实施登记管理的建设项目不再实施总量平衡。本项目排污许可类别为登记管理，无需申请污染物排放总量。</w:t>
                  </w:r>
                </w:p>
              </w:tc>
              <w:tc>
                <w:tcPr>
                  <w:tcW w:w="654"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环境风险防控</w:t>
                  </w:r>
                </w:p>
              </w:tc>
              <w:tc>
                <w:tcPr>
                  <w:tcW w:w="1990" w:type="pct"/>
                  <w:tcBorders>
                    <w:tl2br w:val="nil"/>
                    <w:tr2bl w:val="nil"/>
                  </w:tcBorders>
                  <w:vAlign w:val="center"/>
                </w:tcPr>
                <w:p>
                  <w:pPr>
                    <w:rPr>
                      <w:rFonts w:hint="default" w:ascii="Times New Roman" w:hAnsi="Times New Roman" w:cs="Times New Roman"/>
                      <w:szCs w:val="21"/>
                    </w:rPr>
                  </w:pPr>
                  <w:r>
                    <w:rPr>
                      <w:rFonts w:hint="default" w:ascii="Times New Roman" w:hAnsi="Times New Roman" w:cs="Times New Roman"/>
                      <w:szCs w:val="21"/>
                    </w:rPr>
                    <w:t>1.加强环境风险防范应急体系建设，加强环境应急预案管理，定期开展应急演练，持续开展环境安全隐患排查整治，提升应急监测能力，加强应急物资管理。2.合理布局商业、居住、科教等功能区块，严格控制噪声、恶臭、油烟等污染排放较大的建设项目布局</w:t>
                  </w:r>
                </w:p>
              </w:tc>
              <w:tc>
                <w:tcPr>
                  <w:tcW w:w="185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本项目建成后将制定环境风险应急预案，同时</w:t>
                  </w:r>
                  <w:r>
                    <w:rPr>
                      <w:rFonts w:hint="eastAsia" w:cs="Times New Roman"/>
                      <w:szCs w:val="21"/>
                      <w:lang w:eastAsia="zh-CN"/>
                    </w:rPr>
                    <w:t>企业</w:t>
                  </w:r>
                  <w:r>
                    <w:rPr>
                      <w:rFonts w:hint="default" w:ascii="Times New Roman" w:hAnsi="Times New Roman" w:cs="Times New Roman"/>
                      <w:szCs w:val="21"/>
                    </w:rPr>
                    <w:t>储备有足够的环境应急物资，实现环境风险联防联控，故能满足环境风险防控的相关要求。</w:t>
                  </w:r>
                </w:p>
              </w:tc>
              <w:tc>
                <w:tcPr>
                  <w:tcW w:w="654"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资源利用效率要求</w:t>
                  </w:r>
                </w:p>
              </w:tc>
              <w:tc>
                <w:tcPr>
                  <w:tcW w:w="1990" w:type="pct"/>
                  <w:tcBorders>
                    <w:tl2br w:val="nil"/>
                    <w:tr2bl w:val="nil"/>
                  </w:tcBorders>
                  <w:vAlign w:val="center"/>
                </w:tcPr>
                <w:p>
                  <w:pPr>
                    <w:rPr>
                      <w:rFonts w:hint="default" w:ascii="Times New Roman" w:hAnsi="Times New Roman" w:cs="Times New Roman"/>
                      <w:szCs w:val="21"/>
                    </w:rPr>
                  </w:pPr>
                  <w:r>
                    <w:rPr>
                      <w:rFonts w:hint="default" w:ascii="Times New Roman" w:hAnsi="Times New Roman" w:cs="Times New Roman"/>
                      <w:szCs w:val="21"/>
                    </w:rPr>
                    <w:t>1.优化能源结构，加强能源清洁利用，提高资源能源使用效率，万元GDP能耗、万元GDP江苏省生态环境分区管控用水量等指标达到市定目标。2.提高土地利用效率、节约集约利用土地资源。3.严格执行《关于划定高污染燃料禁燃区的通知》（资源开发效率</w:t>
                  </w:r>
                </w:p>
                <w:p>
                  <w:pPr>
                    <w:rPr>
                      <w:rFonts w:hint="default" w:ascii="Times New Roman" w:hAnsi="Times New Roman" w:cs="Times New Roman"/>
                      <w:szCs w:val="21"/>
                    </w:rPr>
                  </w:pPr>
                  <w:r>
                    <w:rPr>
                      <w:rFonts w:hint="default" w:ascii="Times New Roman" w:hAnsi="Times New Roman" w:cs="Times New Roman"/>
                      <w:szCs w:val="21"/>
                    </w:rPr>
                    <w:t>皋政发〔2013〕162号）的相关要求，落实相应的禁燃区管控要求。禁止销售使用燃料为“Ⅱ类”（较严），具体包括：除单台出力大于等于20蒸吨/小时锅炉以外燃用的煤炭及其制品；石油焦、油页岩、原油、重油、渣油、煤焦油。</w:t>
                  </w:r>
                </w:p>
              </w:tc>
              <w:tc>
                <w:tcPr>
                  <w:tcW w:w="1853" w:type="pct"/>
                  <w:tcBorders>
                    <w:tl2br w:val="nil"/>
                    <w:tr2bl w:val="nil"/>
                  </w:tcBorders>
                  <w:vAlign w:val="center"/>
                </w:tcPr>
                <w:p>
                  <w:pPr>
                    <w:rPr>
                      <w:rFonts w:hint="default" w:ascii="Times New Roman" w:hAnsi="Times New Roman" w:cs="Times New Roman"/>
                      <w:szCs w:val="21"/>
                    </w:rPr>
                  </w:pPr>
                  <w:r>
                    <w:rPr>
                      <w:rFonts w:hint="default" w:ascii="Times New Roman" w:hAnsi="Times New Roman" w:cs="Times New Roman"/>
                      <w:szCs w:val="21"/>
                    </w:rPr>
                    <w:t>本项目使用电能</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天然气</w:t>
                  </w:r>
                  <w:r>
                    <w:rPr>
                      <w:rFonts w:hint="default" w:ascii="Times New Roman" w:hAnsi="Times New Roman" w:cs="Times New Roman"/>
                      <w:szCs w:val="21"/>
                    </w:rPr>
                    <w:t>；项目用地为工业用地。</w:t>
                  </w:r>
                </w:p>
              </w:tc>
              <w:tc>
                <w:tcPr>
                  <w:tcW w:w="654"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符合</w:t>
                  </w:r>
                </w:p>
              </w:tc>
            </w:tr>
          </w:tbl>
          <w:p>
            <w:pPr>
              <w:adjustRightInd w:val="0"/>
              <w:snapToGrid w:val="0"/>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（2）质量底线</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根据《2024年度南通市生态环境状况公报》：2024年如皋市SO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、PM</w:t>
            </w:r>
            <w:r>
              <w:rPr>
                <w:rFonts w:hint="default" w:ascii="Times New Roman" w:hAnsi="Times New Roman" w:cs="Times New Roman"/>
                <w:sz w:val="24"/>
                <w:vertAlign w:val="subscript"/>
              </w:rPr>
              <w:t>10</w:t>
            </w: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default" w:ascii="Times New Roman" w:hAnsi="Times New Roman" w:cs="Times New Roman"/>
                <w:sz w:val="24"/>
              </w:rPr>
              <w:t>、CO日平均质量浓度第95百分位数、O</w:t>
            </w:r>
            <w:r>
              <w:rPr>
                <w:rFonts w:hint="default" w:ascii="Times New Roman" w:hAnsi="Times New Roman" w:cs="Times New Roman"/>
                <w:sz w:val="24"/>
                <w:vertAlign w:val="subscript"/>
              </w:rPr>
              <w:t>3</w:t>
            </w:r>
            <w:r>
              <w:rPr>
                <w:rFonts w:hint="default" w:ascii="Times New Roman" w:hAnsi="Times New Roman" w:cs="Times New Roman"/>
                <w:sz w:val="24"/>
              </w:rPr>
              <w:t>日最大8小时滑动平均值第90百分位数质量浓度均达到《环境空气质量标准》（GB3095-2012）二级标准，区域属于达标区。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2024年度南通市生态环境状况公报》，南通市共有16个国家考核断面，均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优Ⅲ类比例100%，无Ⅴ类和劣Ⅴ类断面。</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2024年度南通市生态环境状况公报》，2024年如皋市昼间区域噪声平均等效声级别值为49.9dB(A)，区域声环境等级处于一级水平。与2023年相比，如皋市昼间区域声环境等级由二级上升为一级水平，平均等效声级值下降了0.5dB(A)。如皋市交通干线昼间噪声平均等效声级值在60.1~66.7 dB(A)之间，昼间道路交通噪声环境质量均处于一级（好）水平。</w:t>
            </w:r>
          </w:p>
          <w:p>
            <w:pPr>
              <w:pStyle w:val="11"/>
              <w:adjustRightInd w:val="0"/>
              <w:spacing w:before="0" w:after="0" w:line="360" w:lineRule="auto"/>
              <w:ind w:firstLine="482"/>
              <w:rPr>
                <w:rFonts w:hint="default" w:ascii="Times New Roman" w:hAnsi="Times New Roman" w:cs="Times New Roman"/>
                <w:color w:val="000000"/>
                <w:sz w:val="24"/>
                <w:szCs w:val="24"/>
              </w:rPr>
            </w:pPr>
            <w:r>
              <w:rPr>
                <w:rFonts w:hint="default" w:ascii="Times New Roman" w:hAnsi="Times New Roman" w:cs="Times New Roman"/>
                <w:sz w:val="24"/>
                <w:szCs w:val="24"/>
              </w:rPr>
              <w:t>建设项目废水、废气、固废均得到合理处置，噪声对周边影响较小，不会突破项目所在地的环境质量底线。因此该项目的建设符合环境质量底线标准</w:t>
            </w:r>
            <w:r>
              <w:rPr>
                <w:rFonts w:hint="default" w:ascii="Times New Roman" w:hAnsi="Times New Roman" w:cs="Times New Roman"/>
                <w:color w:val="000000"/>
                <w:kern w:val="2"/>
                <w:sz w:val="24"/>
                <w:szCs w:val="24"/>
              </w:rPr>
              <w:t>。</w:t>
            </w:r>
          </w:p>
          <w:p>
            <w:pPr>
              <w:adjustRightInd w:val="0"/>
              <w:snapToGrid w:val="0"/>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（3）资源利用上线</w:t>
            </w:r>
          </w:p>
          <w:p>
            <w:pPr>
              <w:adjustRightInd w:val="0"/>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建设项目用水由当地的自来水部门供给，使用量较小，能够满足本项目的新鲜水使用要求；用电来自当地供电网，能够满足其供电要求；用天然气来自市政供气管网，供气管网已经敷设到位，能够满足其供气要求；因此，项目用水、用电、用气不会达到资源利用上线；本项目用地性质为工业用地，符合当地土地规划要求，亦不会达到资源利用上线。</w:t>
            </w:r>
          </w:p>
          <w:p>
            <w:pPr>
              <w:adjustRightInd w:val="0"/>
              <w:snapToGrid w:val="0"/>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（4）环境准入负面清单</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对照推动长江经济带发展领导小组办公室关于印发《长江经济带发展负面清单指南（试行，2022年版）》的通知（长江办〔2022〕7号），本项目符合《长江经济带发展负面清单指南（试行，2022年版）》相关要求。具体参照情况见表1-6。</w:t>
            </w:r>
          </w:p>
          <w:p>
            <w:pPr>
              <w:adjustRightInd w:val="0"/>
              <w:snapToGrid w:val="0"/>
              <w:ind w:firstLine="482"/>
              <w:jc w:val="center"/>
              <w:rPr>
                <w:rFonts w:hint="default" w:ascii="Times New Roman" w:hAnsi="Times New Roman" w:cs="Times New Roman"/>
                <w:color w:val="000000"/>
                <w:szCs w:val="22"/>
              </w:rPr>
            </w:pPr>
            <w:r>
              <w:rPr>
                <w:rFonts w:hint="default" w:ascii="Times New Roman" w:hAnsi="Times New Roman" w:cs="Times New Roman"/>
                <w:b/>
                <w:bCs/>
                <w:color w:val="000000"/>
                <w:sz w:val="24"/>
              </w:rPr>
              <w:t>表1-6 与《长江经济带发展负面清单指南（2022年版）》相符性分析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68"/>
              <w:gridCol w:w="3591"/>
              <w:gridCol w:w="2856"/>
              <w:gridCol w:w="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2404"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管控条款</w:t>
                  </w:r>
                </w:p>
              </w:tc>
              <w:tc>
                <w:tcPr>
                  <w:tcW w:w="1912"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435"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禁止建设不符合全国和省级港口布局规划以及港口总体规划的码头项目，禁止建设不符合《长江干线过江通道布局规划》的过长江干线通道项目。</w:t>
                  </w:r>
                </w:p>
              </w:tc>
              <w:tc>
                <w:tcPr>
                  <w:tcW w:w="1912"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pacing w:val="-2"/>
                      <w:kern w:val="2"/>
                      <w:szCs w:val="21"/>
                    </w:rPr>
                    <w:t>本项目不属于码头及长江干线通道项目。</w:t>
                  </w:r>
                </w:p>
              </w:tc>
              <w:tc>
                <w:tcPr>
                  <w:tcW w:w="435"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禁止在自然保护区核心区、缓冲区地岸线和河段范围内投资建设旅游和生产经营项目。禁止在风景名胜区核心景区的岸线和河段范围内投资建设与风景名胜资源保护无关的项目。</w:t>
                  </w:r>
                </w:p>
              </w:tc>
              <w:tc>
                <w:tcPr>
                  <w:tcW w:w="1912"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kern w:val="2"/>
                      <w:szCs w:val="21"/>
                    </w:rPr>
                    <w:t>本项目位于如皋市搬经镇搬经社区10组、19组、村集体，不在自然保护区核心区、缓冲区的岸线和河段范围内，不在国家级和省级风景名胜区的岸线和河段范围内。</w:t>
                  </w:r>
                </w:p>
              </w:tc>
              <w:tc>
                <w:tcPr>
                  <w:tcW w:w="435"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85" w:hRule="atLeast"/>
                <w:jc w:val="center"/>
              </w:trPr>
              <w:tc>
                <w:tcPr>
                  <w:tcW w:w="246"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地岸线和河段范围内新建、改建、扩建排放污染物的投资建设项目。</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pacing w:val="4"/>
                      <w:kern w:val="0"/>
                      <w:sz w:val="21"/>
                      <w:szCs w:val="21"/>
                    </w:rPr>
                  </w:pPr>
                  <w:r>
                    <w:rPr>
                      <w:rFonts w:hint="default" w:ascii="Times New Roman" w:hAnsi="Times New Roman" w:cs="Times New Roman"/>
                      <w:color w:val="000000"/>
                      <w:sz w:val="21"/>
                      <w:szCs w:val="21"/>
                    </w:rPr>
                    <w:t>本项目位于如皋市搬经镇搬经社区10组、19组、村集体，不在饮用水水源一级保护区的岸线和河段范围内，不在饮用水水源二级保护区的岸线和河段范围内。</w:t>
                  </w:r>
                </w:p>
              </w:tc>
              <w:tc>
                <w:tcPr>
                  <w:tcW w:w="435"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本项目位于如皋市搬经镇搬经社区10组、19组、村集体，不在国家级和省级水产种质资源保护区的岸线和河段范围内，不在国家湿地公园的岸线和河段范围内。</w:t>
                  </w:r>
                </w:p>
              </w:tc>
              <w:tc>
                <w:tcPr>
                  <w:tcW w:w="435"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5" w:hRule="atLeast"/>
                <w:jc w:val="center"/>
              </w:trPr>
              <w:tc>
                <w:tcPr>
                  <w:tcW w:w="246"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本项目位于如皋市搬经镇搬经社区10组、19组、村集体，不在《长江岸线保护和开发利用总体规划》划定的岸线保护区和岸线保留区内，不在《全国重要江河湖泊水功能区划》划定的河段保护区、保留区内。</w:t>
                  </w:r>
                </w:p>
              </w:tc>
              <w:tc>
                <w:tcPr>
                  <w:tcW w:w="435"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禁止未经许可在长江干支流及湖泊新设、改设或扩大排污口。</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本项目位于如皋市搬经镇搬经社区10组、19组、村集体，不在长江干支流及湖泊范围内。</w:t>
                  </w:r>
                </w:p>
              </w:tc>
              <w:tc>
                <w:tcPr>
                  <w:tcW w:w="435"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7</w:t>
                  </w:r>
                </w:p>
                <w:p>
                  <w:pPr>
                    <w:pStyle w:val="55"/>
                    <w:spacing w:beforeLines="0" w:afterLines="0" w:line="240" w:lineRule="auto"/>
                    <w:ind w:firstLine="0" w:firstLineChars="0"/>
                    <w:rPr>
                      <w:rFonts w:hint="default" w:ascii="Times New Roman" w:hAnsi="Times New Roman" w:cs="Times New Roman"/>
                      <w:color w:val="000000"/>
                      <w:szCs w:val="21"/>
                    </w:rPr>
                  </w:pP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禁止在“一江一口两湖七河”和 332 个水生生物保护区开展生产性捕捞。</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不涉及</w:t>
                  </w:r>
                </w:p>
              </w:tc>
              <w:tc>
                <w:tcPr>
                  <w:tcW w:w="435"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本项目不属于化工项目及尾矿库、冶炼渣库和磷石膏库项目。</w:t>
                  </w:r>
                </w:p>
              </w:tc>
              <w:tc>
                <w:tcPr>
                  <w:tcW w:w="435"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9</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禁止在合规园区外新建、扩建钢铁、石化、化工、焦化、建材、有色等高污染项目。</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本项目不属于钢铁、石化、化工、焦化、建材、有色等高污染项目。</w:t>
                  </w:r>
                </w:p>
              </w:tc>
              <w:tc>
                <w:tcPr>
                  <w:tcW w:w="435"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禁止新建、扩建不符合国家石化、现代煤化工等产业布局规划的项目。</w:t>
                  </w:r>
                </w:p>
              </w:tc>
              <w:tc>
                <w:tcPr>
                  <w:tcW w:w="191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本项目不属于石化、现代煤化工项目。</w:t>
                  </w:r>
                </w:p>
              </w:tc>
              <w:tc>
                <w:tcPr>
                  <w:tcW w:w="435"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11</w:t>
                  </w:r>
                </w:p>
              </w:tc>
              <w:tc>
                <w:tcPr>
                  <w:tcW w:w="2404"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禁止新建、扩建法律法规和相关政策明令禁止的落后产能项目。禁止新建、扩建不符合国家产能置换要求的严重过剩产能行业的项目。禁止新建、扩建不符合要求的高能耗高排放项目。</w:t>
                  </w:r>
                </w:p>
              </w:tc>
              <w:tc>
                <w:tcPr>
                  <w:tcW w:w="191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本项目不属于法律法规和相关政策明令禁止的落后产能项目；不属于国家产能置换要求的严重过剩产能行业的项目；不属于高能耗高排放项目。</w:t>
                  </w:r>
                </w:p>
              </w:tc>
              <w:tc>
                <w:tcPr>
                  <w:tcW w:w="435"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bl>
          <w:p>
            <w:pPr>
              <w:adjustRightInd w:val="0"/>
              <w:snapToGrid w:val="0"/>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color w:val="000000"/>
                <w:sz w:val="24"/>
              </w:rPr>
              <w:t>②对照《〈长江经济带发展负面清单指南（试行，2022年版）〉江苏省实施细则》（苏长江办发〔2022〕55号）的附件《〈长江经济带发展负面清单指南（试行，2022年版）〉江苏省实施细则条款》中的要求，本项目位于如皋市搬经镇搬经社区10组、19组、村集体，行业类别为〔C3421〕金属切削机床制造，不在长江经济带发展负面清单指南提出的禁止范畴内，因此，符合环境准入条件。具体管控要求对照详见表1-7。</w:t>
            </w:r>
          </w:p>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b/>
                <w:bCs/>
                <w:color w:val="000000"/>
                <w:sz w:val="24"/>
              </w:rPr>
              <w:t>表1-7与《〈长江经济带发展负面清单指南〉江苏省实施细则》相符性分析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68"/>
              <w:gridCol w:w="4441"/>
              <w:gridCol w:w="2004"/>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2972"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管控条款</w:t>
                  </w:r>
                </w:p>
              </w:tc>
              <w:tc>
                <w:tcPr>
                  <w:tcW w:w="1341"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43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禁止建设不符合国家港口布局规划和《江苏省沿江沿海港口布局规划（2015—2030年）》《江苏省内河港口布局规划（2017—2035年）》以及我省有关港口总</w:t>
                  </w:r>
                  <w:r>
                    <w:rPr>
                      <w:rFonts w:hint="default" w:ascii="Times New Roman" w:hAnsi="Times New Roman" w:cs="Times New Roman"/>
                      <w:color w:val="000000"/>
                      <w:spacing w:val="-2"/>
                      <w:sz w:val="21"/>
                      <w:szCs w:val="21"/>
                    </w:rPr>
                    <w:t>体规划的码头项目，禁止建设未纳入《长</w:t>
                  </w:r>
                  <w:r>
                    <w:rPr>
                      <w:rFonts w:hint="default" w:ascii="Times New Roman" w:hAnsi="Times New Roman" w:cs="Times New Roman"/>
                      <w:color w:val="000000"/>
                      <w:sz w:val="21"/>
                      <w:szCs w:val="21"/>
                    </w:rPr>
                    <w:t>江干线过江通道布局规划》的过长江干线通道项目。</w:t>
                  </w:r>
                </w:p>
              </w:tc>
              <w:tc>
                <w:tcPr>
                  <w:tcW w:w="1341"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pacing w:val="-2"/>
                      <w:kern w:val="2"/>
                      <w:szCs w:val="21"/>
                    </w:rPr>
                    <w:t>本项目不属于码头及长江干线过江通道项目。</w:t>
                  </w:r>
                </w:p>
              </w:tc>
              <w:tc>
                <w:tcPr>
                  <w:tcW w:w="43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严格执行《中华人民共和国自然保护区条例》，禁止在自然保护区核心区、缓冲区的岸线和河段范围内投资建设旅游和生产经营项目。严格执行《风景名胜区条例》《江苏</w:t>
                  </w:r>
                  <w:r>
                    <w:rPr>
                      <w:rFonts w:hint="default" w:ascii="Times New Roman" w:hAnsi="Times New Roman" w:cs="Times New Roman"/>
                      <w:color w:val="000000"/>
                      <w:spacing w:val="-2"/>
                      <w:sz w:val="21"/>
                      <w:szCs w:val="21"/>
                    </w:rPr>
                    <w:t>省风景名胜区管理条例》，禁止在</w:t>
                  </w:r>
                  <w:r>
                    <w:rPr>
                      <w:rFonts w:hint="default" w:ascii="Times New Roman" w:hAnsi="Times New Roman" w:cs="Times New Roman"/>
                      <w:color w:val="000000"/>
                      <w:sz w:val="21"/>
                      <w:szCs w:val="21"/>
                    </w:rPr>
                    <w:t>国家级和省级风景名胜区核心景区的岸线和河段范围内投资建设与风景名胜资源保护无关的项目。自然保护区、风景名胜区由省林业局会同有关方面界定并落实管控责任。</w:t>
                  </w:r>
                </w:p>
              </w:tc>
              <w:tc>
                <w:tcPr>
                  <w:tcW w:w="1341"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kern w:val="2"/>
                      <w:szCs w:val="21"/>
                    </w:rPr>
                    <w:t>本项目位于如皋市搬经镇搬经社区10组、19组、村集体，不在自然保护区核心区、缓冲区的岸线和河段范围内，不在国家级和省级风景名胜区核心景区的岸线和河段范围内。</w:t>
                  </w:r>
                </w:p>
              </w:tc>
              <w:tc>
                <w:tcPr>
                  <w:tcW w:w="43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pacing w:val="4"/>
                      <w:kern w:val="0"/>
                      <w:sz w:val="21"/>
                      <w:szCs w:val="21"/>
                    </w:rPr>
                  </w:pPr>
                  <w:r>
                    <w:rPr>
                      <w:rFonts w:hint="default" w:ascii="Times New Roman" w:hAnsi="Times New Roman" w:cs="Times New Roman"/>
                      <w:color w:val="000000"/>
                      <w:sz w:val="21"/>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41"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pacing w:val="4"/>
                      <w:kern w:val="0"/>
                      <w:sz w:val="21"/>
                      <w:szCs w:val="21"/>
                    </w:rPr>
                  </w:pPr>
                  <w:r>
                    <w:rPr>
                      <w:rFonts w:hint="default" w:ascii="Times New Roman" w:hAnsi="Times New Roman" w:cs="Times New Roman"/>
                      <w:color w:val="000000"/>
                      <w:sz w:val="21"/>
                      <w:szCs w:val="21"/>
                    </w:rPr>
                    <w:t>本项目位于如皋市搬经镇搬经社区10组、19组、村集体，不在饮用水水源一级保护区、二级保护区、准保护区的岸线和河段范围内。</w:t>
                  </w:r>
                </w:p>
              </w:tc>
              <w:tc>
                <w:tcPr>
                  <w:tcW w:w="43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341"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本项目位于如皋市搬经镇搬经社区10组、19组、村集体，不在国家级和省级水产种质资源保护区的岸线和河段范围内，不在国家湿地公园的岸线和河段范围内。</w:t>
                  </w:r>
                </w:p>
              </w:tc>
              <w:tc>
                <w:tcPr>
                  <w:tcW w:w="43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41"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本项目位于如皋市搬经镇搬经社区10组、19组、村集体，不在《长江岸线保护和开发利用总体规划》划定的岸线保护区和岸线保留区内，不在《全国重要江河湖泊水功能区划》划定的河段保护区、保留区内。</w:t>
                  </w:r>
                </w:p>
              </w:tc>
              <w:tc>
                <w:tcPr>
                  <w:tcW w:w="437" w:type="pct"/>
                  <w:tcBorders>
                    <w:tl2br w:val="nil"/>
                    <w:tr2bl w:val="nil"/>
                  </w:tcBorders>
                  <w:vAlign w:val="center"/>
                </w:tcPr>
                <w:p>
                  <w:pPr>
                    <w:widowControl/>
                    <w:autoSpaceDE w:val="0"/>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禁止未经许可在长江干支流及湖泊新设、改设或扩大排污。 </w:t>
                  </w:r>
                </w:p>
              </w:tc>
              <w:tc>
                <w:tcPr>
                  <w:tcW w:w="1341"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不涉及</w:t>
                  </w:r>
                </w:p>
              </w:tc>
              <w:tc>
                <w:tcPr>
                  <w:tcW w:w="437" w:type="pct"/>
                  <w:tcBorders>
                    <w:tl2br w:val="nil"/>
                    <w:tr2bl w:val="nil"/>
                  </w:tcBorders>
                  <w:vAlign w:val="center"/>
                </w:tcPr>
                <w:p>
                  <w:pPr>
                    <w:widowControl/>
                    <w:autoSpaceDE w:val="0"/>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p>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7</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禁止长江干流、长江口、34个列入《率先全面禁捕的长江流域水生生物保护区名录》的水生生物保护区以及省规定的其他禁渔水域开展生产性捕捞。 </w:t>
                  </w:r>
                </w:p>
              </w:tc>
              <w:tc>
                <w:tcPr>
                  <w:tcW w:w="1341"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不涉及</w:t>
                  </w:r>
                </w:p>
              </w:tc>
              <w:tc>
                <w:tcPr>
                  <w:tcW w:w="437" w:type="pct"/>
                  <w:tcBorders>
                    <w:tl2br w:val="nil"/>
                    <w:tr2bl w:val="nil"/>
                  </w:tcBorders>
                  <w:vAlign w:val="center"/>
                </w:tcPr>
                <w:p>
                  <w:pPr>
                    <w:widowControl/>
                    <w:autoSpaceDE w:val="0"/>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禁止在距离长江干支流岸线一公里范围内新建、扩建化工园区和化工项目。长江干支流一公里按照长江干支流岸线边界（即水利部门河道管理范围边界）向陆域纵深一公里执行。</w:t>
                  </w:r>
                </w:p>
              </w:tc>
              <w:tc>
                <w:tcPr>
                  <w:tcW w:w="1341"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本项目位于如皋市搬经镇搬经社区10组、19组、村集体，不在长江干支流岸线一公里范围内，不属于化工项目。</w:t>
                  </w:r>
                </w:p>
              </w:tc>
              <w:tc>
                <w:tcPr>
                  <w:tcW w:w="437" w:type="pct"/>
                  <w:tcBorders>
                    <w:tl2br w:val="nil"/>
                    <w:tr2bl w:val="nil"/>
                  </w:tcBorders>
                  <w:vAlign w:val="center"/>
                </w:tcPr>
                <w:p>
                  <w:pPr>
                    <w:widowControl/>
                    <w:autoSpaceDE w:val="0"/>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autoSpaceDE w:val="0"/>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9</w:t>
                  </w:r>
                </w:p>
              </w:tc>
              <w:tc>
                <w:tcPr>
                  <w:tcW w:w="2972" w:type="pct"/>
                  <w:tcBorders>
                    <w:tl2br w:val="nil"/>
                    <w:tr2bl w:val="nil"/>
                  </w:tcBorders>
                  <w:vAlign w:val="center"/>
                </w:tcPr>
                <w:p>
                  <w:pPr>
                    <w:pStyle w:val="79"/>
                    <w:widowControl/>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禁止在长江干流岸线三公里范围内新建、改建、扩建尾矿库、冶炼渣库和磷石膏库，以提升安全、生态环境保护水平为目的的改建除外。</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pacing w:val="4"/>
                      <w:kern w:val="0"/>
                      <w:sz w:val="21"/>
                      <w:szCs w:val="21"/>
                    </w:rPr>
                  </w:pPr>
                  <w:r>
                    <w:rPr>
                      <w:rFonts w:hint="default" w:ascii="Times New Roman" w:hAnsi="Times New Roman" w:cs="Times New Roman"/>
                      <w:color w:val="000000"/>
                      <w:sz w:val="21"/>
                      <w:szCs w:val="21"/>
                    </w:rPr>
                    <w:t>本项目不属于尾矿库、冶炼渣库和磷石膏库项目。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禁止在太湖流域一、二、三级保护区内开展《江苏省太湖水污染防治条例》禁止的投资建设活动。</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本项目位于如皋市搬经镇搬经社区10组、19组、村集体，不属于太湖流域。</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11</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禁止在沿江地区新建、扩建未纳入国家和省布局规划的燃煤发电项目。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pacing w:val="4"/>
                      <w:kern w:val="0"/>
                      <w:sz w:val="21"/>
                      <w:szCs w:val="21"/>
                    </w:rPr>
                  </w:pPr>
                  <w:r>
                    <w:rPr>
                      <w:rFonts w:hint="default" w:ascii="Times New Roman" w:hAnsi="Times New Roman" w:cs="Times New Roman"/>
                      <w:color w:val="000000"/>
                      <w:sz w:val="21"/>
                      <w:szCs w:val="21"/>
                    </w:rPr>
                    <w:t>本项目不属于燃煤发电项目。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pacing w:val="4"/>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12</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禁止在合规园区外新建、扩建钢铁、石化、化工、焦化、建材、有色、制浆造纸等高污染项目。合规园区名录按照《〈长江经济带发展负面清单指南（试行，2022年版）〉江苏省实施细则合规园区名录》执行。</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本项目不属于高污染项目。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13</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禁止在取消化工定位的园区（集中区）内新建化工项目。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本项目不属于化工项目。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14</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禁止在化工企业周边建设不符合安全距离规定的劳动密集型的非化工项目和其他人员密集的公共设施项目。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本项目周边无化工企业。</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15</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禁止新建、扩建不符合国家和省产业政策的尿素、磷铵、电石、烧碱、聚氯乙烯、纯碱等行业新增产能项目。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本项目不属于尿素、磷铵、电石、烧碱、聚氯乙烯、纯碱项目。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p>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16</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禁止新建、改建、扩建高毒、高残留以及对环境影响大的农药原药（化学合成类）项目，禁止新建、扩建不符合国家和省产业政策的农药、医药和染料中间体化工项目。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本项目不属于农药原药项目，不属于农药、医药和染料中间体化工项目。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17</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禁止新建、扩建不符合国家石化、现代煤化工等产业布局规划的项目，禁止新建独立焦化项目。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本项目不属于国家石化、现代煤化工等产业，不属于独立焦化项目。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18</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本项目不属于《产业结构调整指导目录》《江苏省产业结构调整限制、淘汰和禁止目录》及其他相关法律法规中的限制类、淘汰类、禁止类项目。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19</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pacing w:val="-2"/>
                      <w:sz w:val="21"/>
                      <w:szCs w:val="21"/>
                    </w:rPr>
                    <w:t>禁止新建、扩建不符合国家产能置换要求</w:t>
                  </w:r>
                  <w:r>
                    <w:rPr>
                      <w:rFonts w:hint="default" w:ascii="Times New Roman" w:hAnsi="Times New Roman" w:cs="Times New Roman"/>
                      <w:color w:val="000000"/>
                      <w:sz w:val="21"/>
                      <w:szCs w:val="21"/>
                    </w:rPr>
                    <w:t>的严重过剩产能行业的项目。禁止新建、扩建不符合要求的高耗能高排放项目。</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pacing w:val="-2"/>
                      <w:sz w:val="21"/>
                      <w:szCs w:val="21"/>
                    </w:rPr>
                    <w:t>本项目不属于国家产能置换要求的严重过剩产能行业的项目。</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20</w:t>
                  </w:r>
                </w:p>
              </w:tc>
              <w:tc>
                <w:tcPr>
                  <w:tcW w:w="2972"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法律法规及相关政策文件有更加严格规定的从其规定。</w:t>
                  </w:r>
                </w:p>
              </w:tc>
              <w:tc>
                <w:tcPr>
                  <w:tcW w:w="1341" w:type="pct"/>
                  <w:tcBorders>
                    <w:tl2br w:val="nil"/>
                    <w:tr2bl w:val="nil"/>
                  </w:tcBorders>
                  <w:vAlign w:val="center"/>
                </w:tcPr>
                <w:p>
                  <w:pPr>
                    <w:pStyle w:val="79"/>
                    <w:autoSpaceDE w:val="0"/>
                    <w:adjustRightInd w:val="0"/>
                    <w:snapToGrid w:val="0"/>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不涉及</w:t>
                  </w:r>
                </w:p>
              </w:tc>
              <w:tc>
                <w:tcPr>
                  <w:tcW w:w="43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相符</w:t>
                  </w:r>
                </w:p>
              </w:tc>
            </w:tr>
          </w:tbl>
          <w:p>
            <w:pPr>
              <w:spacing w:line="360" w:lineRule="auto"/>
              <w:ind w:firstLine="480" w:firstLineChars="200"/>
              <w:rPr>
                <w:rFonts w:hint="default" w:ascii="Times New Roman" w:hAnsi="Times New Roman" w:cs="Times New Roman"/>
                <w:kern w:val="0"/>
                <w:sz w:val="24"/>
                <w:lang w:bidi="ar"/>
              </w:rPr>
            </w:pPr>
            <w:r>
              <w:rPr>
                <w:rFonts w:hint="default" w:ascii="Times New Roman" w:hAnsi="Times New Roman" w:cs="Times New Roman"/>
                <w:color w:val="000000"/>
                <w:sz w:val="24"/>
              </w:rPr>
              <w:t>③</w:t>
            </w:r>
            <w:r>
              <w:rPr>
                <w:rFonts w:hint="default" w:ascii="Times New Roman" w:hAnsi="Times New Roman" w:cs="Times New Roman"/>
                <w:kern w:val="0"/>
                <w:sz w:val="24"/>
                <w:lang w:bidi="ar"/>
              </w:rPr>
              <w:t>对照《市场准入负面清单（2025年版）》（发改体改规〔2025〕466号），本项目不属于其中的禁止准入类或许可准入类。</w:t>
            </w:r>
          </w:p>
          <w:p>
            <w:pPr>
              <w:widowControl/>
              <w:jc w:val="center"/>
              <w:rPr>
                <w:rFonts w:hint="default" w:ascii="Times New Roman" w:hAnsi="Times New Roman" w:cs="Times New Roman"/>
                <w:b/>
                <w:kern w:val="0"/>
                <w:sz w:val="24"/>
              </w:rPr>
            </w:pPr>
            <w:r>
              <w:rPr>
                <w:rFonts w:hint="default" w:ascii="Times New Roman" w:hAnsi="Times New Roman" w:cs="Times New Roman"/>
                <w:b/>
                <w:kern w:val="0"/>
                <w:sz w:val="24"/>
              </w:rPr>
              <w:t>表1-8 与《市场准入负面清单（2025年版）》对照分析</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21"/>
              <w:gridCol w:w="5271"/>
              <w:gridCol w:w="784"/>
              <w:gridCol w:w="9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b/>
                      <w:bCs/>
                      <w:szCs w:val="21"/>
                    </w:rPr>
                  </w:pPr>
                  <w:r>
                    <w:rPr>
                      <w:rFonts w:hint="default" w:ascii="Times New Roman" w:hAnsi="Times New Roman" w:cs="Times New Roman"/>
                      <w:b/>
                      <w:bCs/>
                      <w:szCs w:val="21"/>
                    </w:rPr>
                    <w:t>序号</w:t>
                  </w:r>
                </w:p>
              </w:tc>
              <w:tc>
                <w:tcPr>
                  <w:tcW w:w="4882"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b/>
                      <w:bCs/>
                      <w:szCs w:val="21"/>
                    </w:rPr>
                  </w:pPr>
                  <w:r>
                    <w:rPr>
                      <w:rFonts w:hint="default" w:ascii="Times New Roman" w:hAnsi="Times New Roman" w:cs="Times New Roman"/>
                      <w:b/>
                      <w:bCs/>
                      <w:szCs w:val="21"/>
                    </w:rPr>
                    <w:t>管控条款</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b/>
                      <w:bCs/>
                      <w:szCs w:val="21"/>
                    </w:rPr>
                  </w:pPr>
                  <w:r>
                    <w:rPr>
                      <w:rFonts w:hint="default" w:ascii="Times New Roman" w:hAnsi="Times New Roman" w:cs="Times New Roman"/>
                      <w:b/>
                      <w:bCs/>
                      <w:szCs w:val="21"/>
                    </w:rPr>
                    <w:t>本项目情况</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b/>
                      <w:bCs/>
                      <w:szCs w:val="21"/>
                    </w:rPr>
                  </w:pPr>
                  <w:r>
                    <w:rPr>
                      <w:rFonts w:hint="default" w:ascii="Times New Roman" w:hAnsi="Times New Roman" w:cs="Times New Roman"/>
                      <w:b/>
                      <w:bCs/>
                      <w:szCs w:val="21"/>
                    </w:rPr>
                    <w:t>是否属于禁止范畴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一</w:t>
                  </w:r>
                </w:p>
              </w:tc>
              <w:tc>
                <w:tcPr>
                  <w:tcW w:w="4882"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禁止准入类</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法律、法规、国务院决定等明确设立且与市场准入相关的禁止性规定</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2</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国家产业政策明令淘汰和限制的产品、技术、工艺、设备及行为</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3</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不符合主体功能区建设要求的各类开发活动</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4</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禁止违规开展金融相关经营活动</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5</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禁止违规开展互联网相关经营活动</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6</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禁止违规开展新闻传媒相关业务</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二</w:t>
                  </w:r>
                </w:p>
              </w:tc>
              <w:tc>
                <w:tcPr>
                  <w:tcW w:w="4882"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许可准入类（制造业）</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未获得许可，不得从事特定食品生产经营和进出口</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2</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未获得许可或履行规定程序，不得从事烟草专卖品生产</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3</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zCs w:val="21"/>
                    </w:rPr>
                  </w:pPr>
                  <w:r>
                    <w:rPr>
                      <w:rFonts w:hint="default" w:ascii="Times New Roman" w:hAnsi="Times New Roman" w:cs="Times New Roman"/>
                      <w:szCs w:val="21"/>
                    </w:rPr>
                    <w:t>未获得许可，不得从事特定印刷复制业务</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4</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未获得许可，不得从事涉核、放射性物品生产、运输和经营</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5</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未获得许可，不得从事特定化学品的生产经营及项目建设，不得从事金属冶炼项目建设</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6</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未获得许可，不得从事民用爆炸物品、烟花爆竹的生产经营及爆破作业</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7</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未获得许可，不得从事医疗器械或化妆品的生产与进口</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8</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未获得许可，不得从事药品的生产、销售或进出口</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9</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zCs w:val="21"/>
                    </w:rPr>
                  </w:pPr>
                  <w:r>
                    <w:rPr>
                      <w:rFonts w:hint="default" w:ascii="Times New Roman" w:hAnsi="Times New Roman" w:cs="Times New Roman"/>
                      <w:szCs w:val="21"/>
                    </w:rPr>
                    <w:t>未经许可或指定，不得从事兽药及兽用生物制品的临床试验、生产、经营和进出口</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10</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zCs w:val="21"/>
                    </w:rPr>
                  </w:pPr>
                  <w:r>
                    <w:rPr>
                      <w:rFonts w:hint="default" w:ascii="Times New Roman" w:hAnsi="Times New Roman" w:cs="Times New Roman"/>
                      <w:szCs w:val="21"/>
                    </w:rPr>
                    <w:t>未获得许可，不得从事农药、肥料的生产、经营、进口</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11</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未获得许可或相关资格，不得从事武器装备、枪支及其他公共安全相关产品的研发、生产、销售、购买和运输及特定国防科技工业领域项目的投资建设</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12</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zCs w:val="21"/>
                    </w:rPr>
                  </w:pPr>
                  <w:r>
                    <w:rPr>
                      <w:rFonts w:hint="default" w:ascii="Times New Roman" w:hAnsi="Times New Roman" w:cs="Times New Roman"/>
                      <w:szCs w:val="21"/>
                    </w:rPr>
                    <w:t>未获得许可，不得从事民用航空产品和零部件设计、制造和使用相关业务以及民用航天发射相关业务</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13</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未获得许可，不得从事特定铁路运输设备生产、维修、进口业务</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14</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zCs w:val="21"/>
                    </w:rPr>
                  </w:pPr>
                  <w:r>
                    <w:rPr>
                      <w:rFonts w:hint="default" w:ascii="Times New Roman" w:hAnsi="Times New Roman" w:cs="Times New Roman"/>
                      <w:szCs w:val="21"/>
                    </w:rPr>
                    <w:t>未获得许可，不得从事道路机动车辆生产</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15</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未获得许可或强制性认证，不得从事特种设备、重要工业产品等特定产品的生产经营</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16</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未获得许可，不得从事电信、无线电发射设备的生产、进口和经营</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17</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pacing w:val="4"/>
                      <w:kern w:val="18"/>
                      <w:szCs w:val="21"/>
                    </w:rPr>
                  </w:pPr>
                  <w:r>
                    <w:rPr>
                      <w:rFonts w:hint="default" w:ascii="Times New Roman" w:hAnsi="Times New Roman" w:cs="Times New Roman"/>
                      <w:szCs w:val="21"/>
                    </w:rPr>
                    <w:t>未获得许可，不得从事商用密码的检测评估和进出口</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18</w:t>
                  </w:r>
                </w:p>
              </w:tc>
              <w:tc>
                <w:tcPr>
                  <w:tcW w:w="4882" w:type="dxa"/>
                  <w:tcBorders>
                    <w:tl2br w:val="nil"/>
                    <w:tr2bl w:val="nil"/>
                  </w:tcBorders>
                  <w:noWrap/>
                  <w:tcMar>
                    <w:top w:w="15" w:type="dxa"/>
                    <w:left w:w="0" w:type="dxa"/>
                    <w:right w:w="0" w:type="dxa"/>
                  </w:tcMar>
                  <w:vAlign w:val="center"/>
                </w:tcPr>
                <w:p>
                  <w:pPr>
                    <w:pStyle w:val="62"/>
                    <w:jc w:val="left"/>
                    <w:rPr>
                      <w:rFonts w:hint="default" w:ascii="Times New Roman" w:hAnsi="Times New Roman" w:cs="Times New Roman"/>
                      <w:szCs w:val="21"/>
                    </w:rPr>
                  </w:pPr>
                  <w:r>
                    <w:rPr>
                      <w:rFonts w:hint="default" w:ascii="Times New Roman" w:hAnsi="Times New Roman" w:cs="Times New Roman"/>
                      <w:szCs w:val="21"/>
                    </w:rPr>
                    <w:t>未获得许可，不得制造计量器具或从事相关量值传递和技术业务工作</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0"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19</w:t>
                  </w:r>
                </w:p>
              </w:tc>
              <w:tc>
                <w:tcPr>
                  <w:tcW w:w="4882" w:type="dxa"/>
                  <w:tcBorders>
                    <w:tl2br w:val="nil"/>
                    <w:tr2bl w:val="nil"/>
                  </w:tcBorders>
                  <w:noWrap/>
                  <w:tcMar>
                    <w:top w:w="15" w:type="dxa"/>
                    <w:left w:w="0" w:type="dxa"/>
                    <w:right w:w="0" w:type="dxa"/>
                  </w:tcMar>
                  <w:vAlign w:val="center"/>
                </w:tcPr>
                <w:p>
                  <w:pPr>
                    <w:jc w:val="left"/>
                    <w:rPr>
                      <w:rFonts w:hint="default" w:ascii="Times New Roman" w:hAnsi="Times New Roman" w:cs="Times New Roman"/>
                      <w:spacing w:val="4"/>
                      <w:kern w:val="18"/>
                      <w:szCs w:val="21"/>
                    </w:rPr>
                  </w:pPr>
                  <w:r>
                    <w:rPr>
                      <w:rFonts w:hint="default" w:ascii="Times New Roman" w:hAnsi="Times New Roman" w:cs="Times New Roman"/>
                      <w:szCs w:val="21"/>
                    </w:rPr>
                    <w:t>未获得许可，不得从事报废机动车回收拆解业务</w:t>
                  </w:r>
                </w:p>
              </w:tc>
              <w:tc>
                <w:tcPr>
                  <w:tcW w:w="726"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不涉及</w:t>
                  </w:r>
                </w:p>
              </w:tc>
              <w:tc>
                <w:tcPr>
                  <w:tcW w:w="917" w:type="dxa"/>
                  <w:tcBorders>
                    <w:tl2br w:val="nil"/>
                    <w:tr2bl w:val="nil"/>
                  </w:tcBorders>
                  <w:noWrap/>
                  <w:tcMar>
                    <w:top w:w="15" w:type="dxa"/>
                    <w:left w:w="0" w:type="dxa"/>
                    <w:right w:w="0" w:type="dxa"/>
                  </w:tcMar>
                  <w:vAlign w:val="center"/>
                </w:tcPr>
                <w:p>
                  <w:pPr>
                    <w:pStyle w:val="62"/>
                    <w:rPr>
                      <w:rFonts w:hint="default" w:ascii="Times New Roman" w:hAnsi="Times New Roman" w:cs="Times New Roman"/>
                      <w:szCs w:val="21"/>
                    </w:rPr>
                  </w:pPr>
                  <w:r>
                    <w:rPr>
                      <w:rFonts w:hint="default" w:ascii="Times New Roman" w:hAnsi="Times New Roman" w:cs="Times New Roman"/>
                      <w:szCs w:val="21"/>
                    </w:rPr>
                    <w:t>否</w:t>
                  </w:r>
                </w:p>
              </w:tc>
            </w:tr>
          </w:tbl>
          <w:p>
            <w:pPr>
              <w:adjustRightInd w:val="0"/>
              <w:snapToGrid w:val="0"/>
              <w:spacing w:before="120" w:beforeLines="5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综上所述，本项目与“三线一单”中的要求相符。</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4、与相关环保政策相符性</w:t>
            </w:r>
          </w:p>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（1）与市政府办公室印发《南通市关于加强减污降碳协同推进重点行业绿色发展的指导意见》的通知（通办〔2024〕6号）相符性分析</w:t>
            </w:r>
          </w:p>
          <w:p>
            <w:pPr>
              <w:autoSpaceDE w:val="0"/>
              <w:autoSpaceDN w:val="0"/>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文件要求：禁止引进纯电镀项目（为本地产业配套的“绿岛”类项目除外）；新建电镀“绿岛”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rFonts w:hint="default" w:ascii="Times New Roman" w:hAnsi="Times New Roman" w:cs="Times New Roman"/>
                <w:sz w:val="24"/>
                <w:vertAlign w:val="superscript"/>
              </w:rPr>
              <w:t>2</w:t>
            </w:r>
            <w:r>
              <w:rPr>
                <w:rFonts w:hint="default" w:ascii="Times New Roman" w:hAnsi="Times New Roman" w:cs="Times New Roman"/>
                <w:sz w:val="24"/>
              </w:rPr>
              <w:t>；现有含涂装工序企业以单位涂装面积VOCs排放量≤80g/m</w:t>
            </w:r>
            <w:r>
              <w:rPr>
                <w:rFonts w:hint="default" w:ascii="Times New Roman" w:hAnsi="Times New Roman" w:cs="Times New Roman"/>
                <w:sz w:val="24"/>
                <w:vertAlign w:val="superscript"/>
              </w:rPr>
              <w:t>2</w:t>
            </w:r>
            <w:r>
              <w:rPr>
                <w:rFonts w:hint="default" w:ascii="Times New Roman" w:hAnsi="Times New Roman" w:cs="Times New Roman"/>
                <w:sz w:val="24"/>
              </w:rPr>
              <w:t>为目标限期提标改造。到2025年，铸造企业颗粒物污染排放量较2020年减少30%以上。</w:t>
            </w:r>
          </w:p>
          <w:p>
            <w:pPr>
              <w:spacing w:line="360" w:lineRule="auto"/>
              <w:ind w:firstLine="482"/>
              <w:rPr>
                <w:rFonts w:hint="default" w:ascii="Times New Roman" w:hAnsi="Times New Roman" w:cs="Times New Roman"/>
                <w:sz w:val="24"/>
              </w:rPr>
            </w:pPr>
            <w:r>
              <w:rPr>
                <w:rFonts w:hint="default" w:ascii="Times New Roman" w:hAnsi="Times New Roman" w:cs="Times New Roman"/>
                <w:sz w:val="24"/>
              </w:rPr>
              <w:t>本项目属于〔C3421〕金属切削机床制造，本项目属于装备制造业，本项目不涉及电镀，不涉及重金属，本项目使用</w:t>
            </w:r>
            <w:r>
              <w:rPr>
                <w:rFonts w:hint="default" w:ascii="Times New Roman" w:hAnsi="Times New Roman" w:cs="Times New Roman"/>
                <w:sz w:val="24"/>
                <w:lang w:val="en-US" w:eastAsia="zh-CN"/>
              </w:rPr>
              <w:t>油漆</w:t>
            </w:r>
            <w:r>
              <w:rPr>
                <w:rFonts w:hint="default" w:ascii="Times New Roman" w:hAnsi="Times New Roman" w:cs="Times New Roman"/>
                <w:sz w:val="24"/>
              </w:rPr>
              <w:t>符合《低挥发性有机化合物含量涂料产品技术要求》规定的VOCs含量限值要求，单位涂装面积VOCs排放量为</w:t>
            </w:r>
            <w:r>
              <w:rPr>
                <w:rFonts w:hint="eastAsia" w:cs="Times New Roman"/>
                <w:sz w:val="24"/>
                <w:lang w:val="en-US" w:eastAsia="zh-CN"/>
              </w:rPr>
              <w:t>9.85</w:t>
            </w:r>
            <w:r>
              <w:rPr>
                <w:rFonts w:hint="default" w:ascii="Times New Roman" w:hAnsi="Times New Roman" w:cs="Times New Roman"/>
                <w:sz w:val="24"/>
              </w:rPr>
              <w:t>g/m</w:t>
            </w:r>
            <w:r>
              <w:rPr>
                <w:rFonts w:hint="default" w:ascii="Times New Roman" w:hAnsi="Times New Roman" w:cs="Times New Roman"/>
                <w:sz w:val="24"/>
                <w:vertAlign w:val="superscript"/>
              </w:rPr>
              <w:t>2</w:t>
            </w:r>
            <w:r>
              <w:rPr>
                <w:rFonts w:hint="default" w:ascii="Times New Roman" w:hAnsi="Times New Roman" w:cs="Times New Roman"/>
                <w:sz w:val="24"/>
              </w:rPr>
              <w:t>，因此，本项目与《南通市关于加强减污降碳协同推进重点行业绿色发展的指导意见》（通办〔2024〕6号）相符。</w:t>
            </w:r>
          </w:p>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（2）与市政府办公室印发《如皋市关于加强减污降碳协同推进重点行业绿色发展的实施方案》的通知（皋政办发〔2024〕85号）相符性分析</w:t>
            </w:r>
          </w:p>
          <w:p>
            <w:pPr>
              <w:autoSpaceDE w:val="0"/>
              <w:autoSpaceDN w:val="0"/>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如皋市关于加强减污降碳协同推进重点行业绿色发展的实施方案》（皋政办发〔2024〕85号），禁止引进纯电镀项目（为本地产业配套的“绿岛”类项目除外）；新、扩建排放含磷废水的阳极氧化项目应满足产业政策及所在园区规划环评准入门槛；新建含涉重电镀工序的企业原则上应进入涉重园区；新建电镀“绿岛”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本项目属于〔C3421〕金属切削机床制造，本项目属于装备制造业，本项目不涉及电镀，不涉及重金属，本项目使用油漆符合《低挥发性有机化合物含量涂料产品技术要求》规定的VOCs含量限值要求，本项目</w:t>
            </w:r>
            <w:r>
              <w:rPr>
                <w:rFonts w:hint="eastAsia" w:cs="Times New Roman"/>
                <w:sz w:val="24"/>
                <w:lang w:val="en-US" w:eastAsia="zh-CN"/>
              </w:rPr>
              <w:t>涂装工段</w:t>
            </w:r>
            <w:r>
              <w:rPr>
                <w:rFonts w:hint="default" w:ascii="Times New Roman" w:hAnsi="Times New Roman" w:cs="Times New Roman"/>
                <w:sz w:val="24"/>
              </w:rPr>
              <w:t>VOCs</w:t>
            </w:r>
            <w:r>
              <w:rPr>
                <w:rFonts w:hint="eastAsia" w:cs="Times New Roman"/>
                <w:sz w:val="24"/>
                <w:lang w:val="en-US" w:eastAsia="zh-CN"/>
              </w:rPr>
              <w:t>排放</w:t>
            </w:r>
            <w:r>
              <w:rPr>
                <w:rFonts w:hint="default" w:ascii="Times New Roman" w:hAnsi="Times New Roman" w:cs="Times New Roman"/>
                <w:sz w:val="24"/>
              </w:rPr>
              <w:t>量</w:t>
            </w:r>
            <w:r>
              <w:rPr>
                <w:rFonts w:hint="eastAsia" w:cs="Times New Roman"/>
                <w:sz w:val="24"/>
                <w:lang w:val="en-US" w:eastAsia="zh-CN"/>
              </w:rPr>
              <w:t>0.3338</w:t>
            </w:r>
            <w:r>
              <w:rPr>
                <w:rFonts w:hint="default" w:ascii="Times New Roman" w:hAnsi="Times New Roman" w:cs="Times New Roman"/>
                <w:sz w:val="24"/>
              </w:rPr>
              <w:t>t/a，涂装面积</w:t>
            </w:r>
            <w:r>
              <w:rPr>
                <w:rFonts w:hint="default" w:ascii="Times New Roman" w:hAnsi="Times New Roman" w:cs="Times New Roman"/>
                <w:sz w:val="24"/>
                <w:lang w:val="en-US" w:eastAsia="zh-CN"/>
              </w:rPr>
              <w:t>33900</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rPr>
              <w:t>，单位涂装面积VOCs排放量为=</w:t>
            </w:r>
            <w:r>
              <w:rPr>
                <w:rFonts w:hint="eastAsia" w:cs="Times New Roman"/>
                <w:sz w:val="24"/>
                <w:lang w:val="en-US" w:eastAsia="zh-CN"/>
              </w:rPr>
              <w:t>0.3338</w:t>
            </w:r>
            <w:r>
              <w:rPr>
                <w:rFonts w:hint="default" w:ascii="Times New Roman" w:hAnsi="Times New Roman" w:cs="Times New Roman"/>
                <w:sz w:val="24"/>
              </w:rPr>
              <w:t>*10</w:t>
            </w:r>
            <w:r>
              <w:rPr>
                <w:rFonts w:hint="default" w:ascii="Times New Roman" w:hAnsi="Times New Roman" w:cs="Times New Roman"/>
                <w:sz w:val="24"/>
                <w:vertAlign w:val="superscript"/>
              </w:rPr>
              <w:t>6</w:t>
            </w:r>
            <w:r>
              <w:rPr>
                <w:rFonts w:hint="default" w:ascii="Times New Roman" w:hAnsi="Times New Roman" w:cs="Times New Roman"/>
                <w:sz w:val="24"/>
              </w:rPr>
              <w:t>/</w:t>
            </w:r>
            <w:r>
              <w:rPr>
                <w:rFonts w:hint="default" w:ascii="Times New Roman" w:hAnsi="Times New Roman" w:cs="Times New Roman"/>
                <w:sz w:val="24"/>
                <w:lang w:val="en-US" w:eastAsia="zh-CN"/>
              </w:rPr>
              <w:t>33900</w:t>
            </w:r>
            <w:r>
              <w:rPr>
                <w:rFonts w:hint="default" w:ascii="Times New Roman" w:hAnsi="Times New Roman" w:cs="Times New Roman"/>
                <w:sz w:val="24"/>
              </w:rPr>
              <w:t>=</w:t>
            </w:r>
            <w:r>
              <w:rPr>
                <w:rFonts w:hint="eastAsia" w:cs="Times New Roman"/>
                <w:sz w:val="24"/>
                <w:lang w:val="en-US" w:eastAsia="zh-CN"/>
              </w:rPr>
              <w:t>9.85</w:t>
            </w:r>
            <w:r>
              <w:rPr>
                <w:rFonts w:hint="default" w:ascii="Times New Roman" w:hAnsi="Times New Roman" w:cs="Times New Roman"/>
                <w:sz w:val="24"/>
              </w:rPr>
              <w:t>g/m</w:t>
            </w:r>
            <w:r>
              <w:rPr>
                <w:rFonts w:hint="default" w:ascii="Times New Roman" w:hAnsi="Times New Roman" w:cs="Times New Roman"/>
                <w:sz w:val="24"/>
                <w:vertAlign w:val="superscript"/>
              </w:rPr>
              <w:t>2</w:t>
            </w:r>
            <w:r>
              <w:rPr>
                <w:rFonts w:hint="default" w:ascii="Times New Roman" w:hAnsi="Times New Roman" w:cs="Times New Roman"/>
                <w:sz w:val="24"/>
              </w:rPr>
              <w:t>，因此，本项目与《如皋市关于加强减污降碳协同推进重点行业绿色发展的实施方案》（皋政办发〔2024〕85号）相符。</w:t>
            </w:r>
          </w:p>
          <w:p>
            <w:pPr>
              <w:pStyle w:val="35"/>
              <w:spacing w:after="0" w:line="360" w:lineRule="auto"/>
              <w:ind w:firstLine="482"/>
              <w:rPr>
                <w:rFonts w:hint="default" w:ascii="Times New Roman" w:hAnsi="Times New Roman" w:eastAsia="宋体" w:cs="Times New Roman"/>
              </w:rPr>
            </w:pPr>
            <w:r>
              <w:rPr>
                <w:rFonts w:hint="default" w:ascii="Times New Roman" w:hAnsi="Times New Roman" w:eastAsia="宋体" w:cs="Times New Roman"/>
                <w:bCs/>
              </w:rPr>
              <w:t>（3）</w:t>
            </w:r>
            <w:r>
              <w:rPr>
                <w:rFonts w:hint="default" w:ascii="Times New Roman" w:hAnsi="Times New Roman" w:eastAsia="宋体" w:cs="Times New Roman"/>
              </w:rPr>
              <w:t>与挥发性有机物相关文件相符性分析</w:t>
            </w:r>
          </w:p>
          <w:p>
            <w:pPr>
              <w:pStyle w:val="56"/>
              <w:ind w:firstLine="482"/>
              <w:rPr>
                <w:rFonts w:hint="default" w:ascii="Times New Roman" w:hAnsi="Times New Roman" w:cs="Times New Roman"/>
                <w:color w:val="000000"/>
              </w:rPr>
            </w:pPr>
            <w:r>
              <w:rPr>
                <w:rFonts w:hint="default" w:ascii="Times New Roman" w:hAnsi="Times New Roman" w:cs="Times New Roman"/>
                <w:b/>
                <w:bCs/>
                <w:color w:val="000000"/>
                <w:sz w:val="24"/>
                <w:szCs w:val="24"/>
              </w:rPr>
              <w:t>表1-9  与挥发性有机物相关文件相符性分析</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527"/>
              <w:gridCol w:w="3627"/>
              <w:gridCol w:w="1304"/>
              <w:gridCol w:w="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序号</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与挥发性有机物相关文件</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要求</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《江苏省挥发性有机物污染防治管理办法》（江苏省人民政府令第119号）</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本次新建产生的有机废气经收集后采用二级活性炭处理（三乙胺经磷酸喷淋塔处理）达标后经20m排气筒排放</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《市政府办公室关于印发如皋市“十四五”生态建设与环境保护规划（2021—2025年）的通知》</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加大VOCs治理力度，持续推进工业污染源治理，推进重点工业污染源达标排放，严格执行重点行业氮氧化物、颗粒物、VOCs大气污染物特别排放限值；加大机械行业摸排力度，实行动态清单式管理，根据切割、焊接、打磨、抛丸、喷漆、喷塑等整治要求，全面推动机械行业污染整治。</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本项目产生的有机废气经收集处理后高空排放。</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snapToGrid w:val="0"/>
                      <w:color w:val="000000"/>
                      <w:kern w:val="0"/>
                      <w:szCs w:val="21"/>
                    </w:rPr>
                  </w:pPr>
                  <w:r>
                    <w:rPr>
                      <w:rFonts w:hint="default" w:ascii="Times New Roman" w:hAnsi="Times New Roman" w:cs="Times New Roman"/>
                      <w:snapToGrid w:val="0"/>
                      <w:color w:val="000000"/>
                      <w:kern w:val="0"/>
                      <w:szCs w:val="21"/>
                    </w:rPr>
                    <w:t>《市政府办公室关于印发南通市减污降碳协同增效三年行动计划（2023-2025）的通知》（通政办发〔2023〕24号）</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持续开展臭氧污染“夏病冬治”，推进低VOCs含量清洁原料源头替代，推进煤电机组深度脱硝改造，深入开展锅炉和炉窑综合整治，推动大户友好减排。推动燃气轮机、石化、水泥、玻璃等行业企业和工业炉窑、垃圾焚烧重点设施超低排放改造或深度治理。开展含VOCs原辅料达标情况检查及虚假“油改水”专项清理，推广建设无异味企业（园区）。</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本项目不生产和使用高VOCs含量的溶剂型涂料、油墨、胶黏剂等物料；本项目</w:t>
                  </w:r>
                  <w:r>
                    <w:rPr>
                      <w:rFonts w:hint="default" w:ascii="Times New Roman" w:hAnsi="Times New Roman" w:cs="Times New Roman"/>
                      <w:color w:val="000000"/>
                      <w:szCs w:val="21"/>
                      <w:lang w:val="en-US" w:eastAsia="zh-CN"/>
                    </w:rPr>
                    <w:t>天然气</w:t>
                  </w:r>
                  <w:r>
                    <w:rPr>
                      <w:rFonts w:hint="default" w:ascii="Times New Roman" w:hAnsi="Times New Roman" w:cs="Times New Roman"/>
                      <w:color w:val="000000"/>
                      <w:szCs w:val="21"/>
                    </w:rPr>
                    <w:t>锅炉</w:t>
                  </w:r>
                  <w:r>
                    <w:rPr>
                      <w:rFonts w:hint="default" w:ascii="Times New Roman" w:hAnsi="Times New Roman" w:cs="Times New Roman"/>
                      <w:color w:val="000000"/>
                      <w:szCs w:val="21"/>
                      <w:lang w:val="en-US" w:eastAsia="zh-CN"/>
                    </w:rPr>
                    <w:t>采用低氮燃烧技术</w:t>
                  </w:r>
                  <w:r>
                    <w:rPr>
                      <w:rFonts w:hint="default" w:ascii="Times New Roman" w:hAnsi="Times New Roman" w:cs="Times New Roman"/>
                      <w:color w:val="000000"/>
                      <w:szCs w:val="21"/>
                    </w:rPr>
                    <w:t>。</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关于印发《江苏省“十四五”生态环境保护规划》的通知（苏政办发〔2021〕84号）</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深化工业园区、企业集群综合治理。加强VOCs无组织排放控制，实施含VOCs物料全方位、全链条、全环节管理，强化储存、转移和输送、设备与管线组件泄漏、敞开液面逸散以及工艺过程等无组织排放环节的污染收集处理。</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auto"/>
                      <w:szCs w:val="21"/>
                    </w:rPr>
                    <w:t>本项目</w:t>
                  </w:r>
                  <w:r>
                    <w:rPr>
                      <w:rFonts w:hint="eastAsia" w:cs="Times New Roman"/>
                      <w:color w:val="auto"/>
                      <w:szCs w:val="21"/>
                      <w:lang w:val="en-US" w:eastAsia="zh-CN"/>
                    </w:rPr>
                    <w:t>酚醛树脂、聚异氰酸酯、</w:t>
                  </w:r>
                  <w:r>
                    <w:rPr>
                      <w:rFonts w:hint="default" w:ascii="Times New Roman" w:hAnsi="Times New Roman" w:cs="Times New Roman"/>
                      <w:color w:val="auto"/>
                      <w:szCs w:val="21"/>
                      <w:lang w:val="en-US" w:eastAsia="zh-CN"/>
                    </w:rPr>
                    <w:t>油性漆、稀释剂转移和输送保持密闭；调漆喷漆晾干均在密闭式体内进行，负压对废气进行收集，送至废气处理装置（二级活性炭）进行处理</w:t>
                  </w:r>
                  <w:r>
                    <w:rPr>
                      <w:rFonts w:hint="default" w:ascii="Times New Roman" w:hAnsi="Times New Roman" w:cs="Times New Roman"/>
                      <w:color w:val="auto"/>
                      <w:szCs w:val="21"/>
                    </w:rPr>
                    <w:t>。</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关于印发《重点行业挥发性有机物综合治理方案》的通知（环大气〔2019〕53号）</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项目含VOCs物料均储存于包装桶中进行转移。有机废气产生工段进行废气收集处理，减少无组织有机废气的排放。</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《江苏省重点行业挥发性有机物污染控制指南》（苏环办〔2014〕128号）</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所有产生有机废气污染的企业，应优先采用环保型原辅材料、生产工艺和设备，对应生产单元或设施进行密闭，从源头控制VOCs的产生，减少废气污染物排放以及有机化学、医药化工、橡胶和塑料制品（有溶剂浸胶工艺）、溶剂型涂料表面涂装、包装印刷业的VOCs总收集、净化处理效率均不低于90%，其他行业原则上不低于75%</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本项目通过对生产设备在车间的合理布局，提高废气收集效率并采用二级活性炭处理（三乙胺经磷酸喷淋塔处理）有机废气，收集效率不低于90%，处理效率达90%</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《省生态环境厅关于深入开展涉VOCs治理重点工作核查的通知》（苏环办〔2022〕218号文）</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b/>
                      <w:bCs/>
                      <w:color w:val="000000"/>
                      <w:kern w:val="0"/>
                      <w:szCs w:val="21"/>
                    </w:rPr>
                    <w:t>设计风量：</w:t>
                  </w:r>
                  <w:r>
                    <w:rPr>
                      <w:rFonts w:hint="default" w:ascii="Times New Roman" w:hAnsi="Times New Roman" w:cs="Times New Roman"/>
                      <w:color w:val="000000"/>
                      <w:kern w:val="0"/>
                      <w:szCs w:val="21"/>
                    </w:rPr>
                    <w:t>涉VOCs排放工序应在密闭空间中操作或采用全密闭集气罩收集，无法密闭采用局部集气罩的，应根据废气排放特点合理选择收集点位，按《排风罩的分类和技术条件》（GB/T16758）规定，设置能有效收集废气的集气罩，距集气罩开口面最远处的VOCs无组织排放位置，控制风速不低于0.3米/秒。活性炭吸附装置风机应满足依据车间集气罩形状、大小数量及控制风速等测算的风量所需，达不到要求的通过更换大功率风机、增设烟道风机、增加垂帘等方式进行改造。</w:t>
                  </w:r>
                </w:p>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b/>
                      <w:bCs/>
                      <w:color w:val="000000"/>
                      <w:kern w:val="0"/>
                      <w:szCs w:val="21"/>
                    </w:rPr>
                    <w:t>设备质量：</w:t>
                  </w:r>
                  <w:r>
                    <w:rPr>
                      <w:rFonts w:hint="default" w:ascii="Times New Roman" w:hAnsi="Times New Roman" w:cs="Times New Roman"/>
                      <w:color w:val="000000"/>
                      <w:kern w:val="0"/>
                      <w:szCs w:val="21"/>
                    </w:rPr>
                    <w:t>无论是卧式活性炭罐还是箱式活性炭罐内部结构应设计合理（参见附件1），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HJT3862007》的要求，便于日常监测活性炭吸附效率。</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装备制造业，含VOCs物料均储存于包装桶中进行转移，有机废气经集气罩收集后采用二级活性炭处理（三乙胺经磷酸喷淋塔处理）后达标排放。本项目建成后，应选购安装符合相关质量要求的设备并合理设置采样口。</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《如皋市2020年重点行业挥发性有机物综合治理方案》的通知（皋政办发〔2020〕89号）</w:t>
                  </w:r>
                </w:p>
              </w:tc>
              <w:tc>
                <w:tcPr>
                  <w:tcW w:w="2430" w:type="pct"/>
                  <w:tcBorders>
                    <w:tl2br w:val="nil"/>
                    <w:tr2bl w:val="nil"/>
                  </w:tcBorders>
                  <w:noWrap/>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全面落实《挥发性有机物无组织排放控制标准》，重点对含VOCs物料（包括原辅材料、产品、废料以及有机聚合物材料等）储存、转移和输送、设备与管线组件泄漏、敞开液面逸散以及工艺过程等五类排放源实施管控，在确保安全的前提下，通过采取设备与场所密闭、工艺改进、废气有效收集等措施，削减VOCs无组织排放。</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本项目原辅料储存过程中密封保存，项目产生的有机废气经密闭收集并有效处理后高空排放</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《挥发性有机物无组织排放控制标准》（GB37822-2019）</w:t>
                  </w:r>
                </w:p>
              </w:tc>
              <w:tc>
                <w:tcPr>
                  <w:tcW w:w="2430" w:type="pct"/>
                  <w:tcBorders>
                    <w:tl2br w:val="nil"/>
                    <w:tr2bl w:val="nil"/>
                  </w:tcBorders>
                  <w:noWrap/>
                  <w:vAlign w:val="center"/>
                </w:tcPr>
                <w:p>
                  <w:pPr>
                    <w:rPr>
                      <w:rFonts w:hint="default" w:ascii="Times New Roman" w:hAnsi="Times New Roman" w:cs="Times New Roman"/>
                    </w:rPr>
                  </w:pPr>
                  <w:r>
                    <w:rPr>
                      <w:rFonts w:hint="default" w:ascii="Times New Roman" w:hAnsi="Times New Roman" w:cs="Times New Roman"/>
                      <w:b/>
                      <w:bCs/>
                    </w:rPr>
                    <w:t>VOCs物料储存无组织排放控制要求：</w:t>
                  </w:r>
                  <w:r>
                    <w:rPr>
                      <w:rFonts w:hint="default" w:ascii="Times New Roman" w:hAnsi="Times New Roman" w:cs="Times New Roman"/>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pPr>
                    <w:rPr>
                      <w:rFonts w:hint="default" w:ascii="Times New Roman" w:hAnsi="Times New Roman" w:cs="Times New Roman"/>
                    </w:rPr>
                  </w:pPr>
                  <w:r>
                    <w:rPr>
                      <w:rFonts w:hint="default" w:ascii="Times New Roman" w:hAnsi="Times New Roman" w:cs="Times New Roman"/>
                      <w:b/>
                      <w:bCs/>
                    </w:rPr>
                    <w:t>VOCs物料转移和输送无组织排放控制要求：</w:t>
                  </w:r>
                  <w:r>
                    <w:rPr>
                      <w:rFonts w:hint="default" w:ascii="Times New Roman" w:hAnsi="Times New Roman" w:cs="Times New Roman"/>
                    </w:rPr>
                    <w:t>粉状、粒状VOCs物料应采用气力输送设备、管状带式输送机、螺旋输送机等密闭输送方式，或者采用密闭的包装袋、容器或罐车进行物料转移。</w:t>
                  </w:r>
                </w:p>
                <w:p>
                  <w:pPr>
                    <w:rPr>
                      <w:rFonts w:hint="default" w:ascii="Times New Roman" w:hAnsi="Times New Roman" w:cs="Times New Roman"/>
                    </w:rPr>
                  </w:pPr>
                  <w:r>
                    <w:rPr>
                      <w:rFonts w:hint="default" w:ascii="Times New Roman" w:hAnsi="Times New Roman" w:cs="Times New Roman"/>
                      <w:b/>
                      <w:bCs/>
                    </w:rPr>
                    <w:t>工艺过程VOCs无组织排放控制要求：</w:t>
                  </w:r>
                  <w:r>
                    <w:rPr>
                      <w:rFonts w:hint="default" w:ascii="Times New Roman" w:hAnsi="Times New Roman" w:cs="Times New Roman"/>
                    </w:rPr>
                    <w:t>物料投加和卸放：粉状、粒状VOCs物料应采用气力输送方式或采用密闭固体投料器等给料方式密闭投加。无法密闭投加的，应在密闭空间内操作，或进行局部气体收集，废气应排至除尘设施、VOCs废气收集处理系统。VOCs物料卸（出、放）料过程应密闭，卸料废气应排至VOCs废气收集处理系统，无法密闭的，应采取局部气体收集措施，废气应排至VOCs废气收集处理系统。配料加工和含VOCs产品的包装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含VOCs产品的使用过程：VOCs质量占比大于等于10%的含VOCs产品，其使用过程应采用密闭设备或在密闭空间内操作，废气应排至VOCs废气收集处理系统，无法密闭的，应采取局部气体收集措施，废气应排至VOCs废气收集处理系统。其他要求：企业应建立台账，记录含VOCs原辅材料和含VOCs产品的名称、使用量、回收量、废弃量、去向以及VOCs含量等信息。台账保存期限不少于3年。通风生产设备、操作工位、车间厂房等应在符合安全生产、职业卫生相关规定的前提下，根据行业作业规程与标准、工业建筑及洁净厂房通风设计规范等的要求，采用合理的通风量。载有VOCs物料的设备及其管道在开停工（车）、检维修和清洗时，应在退料阶段将残存物料退净，并用密闭容器盛装，退料过程废气应排至VOCs废气收集处理系统；清洗及吹扫过程排气应排至VOCs废气收集处理系统。盛装过VOCs物料的废包装容器应加盖密闭。</w:t>
                  </w:r>
                </w:p>
                <w:p>
                  <w:pPr>
                    <w:rPr>
                      <w:rFonts w:hint="default" w:ascii="Times New Roman" w:hAnsi="Times New Roman" w:cs="Times New Roman"/>
                      <w:color w:val="000000"/>
                      <w:kern w:val="0"/>
                      <w:szCs w:val="21"/>
                    </w:rPr>
                  </w:pPr>
                  <w:r>
                    <w:rPr>
                      <w:rFonts w:hint="default" w:ascii="Times New Roman" w:hAnsi="Times New Roman" w:cs="Times New Roman"/>
                      <w:b/>
                      <w:bCs/>
                    </w:rPr>
                    <w:t>废气收集系统要求：</w:t>
                  </w:r>
                  <w:r>
                    <w:rPr>
                      <w:rFonts w:hint="default" w:ascii="Times New Roman" w:hAnsi="Times New Roman" w:cs="Times New Roman"/>
                    </w:rPr>
                    <w:t>废气收集系统要求：企业应考虑生产工艺、操作方式、废气性质、处理方法等因素，对VOCs废气进行分类收集。废气收集系统排风罩（集气罩）的设置应符合GB/T16758的规定。采用外部排风罩的，应按GB/T 16758、AQ/T 4274-2016规定的方法测量控制风速，测量点应选取在距排风罩开口面最远处的VOCs无组织排放位置，控制风速不应低于0.3m/s（行业相关规范有具体规定的，按相关规定执行）。废气收集系统的输送管道应密闭。废气收集系统应在负压下运行，若处于正压状态，应对输送管道组件的密封点进行泄漏检测，泄漏检测值不应超过500μmol/mol，亦不应有感官可察觉泄漏。VOCs 排放控制要求：VOCs废气收集处理系统污染物排放应符合GB16297或相关行业排放标准的规定。收集的废气中NMHC初始排放速率≥3kg/h时，应配置VOCs处理设施，处理效率不应低于80%；对于重点地区，收集的废气中NMHC初始排放速率≥2kg/h 时，应配置VOCs处理设施，处理效率不应低于80%；采用的原辅材料符合国家有关低VOCs含量产品规定的除外。</w:t>
                  </w:r>
                </w:p>
              </w:tc>
              <w:tc>
                <w:tcPr>
                  <w:tcW w:w="873" w:type="pct"/>
                  <w:tcBorders>
                    <w:tl2br w:val="nil"/>
                    <w:tr2bl w:val="nil"/>
                  </w:tcBorders>
                  <w:noWrap/>
                  <w:vAlign w:val="center"/>
                </w:tcPr>
                <w:p>
                  <w:pPr>
                    <w:numPr>
                      <w:ilvl w:val="0"/>
                      <w:numId w:val="12"/>
                    </w:num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本项目存放含VOCs物料为</w:t>
                  </w:r>
                  <w:r>
                    <w:rPr>
                      <w:rFonts w:hint="eastAsia" w:cs="Times New Roman"/>
                      <w:color w:val="000000"/>
                      <w:szCs w:val="21"/>
                      <w:lang w:val="en-US" w:eastAsia="zh-CN"/>
                    </w:rPr>
                    <w:t>酚醛树脂、聚异氰酸酯、</w:t>
                  </w:r>
                  <w:r>
                    <w:rPr>
                      <w:rFonts w:hint="default" w:ascii="Times New Roman" w:hAnsi="Times New Roman" w:cs="Times New Roman"/>
                      <w:color w:val="000000"/>
                      <w:szCs w:val="21"/>
                      <w:lang w:val="en-US" w:eastAsia="zh-CN"/>
                    </w:rPr>
                    <w:t>油漆、稀释剂</w:t>
                  </w:r>
                  <w:r>
                    <w:rPr>
                      <w:rFonts w:hint="default" w:ascii="Times New Roman" w:hAnsi="Times New Roman" w:cs="Times New Roman"/>
                      <w:color w:val="000000"/>
                      <w:szCs w:val="21"/>
                    </w:rPr>
                    <w:t>、三乙胺</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lang w:val="en-US" w:eastAsia="zh-CN"/>
                    </w:rPr>
                    <w:t>腻子等</w:t>
                  </w:r>
                  <w:r>
                    <w:rPr>
                      <w:rFonts w:hint="default" w:ascii="Times New Roman" w:hAnsi="Times New Roman" w:cs="Times New Roman"/>
                      <w:color w:val="000000"/>
                      <w:szCs w:val="21"/>
                    </w:rPr>
                    <w:t>，均采用桶装储存在专门的仓库。在取用原料结束时随时加盖，仓库常态下保持关闭。</w:t>
                  </w:r>
                </w:p>
                <w:p>
                  <w:pPr>
                    <w:numPr>
                      <w:ilvl w:val="0"/>
                      <w:numId w:val="12"/>
                    </w:num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本项目液态原料</w:t>
                  </w:r>
                  <w:r>
                    <w:rPr>
                      <w:rFonts w:hint="eastAsia" w:cs="Times New Roman"/>
                      <w:color w:val="auto"/>
                      <w:szCs w:val="21"/>
                      <w:lang w:val="en-US" w:eastAsia="zh-CN"/>
                    </w:rPr>
                    <w:t>酚醛树脂、聚异氰酸酯、</w:t>
                  </w:r>
                  <w:r>
                    <w:rPr>
                      <w:rFonts w:hint="default" w:ascii="Times New Roman" w:hAnsi="Times New Roman" w:cs="Times New Roman"/>
                      <w:color w:val="auto"/>
                      <w:szCs w:val="21"/>
                      <w:lang w:val="en-US" w:eastAsia="zh-CN"/>
                    </w:rPr>
                    <w:t>三乙胺采用密闭管道输送，油漆、稀释剂采用</w:t>
                  </w:r>
                  <w:r>
                    <w:rPr>
                      <w:rFonts w:hint="default" w:ascii="Times New Roman" w:hAnsi="Times New Roman" w:cs="Times New Roman"/>
                      <w:color w:val="auto"/>
                      <w:szCs w:val="21"/>
                    </w:rPr>
                    <w:t>取用整桶原料拿至</w:t>
                  </w:r>
                  <w:r>
                    <w:rPr>
                      <w:rFonts w:hint="default" w:ascii="Times New Roman" w:hAnsi="Times New Roman" w:cs="Times New Roman"/>
                      <w:color w:val="auto"/>
                      <w:szCs w:val="21"/>
                      <w:lang w:val="en-US" w:eastAsia="zh-CN"/>
                    </w:rPr>
                    <w:t>喷漆房</w:t>
                  </w:r>
                  <w:r>
                    <w:rPr>
                      <w:rFonts w:hint="default" w:ascii="Times New Roman" w:hAnsi="Times New Roman" w:cs="Times New Roman"/>
                      <w:color w:val="auto"/>
                      <w:szCs w:val="21"/>
                    </w:rPr>
                    <w:t>，打开使用后及时加盖。</w:t>
                  </w:r>
                </w:p>
                <w:p>
                  <w:pPr>
                    <w:numPr>
                      <w:ilvl w:val="0"/>
                      <w:numId w:val="12"/>
                    </w:num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本项目物料投加和卸放基本不会产生废气，生产过程中的有机废气经集气管道收集后二级活性炭处理（三乙胺经磷酸喷淋塔处理）后高空排放；本项目建成后需按要求做好台账记录并保存。</w:t>
                  </w:r>
                </w:p>
                <w:p>
                  <w:pPr>
                    <w:numPr>
                      <w:ilvl w:val="0"/>
                      <w:numId w:val="12"/>
                    </w:num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本项目废气采取集气管道进行收集，根据源强计算及废气治理设施的相应分析，本项目采用的废气治理设施处理效率不低</w:t>
                  </w:r>
                  <w:r>
                    <w:rPr>
                      <w:rFonts w:hint="default" w:ascii="Times New Roman" w:hAnsi="Times New Roman" w:cs="Times New Roman"/>
                      <w:color w:val="auto"/>
                      <w:szCs w:val="21"/>
                    </w:rPr>
                    <w:t>于</w:t>
                  </w:r>
                  <w:r>
                    <w:rPr>
                      <w:rFonts w:hint="default" w:ascii="Times New Roman" w:hAnsi="Times New Roman" w:cs="Times New Roman"/>
                      <w:color w:val="auto"/>
                      <w:szCs w:val="21"/>
                      <w:lang w:val="en-US" w:eastAsia="zh-CN"/>
                    </w:rPr>
                    <w:t>90</w:t>
                  </w:r>
                  <w:r>
                    <w:rPr>
                      <w:rFonts w:hint="default" w:ascii="Times New Roman" w:hAnsi="Times New Roman" w:cs="Times New Roman"/>
                      <w:color w:val="auto"/>
                      <w:szCs w:val="21"/>
                    </w:rPr>
                    <w:t>%。</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《低挥发性有机化合物含量涂料产品技术要求》（GB/T 38597-2020）</w:t>
                  </w:r>
                </w:p>
              </w:tc>
              <w:tc>
                <w:tcPr>
                  <w:tcW w:w="2430" w:type="pct"/>
                  <w:tcBorders>
                    <w:tl2br w:val="nil"/>
                    <w:tr2bl w:val="nil"/>
                  </w:tcBorders>
                  <w:noWrap/>
                  <w:vAlign w:val="center"/>
                </w:tcPr>
                <w:p>
                  <w:pPr>
                    <w:rPr>
                      <w:rFonts w:hint="default" w:ascii="Times New Roman" w:hAnsi="Times New Roman" w:cs="Times New Roman"/>
                      <w:b/>
                      <w:bCs/>
                    </w:rPr>
                  </w:pPr>
                  <w:r>
                    <w:rPr>
                      <w:rFonts w:hint="default" w:ascii="Times New Roman" w:hAnsi="Times New Roman" w:cs="Times New Roman"/>
                    </w:rPr>
                    <w:t>《低挥发性有机化合物含量涂料产品技术要求》（GB/T 38597-2020）</w:t>
                  </w:r>
                  <w:r>
                    <w:rPr>
                      <w:rFonts w:hint="eastAsia" w:cs="Times New Roman"/>
                      <w:lang w:val="en-US" w:eastAsia="zh-CN"/>
                    </w:rPr>
                    <w:t>表2</w:t>
                  </w:r>
                  <w:r>
                    <w:rPr>
                      <w:rFonts w:hint="default" w:ascii="Times New Roman" w:hAnsi="Times New Roman" w:cs="Times New Roman"/>
                    </w:rPr>
                    <w:t>中工程机械设备面漆VOC限值为</w:t>
                  </w:r>
                  <w:r>
                    <w:rPr>
                      <w:rFonts w:hint="eastAsia" w:cs="Times New Roman"/>
                      <w:lang w:val="en-US" w:eastAsia="zh-CN"/>
                    </w:rPr>
                    <w:t>480</w:t>
                  </w:r>
                  <w:r>
                    <w:rPr>
                      <w:rFonts w:hint="default" w:ascii="Times New Roman" w:hAnsi="Times New Roman" w:cs="Times New Roman"/>
                    </w:rPr>
                    <w:t>g/L。</w:t>
                  </w:r>
                </w:p>
              </w:tc>
              <w:tc>
                <w:tcPr>
                  <w:tcW w:w="873" w:type="pct"/>
                  <w:tcBorders>
                    <w:tl2br w:val="nil"/>
                    <w:tr2bl w:val="nil"/>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本项目使用状态下的</w:t>
                  </w:r>
                  <w:r>
                    <w:rPr>
                      <w:rFonts w:hint="default" w:ascii="Times New Roman" w:hAnsi="Times New Roman" w:cs="Times New Roman"/>
                      <w:color w:val="000000"/>
                      <w:szCs w:val="21"/>
                      <w:lang w:val="en-US" w:eastAsia="zh-CN"/>
                    </w:rPr>
                    <w:t>油漆</w:t>
                  </w:r>
                  <w:r>
                    <w:rPr>
                      <w:rFonts w:hint="default" w:ascii="Times New Roman" w:hAnsi="Times New Roman" w:cs="Times New Roman"/>
                      <w:color w:val="000000"/>
                      <w:szCs w:val="21"/>
                    </w:rPr>
                    <w:t>的VOCs含量为</w:t>
                  </w:r>
                  <w:r>
                    <w:rPr>
                      <w:rFonts w:hint="default" w:ascii="Times New Roman" w:hAnsi="Times New Roman" w:cs="Times New Roman"/>
                      <w:color w:val="000000"/>
                      <w:szCs w:val="21"/>
                      <w:lang w:val="en-US" w:eastAsia="zh-CN"/>
                    </w:rPr>
                    <w:t>423</w:t>
                  </w:r>
                  <w:r>
                    <w:rPr>
                      <w:rFonts w:hint="default" w:ascii="Times New Roman" w:hAnsi="Times New Roman" w:cs="Times New Roman"/>
                      <w:color w:val="000000"/>
                      <w:szCs w:val="21"/>
                    </w:rPr>
                    <w:t>g/L，符合</w:t>
                  </w:r>
                  <w:r>
                    <w:rPr>
                      <w:rFonts w:hint="eastAsia" w:cs="Times New Roman"/>
                      <w:color w:val="000000"/>
                      <w:szCs w:val="21"/>
                      <w:lang w:val="en-US" w:eastAsia="zh-CN"/>
                    </w:rPr>
                    <w:t>表2</w:t>
                  </w:r>
                  <w:r>
                    <w:rPr>
                      <w:rFonts w:hint="eastAsia"/>
                      <w:color w:val="000000"/>
                      <w:szCs w:val="21"/>
                    </w:rPr>
                    <w:t>工程机械设备面漆VOC限值</w:t>
                  </w:r>
                  <w:r>
                    <w:rPr>
                      <w:rFonts w:hint="default" w:ascii="Times New Roman" w:hAnsi="Times New Roman" w:cs="Times New Roman"/>
                      <w:color w:val="000000"/>
                      <w:szCs w:val="21"/>
                    </w:rPr>
                    <w:t>要求</w:t>
                  </w:r>
                  <w:r>
                    <w:rPr>
                      <w:rFonts w:hint="eastAsia" w:cs="Times New Roman"/>
                      <w:color w:val="000000"/>
                      <w:szCs w:val="21"/>
                      <w:lang w:eastAsia="zh-CN"/>
                    </w:rPr>
                    <w:t>，</w:t>
                  </w:r>
                  <w:r>
                    <w:rPr>
                      <w:rFonts w:hint="eastAsia" w:cs="Times New Roman"/>
                      <w:color w:val="000000"/>
                      <w:szCs w:val="21"/>
                      <w:lang w:val="en-US" w:eastAsia="zh-CN"/>
                    </w:rPr>
                    <w:t>塑粉属于低挥发性有机化合物涂料，常温状态下无VOCs产生，符合要求</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《江苏省挥发性有机物清洁原料替代工作方案》的通知</w:t>
                  </w:r>
                  <w:r>
                    <w:rPr>
                      <w:rFonts w:hint="default" w:ascii="Times New Roman" w:hAnsi="Times New Roman" w:cs="Times New Roman"/>
                      <w:color w:val="auto"/>
                      <w:kern w:val="0"/>
                      <w:szCs w:val="21"/>
                    </w:rPr>
                    <w:t>（苏大气</w:t>
                  </w:r>
                  <w:r>
                    <w:rPr>
                      <w:rFonts w:hint="default" w:ascii="Times New Roman" w:hAnsi="Times New Roman" w:cs="Times New Roman"/>
                      <w:color w:val="auto"/>
                      <w:kern w:val="0"/>
                      <w:szCs w:val="21"/>
                      <w:lang w:val="en-US" w:eastAsia="zh-CN"/>
                    </w:rPr>
                    <w:t>办</w:t>
                  </w:r>
                  <w:r>
                    <w:rPr>
                      <w:rFonts w:hint="default" w:ascii="Times New Roman" w:hAnsi="Times New Roman" w:cs="Times New Roman"/>
                      <w:kern w:val="0"/>
                      <w:szCs w:val="21"/>
                    </w:rPr>
                    <w:t>〔2021〕2号）</w:t>
                  </w:r>
                </w:p>
              </w:tc>
              <w:tc>
                <w:tcPr>
                  <w:tcW w:w="2430" w:type="pct"/>
                  <w:tcBorders>
                    <w:tl2br w:val="nil"/>
                    <w:tr2bl w:val="nil"/>
                  </w:tcBorders>
                  <w:noWrap/>
                  <w:vAlign w:val="center"/>
                </w:tcPr>
                <w:p>
                  <w:pPr>
                    <w:rPr>
                      <w:rFonts w:hint="default" w:ascii="Times New Roman" w:hAnsi="Times New Roman" w:cs="Times New Roman"/>
                    </w:rPr>
                  </w:pPr>
                  <w:r>
                    <w:rPr>
                      <w:rFonts w:hint="default" w:ascii="Times New Roman" w:hAnsi="Times New Roman" w:cs="Times New Roman"/>
                    </w:rPr>
                    <w:t>根据省大气办关于印发《江苏省挥发性有机物清洁原料替代工作方案》的通知中要求：明确替代要求。以工业涂装、包装印刷、木材加工、纺织等行业为重点推进清洁原料替代工作……的水基型、本体型胶粘剂产品。若确实无法达到上述要求，应提供相应的论证说明，相关涂料、油墨、清洗剂、胶粘剂等产品应符合相关标准中VOCs含量的限值要求；严格准入条件。禁止建设和使用高VOCs含量的涂料，油墨、胶黏剂等项目……执行国家《低挥发性有机化合物含量涂料产品技术要求》（GB/T 38597-2020）</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本项目使用状态下的</w:t>
                  </w:r>
                  <w:r>
                    <w:rPr>
                      <w:rFonts w:hint="default" w:ascii="Times New Roman" w:hAnsi="Times New Roman" w:cs="Times New Roman"/>
                      <w:color w:val="000000"/>
                      <w:szCs w:val="21"/>
                      <w:lang w:val="en-US" w:eastAsia="zh-CN"/>
                    </w:rPr>
                    <w:t>油漆</w:t>
                  </w:r>
                  <w:r>
                    <w:rPr>
                      <w:rFonts w:hint="default" w:ascii="Times New Roman" w:hAnsi="Times New Roman" w:cs="Times New Roman"/>
                      <w:color w:val="000000"/>
                      <w:szCs w:val="21"/>
                    </w:rPr>
                    <w:t>的VOCs含量为</w:t>
                  </w:r>
                  <w:r>
                    <w:rPr>
                      <w:rFonts w:hint="default" w:ascii="Times New Roman" w:hAnsi="Times New Roman" w:cs="Times New Roman"/>
                      <w:color w:val="000000"/>
                      <w:szCs w:val="21"/>
                      <w:lang w:val="en-US" w:eastAsia="zh-CN"/>
                    </w:rPr>
                    <w:t>423</w:t>
                  </w:r>
                  <w:r>
                    <w:rPr>
                      <w:rFonts w:hint="default" w:ascii="Times New Roman" w:hAnsi="Times New Roman" w:cs="Times New Roman"/>
                      <w:color w:val="000000"/>
                      <w:szCs w:val="21"/>
                    </w:rPr>
                    <w:t>g/L，符合</w:t>
                  </w:r>
                  <w:r>
                    <w:rPr>
                      <w:rFonts w:hint="eastAsia" w:cs="Times New Roman"/>
                      <w:color w:val="000000"/>
                      <w:szCs w:val="21"/>
                      <w:lang w:val="en-US" w:eastAsia="zh-CN"/>
                    </w:rPr>
                    <w:t>表2</w:t>
                  </w:r>
                  <w:r>
                    <w:rPr>
                      <w:rFonts w:hint="eastAsia"/>
                      <w:color w:val="000000"/>
                      <w:szCs w:val="21"/>
                    </w:rPr>
                    <w:t>工程机械设备面漆VOC限值</w:t>
                  </w:r>
                  <w:r>
                    <w:rPr>
                      <w:rFonts w:hint="default" w:ascii="Times New Roman" w:hAnsi="Times New Roman" w:cs="Times New Roman"/>
                      <w:color w:val="000000"/>
                      <w:szCs w:val="21"/>
                    </w:rPr>
                    <w:t>要求</w:t>
                  </w:r>
                  <w:r>
                    <w:rPr>
                      <w:rFonts w:hint="eastAsia" w:cs="Times New Roman"/>
                      <w:color w:val="000000"/>
                      <w:szCs w:val="21"/>
                      <w:lang w:eastAsia="zh-CN"/>
                    </w:rPr>
                    <w:t>，</w:t>
                  </w:r>
                  <w:r>
                    <w:rPr>
                      <w:rFonts w:hint="eastAsia" w:cs="Times New Roman"/>
                      <w:color w:val="000000"/>
                      <w:szCs w:val="21"/>
                      <w:lang w:val="en-US" w:eastAsia="zh-CN"/>
                    </w:rPr>
                    <w:t>塑粉属于低挥发性有机化合物涂料，常温状态下无VOCs产生</w:t>
                  </w:r>
                  <w:r>
                    <w:rPr>
                      <w:rFonts w:hint="default" w:ascii="Times New Roman" w:hAnsi="Times New Roman" w:cs="Times New Roman"/>
                    </w:rPr>
                    <w:t>，</w:t>
                  </w:r>
                  <w:r>
                    <w:rPr>
                      <w:rFonts w:hint="default" w:ascii="Times New Roman" w:hAnsi="Times New Roman" w:cs="Times New Roman"/>
                      <w:color w:val="000000"/>
                      <w:szCs w:val="21"/>
                    </w:rPr>
                    <w:t>符合标准限值要求。符合</w:t>
                  </w:r>
                  <w:r>
                    <w:rPr>
                      <w:rFonts w:hint="default" w:ascii="Times New Roman" w:hAnsi="Times New Roman" w:cs="Times New Roman"/>
                    </w:rPr>
                    <w:t>《低挥发性有机化合物含量涂料产品技术要求》（GB/T 38597-2020）</w:t>
                  </w:r>
                  <w:r>
                    <w:rPr>
                      <w:rFonts w:hint="default" w:ascii="Times New Roman" w:hAnsi="Times New Roman" w:cs="Times New Roman"/>
                      <w:color w:val="000000"/>
                      <w:szCs w:val="21"/>
                    </w:rPr>
                    <w:t>的要求</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《涂料中有害物质限量 第2部分：工业涂料》（GB 30981.2-2025）</w:t>
                  </w:r>
                </w:p>
              </w:tc>
              <w:tc>
                <w:tcPr>
                  <w:tcW w:w="2430" w:type="pct"/>
                  <w:tcBorders>
                    <w:tl2br w:val="nil"/>
                    <w:tr2bl w:val="nil"/>
                  </w:tcBorders>
                  <w:noWrap/>
                  <w:vAlign w:val="center"/>
                </w:tcPr>
                <w:p>
                  <w:pPr>
                    <w:rPr>
                      <w:rFonts w:hint="default" w:ascii="Times New Roman" w:hAnsi="Times New Roman" w:cs="Times New Roman"/>
                    </w:rPr>
                  </w:pPr>
                  <w:r>
                    <w:rPr>
                      <w:rFonts w:hint="default" w:ascii="Times New Roman" w:hAnsi="Times New Roman" w:cs="Times New Roman"/>
                    </w:rPr>
                    <w:t>《涂料中有害物质限量 第2部分：工业涂料》（GB 30981.2-2025）中机械设备</w:t>
                  </w:r>
                  <w:r>
                    <w:rPr>
                      <w:rFonts w:hint="eastAsia" w:cs="Times New Roman"/>
                      <w:lang w:val="en-US" w:eastAsia="zh-CN"/>
                    </w:rPr>
                    <w:t>溶剂型涂料</w:t>
                  </w:r>
                  <w:r>
                    <w:rPr>
                      <w:rFonts w:hint="default" w:ascii="Times New Roman" w:hAnsi="Times New Roman" w:cs="Times New Roman"/>
                    </w:rPr>
                    <w:t>面漆VOC限值为</w:t>
                  </w:r>
                  <w:r>
                    <w:rPr>
                      <w:rFonts w:hint="eastAsia" w:cs="Times New Roman"/>
                      <w:lang w:val="en-US" w:eastAsia="zh-CN"/>
                    </w:rPr>
                    <w:t>550</w:t>
                  </w:r>
                  <w:r>
                    <w:rPr>
                      <w:rFonts w:hint="default" w:ascii="Times New Roman" w:hAnsi="Times New Roman" w:cs="Times New Roman"/>
                    </w:rPr>
                    <w:t>g/L；</w:t>
                  </w:r>
                  <w:r>
                    <w:rPr>
                      <w:rFonts w:hint="default" w:ascii="Times New Roman" w:hAnsi="Times New Roman" w:cs="Times New Roman"/>
                      <w:lang w:val="en-US" w:eastAsia="zh-CN"/>
                    </w:rPr>
                    <w:t>腻子</w:t>
                  </w:r>
                  <w:r>
                    <w:rPr>
                      <w:rFonts w:hint="default" w:ascii="Times New Roman" w:hAnsi="Times New Roman" w:cs="Times New Roman"/>
                    </w:rPr>
                    <w:t>VOC限值为</w:t>
                  </w:r>
                  <w:r>
                    <w:rPr>
                      <w:rFonts w:hint="default" w:ascii="Times New Roman" w:hAnsi="Times New Roman" w:cs="Times New Roman"/>
                      <w:lang w:val="en-US" w:eastAsia="zh-CN"/>
                    </w:rPr>
                    <w:t>300</w:t>
                  </w:r>
                  <w:r>
                    <w:rPr>
                      <w:rFonts w:hint="default" w:ascii="Times New Roman" w:hAnsi="Times New Roman" w:cs="Times New Roman"/>
                    </w:rPr>
                    <w:t>g/</w:t>
                  </w:r>
                  <w:r>
                    <w:rPr>
                      <w:rFonts w:hint="default" w:ascii="Times New Roman" w:hAnsi="Times New Roman" w:cs="Times New Roman"/>
                      <w:lang w:val="en-US" w:eastAsia="zh-CN"/>
                    </w:rPr>
                    <w:t>kg</w:t>
                  </w:r>
                  <w:r>
                    <w:rPr>
                      <w:rFonts w:hint="default" w:ascii="Times New Roman" w:hAnsi="Times New Roman" w:cs="Times New Roman"/>
                    </w:rPr>
                    <w:t>。</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本项目使用状态下的</w:t>
                  </w:r>
                  <w:r>
                    <w:rPr>
                      <w:rFonts w:hint="default" w:ascii="Times New Roman" w:hAnsi="Times New Roman" w:cs="Times New Roman"/>
                      <w:color w:val="000000"/>
                      <w:szCs w:val="21"/>
                      <w:lang w:val="en-US" w:eastAsia="zh-CN"/>
                    </w:rPr>
                    <w:t>油漆</w:t>
                  </w:r>
                  <w:r>
                    <w:rPr>
                      <w:rFonts w:hint="default" w:ascii="Times New Roman" w:hAnsi="Times New Roman" w:cs="Times New Roman"/>
                      <w:color w:val="000000"/>
                      <w:szCs w:val="21"/>
                    </w:rPr>
                    <w:t>的VOCs含量为</w:t>
                  </w:r>
                  <w:r>
                    <w:rPr>
                      <w:rFonts w:hint="default" w:ascii="Times New Roman" w:hAnsi="Times New Roman" w:cs="Times New Roman"/>
                      <w:color w:val="000000"/>
                      <w:szCs w:val="21"/>
                      <w:lang w:val="en-US" w:eastAsia="zh-CN"/>
                    </w:rPr>
                    <w:t>423</w:t>
                  </w:r>
                  <w:r>
                    <w:rPr>
                      <w:rFonts w:hint="default" w:ascii="Times New Roman" w:hAnsi="Times New Roman" w:cs="Times New Roman"/>
                      <w:color w:val="000000"/>
                      <w:szCs w:val="21"/>
                    </w:rPr>
                    <w:t>g/L，</w:t>
                  </w:r>
                  <w:r>
                    <w:rPr>
                      <w:rFonts w:hint="eastAsia" w:ascii="Times New Roman" w:hAnsi="Times New Roman" w:cs="Times New Roman"/>
                      <w:bCs/>
                      <w:color w:val="auto"/>
                      <w:szCs w:val="21"/>
                      <w:highlight w:val="none"/>
                      <w:lang w:val="en-US" w:eastAsia="zh-CN"/>
                    </w:rPr>
                    <w:t>根据企业提供的腻子VOCs检测报告，其含量104g/L，腻子密度按2.13g/cm</w:t>
                  </w:r>
                  <w:r>
                    <w:rPr>
                      <w:rFonts w:hint="eastAsia" w:ascii="Times New Roman" w:hAnsi="Times New Roman" w:cs="Times New Roman"/>
                      <w:bCs/>
                      <w:color w:val="auto"/>
                      <w:szCs w:val="21"/>
                      <w:highlight w:val="none"/>
                      <w:vertAlign w:val="superscript"/>
                      <w:lang w:val="en-US" w:eastAsia="zh-CN"/>
                    </w:rPr>
                    <w:t>3</w:t>
                  </w:r>
                  <w:r>
                    <w:rPr>
                      <w:rFonts w:hint="eastAsia" w:ascii="Times New Roman" w:hAnsi="Times New Roman" w:cs="Times New Roman"/>
                      <w:bCs/>
                      <w:color w:val="auto"/>
                      <w:szCs w:val="21"/>
                      <w:highlight w:val="none"/>
                      <w:lang w:val="en-US" w:eastAsia="zh-CN"/>
                    </w:rPr>
                    <w:t>（不饱和聚酯树脂密度按1.2g/cm</w:t>
                  </w:r>
                  <w:r>
                    <w:rPr>
                      <w:rFonts w:hint="eastAsia" w:ascii="Times New Roman" w:hAnsi="Times New Roman" w:cs="Times New Roman"/>
                      <w:bCs/>
                      <w:color w:val="auto"/>
                      <w:szCs w:val="21"/>
                      <w:highlight w:val="none"/>
                      <w:vertAlign w:val="superscript"/>
                      <w:lang w:val="en-US" w:eastAsia="zh-CN"/>
                    </w:rPr>
                    <w:t>3</w:t>
                  </w:r>
                  <w:r>
                    <w:rPr>
                      <w:rFonts w:hint="eastAsia" w:ascii="Times New Roman" w:hAnsi="Times New Roman" w:cs="Times New Roman"/>
                      <w:bCs/>
                      <w:color w:val="auto"/>
                      <w:szCs w:val="21"/>
                      <w:highlight w:val="none"/>
                      <w:lang w:val="en-US" w:eastAsia="zh-CN"/>
                    </w:rPr>
                    <w:t>、滑石粉密度按2.7g/cm</w:t>
                  </w:r>
                  <w:r>
                    <w:rPr>
                      <w:rFonts w:hint="eastAsia" w:ascii="Times New Roman" w:hAnsi="Times New Roman" w:cs="Times New Roman"/>
                      <w:bCs/>
                      <w:color w:val="auto"/>
                      <w:szCs w:val="21"/>
                      <w:highlight w:val="none"/>
                      <w:vertAlign w:val="superscript"/>
                      <w:lang w:val="en-US" w:eastAsia="zh-CN"/>
                    </w:rPr>
                    <w:t>3</w:t>
                  </w:r>
                  <w:r>
                    <w:rPr>
                      <w:rFonts w:hint="eastAsia" w:ascii="Times New Roman" w:hAnsi="Times New Roman" w:cs="Times New Roman"/>
                      <w:bCs/>
                      <w:color w:val="auto"/>
                      <w:szCs w:val="21"/>
                      <w:highlight w:val="none"/>
                      <w:lang w:val="en-US" w:eastAsia="zh-CN"/>
                    </w:rPr>
                    <w:t>、钛白粉密度按4.23g/cm</w:t>
                  </w:r>
                  <w:r>
                    <w:rPr>
                      <w:rFonts w:hint="eastAsia" w:ascii="Times New Roman" w:hAnsi="Times New Roman" w:cs="Times New Roman"/>
                      <w:bCs/>
                      <w:color w:val="auto"/>
                      <w:szCs w:val="21"/>
                      <w:highlight w:val="none"/>
                      <w:vertAlign w:val="superscript"/>
                      <w:lang w:val="en-US" w:eastAsia="zh-CN"/>
                    </w:rPr>
                    <w:t>3</w:t>
                  </w:r>
                  <w:r>
                    <w:rPr>
                      <w:rFonts w:hint="eastAsia" w:ascii="Times New Roman" w:hAnsi="Times New Roman" w:cs="Times New Roman"/>
                      <w:bCs/>
                      <w:color w:val="auto"/>
                      <w:szCs w:val="21"/>
                      <w:highlight w:val="none"/>
                      <w:lang w:val="en-US" w:eastAsia="zh-CN"/>
                    </w:rPr>
                    <w:t>、助剂密度按1.00g/cm</w:t>
                  </w:r>
                  <w:r>
                    <w:rPr>
                      <w:rFonts w:hint="eastAsia" w:ascii="Times New Roman" w:hAnsi="Times New Roman" w:cs="Times New Roman"/>
                      <w:bCs/>
                      <w:color w:val="auto"/>
                      <w:szCs w:val="21"/>
                      <w:highlight w:val="none"/>
                      <w:vertAlign w:val="superscript"/>
                      <w:lang w:val="en-US" w:eastAsia="zh-CN"/>
                    </w:rPr>
                    <w:t>3</w:t>
                  </w:r>
                  <w:r>
                    <w:rPr>
                      <w:rFonts w:hint="eastAsia" w:ascii="Times New Roman" w:hAnsi="Times New Roman" w:cs="Times New Roman"/>
                      <w:bCs/>
                      <w:color w:val="auto"/>
                      <w:szCs w:val="21"/>
                      <w:highlight w:val="none"/>
                      <w:lang w:val="en-US" w:eastAsia="zh-CN"/>
                    </w:rPr>
                    <w:t>、苯乙烯密度按0.906g/cm</w:t>
                  </w:r>
                  <w:r>
                    <w:rPr>
                      <w:rFonts w:hint="eastAsia" w:ascii="Times New Roman" w:hAnsi="Times New Roman" w:cs="Times New Roman"/>
                      <w:bCs/>
                      <w:color w:val="auto"/>
                      <w:szCs w:val="21"/>
                      <w:highlight w:val="none"/>
                      <w:vertAlign w:val="superscript"/>
                      <w:lang w:val="en-US" w:eastAsia="zh-CN"/>
                    </w:rPr>
                    <w:t>3</w:t>
                  </w:r>
                  <w:r>
                    <w:rPr>
                      <w:rFonts w:hint="eastAsia" w:ascii="Times New Roman" w:hAnsi="Times New Roman" w:cs="Times New Roman"/>
                      <w:bCs/>
                      <w:color w:val="auto"/>
                      <w:szCs w:val="21"/>
                      <w:highlight w:val="none"/>
                      <w:lang w:val="en-US" w:eastAsia="zh-CN"/>
                    </w:rPr>
                    <w:t>计），折算VOCs含量为48.8g/kg</w:t>
                  </w:r>
                  <w:r>
                    <w:rPr>
                      <w:rFonts w:hint="default" w:ascii="Times New Roman" w:hAnsi="Times New Roman" w:cs="Times New Roman"/>
                    </w:rPr>
                    <w:t>，</w:t>
                  </w:r>
                  <w:r>
                    <w:rPr>
                      <w:rFonts w:hint="default" w:ascii="Times New Roman" w:hAnsi="Times New Roman" w:cs="Times New Roman"/>
                      <w:color w:val="000000"/>
                      <w:szCs w:val="21"/>
                    </w:rPr>
                    <w:t>符合标准限值要求</w:t>
                  </w:r>
                </w:p>
              </w:tc>
              <w:tc>
                <w:tcPr>
                  <w:tcW w:w="352" w:type="pct"/>
                  <w:tcBorders>
                    <w:tl2br w:val="nil"/>
                    <w:tr2bl w:val="nil"/>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adjustRightInd w:val="0"/>
                    <w:snapToGrid w:val="0"/>
                    <w:jc w:val="center"/>
                    <w:rPr>
                      <w:rFonts w:hint="default" w:ascii="Times New Roman" w:hAnsi="Times New Roman" w:cs="Times New Roman"/>
                      <w:szCs w:val="21"/>
                      <w:lang w:val="en-US" w:eastAsia="zh-CN"/>
                    </w:rPr>
                  </w:pPr>
                  <w:r>
                    <w:rPr>
                      <w:rFonts w:hint="eastAsia" w:cs="Times New Roman"/>
                      <w:szCs w:val="21"/>
                      <w:lang w:val="en-US" w:eastAsia="zh-CN"/>
                    </w:rPr>
                    <w:t>13</w:t>
                  </w:r>
                </w:p>
              </w:tc>
              <w:tc>
                <w:tcPr>
                  <w:tcW w:w="1023" w:type="pct"/>
                  <w:tcBorders>
                    <w:tl2br w:val="nil"/>
                    <w:tr2bl w:val="nil"/>
                  </w:tcBorders>
                  <w:noWrap/>
                  <w:vAlign w:val="center"/>
                </w:tcPr>
                <w:p>
                  <w:pPr>
                    <w:adjustRightInd w:val="0"/>
                    <w:snapToGrid w:val="0"/>
                    <w:jc w:val="center"/>
                    <w:rPr>
                      <w:rFonts w:hint="default" w:ascii="Times New Roman" w:hAnsi="Times New Roman" w:cs="Times New Roman"/>
                      <w:kern w:val="0"/>
                      <w:szCs w:val="21"/>
                    </w:rPr>
                  </w:pPr>
                  <w:r>
                    <w:rPr>
                      <w:rFonts w:hint="default"/>
                      <w:kern w:val="0"/>
                      <w:szCs w:val="21"/>
                    </w:rPr>
                    <w:t>《关于印发&lt;关于做好建设项目挥发性有机物排放管理工作的意见（试行）&gt;的通知》（通环办〔2025〕32号）</w:t>
                  </w:r>
                </w:p>
              </w:tc>
              <w:tc>
                <w:tcPr>
                  <w:tcW w:w="2430" w:type="pct"/>
                  <w:tcBorders>
                    <w:tl2br w:val="nil"/>
                    <w:tr2bl w:val="nil"/>
                  </w:tcBorders>
                  <w:noWrap/>
                  <w:vAlign w:val="center"/>
                </w:tcPr>
                <w:p>
                  <w:pPr>
                    <w:rPr>
                      <w:rFonts w:hint="default" w:ascii="Times New Roman" w:hAnsi="Times New Roman" w:cs="Times New Roman"/>
                    </w:rPr>
                  </w:pPr>
                  <w:r>
                    <w:rPr>
                      <w:rFonts w:hint="eastAsia"/>
                    </w:rPr>
                    <w:t>根据《关于做好建设项目挥发性有机物排放管理工作的意见(试行)》(通环办</w:t>
                  </w:r>
                  <w:r>
                    <w:rPr>
                      <w:rFonts w:hint="eastAsia"/>
                      <w:lang w:eastAsia="zh-CN"/>
                    </w:rPr>
                    <w:t>〔2025〕32号</w:t>
                  </w:r>
                  <w:r>
                    <w:rPr>
                      <w:rFonts w:hint="eastAsia"/>
                    </w:rPr>
                    <w:t>)二、项目准入要求对照《南通市关于加强减污降碳协同推进重点行业绿色发展的指导意见》(通办</w:t>
                  </w:r>
                  <w:r>
                    <w:rPr>
                      <w:rFonts w:hint="eastAsia"/>
                      <w:lang w:eastAsia="zh-CN"/>
                    </w:rPr>
                    <w:t>〔2024〕6号</w:t>
                  </w:r>
                  <w:r>
                    <w:rPr>
                      <w:rFonts w:hint="eastAsia"/>
                    </w:rPr>
                    <w:t>)，推动新建项目对标</w:t>
                  </w:r>
                  <w:r>
                    <w:rPr>
                      <w:rFonts w:hint="eastAsia"/>
                      <w:lang w:val="en-US" w:eastAsia="zh-CN"/>
                    </w:rPr>
                    <w:t>一</w:t>
                  </w:r>
                  <w:r>
                    <w:rPr>
                      <w:rFonts w:hint="eastAsia"/>
                    </w:rPr>
                    <w:t>流环保标准建设。落实生态环境分区管控要求，遏制“两高一低”项目盲目发展，守牢生态环境质量和生态环境安全底线，对不符合法律法规和审批要求的项目，坚决不予准入。环评审批阶段，各地生态环境部门主动服务指导，根据区域发展、环境功能定位、环境容量等因素，从环境质量改善、低VOCs原辅料产品技术可行性、环保措施有效性、环境影响报告书(表)质量等方面提出审批要求。新建项目按照“最优的设计、先进的设备、最严的管理”进行把关。改、扩建项目，按照“增产不增污”原则，现有生产工艺、治理设施相对落后的，同步进行技术升级，所需总量指标原则通过“以新带老”等措施实现企业内部平衡。企业内部确无法压减总量的，不足部分可由所在园区或县级总量库供给。与本市重大发展战略直接相关的重大项目，应实施最优可达技术并采取最先进的污染防治措施，在严格审批的前提下，新增总量可在全市范围内平衡。</w:t>
                  </w:r>
                </w:p>
              </w:tc>
              <w:tc>
                <w:tcPr>
                  <w:tcW w:w="873" w:type="pct"/>
                  <w:tcBorders>
                    <w:tl2br w:val="nil"/>
                    <w:tr2bl w:val="nil"/>
                  </w:tcBorders>
                  <w:noWrap/>
                  <w:vAlign w:val="center"/>
                </w:tcPr>
                <w:p>
                  <w:pPr>
                    <w:adjustRightInd w:val="0"/>
                    <w:snapToGrid w:val="0"/>
                    <w:jc w:val="center"/>
                    <w:rPr>
                      <w:rFonts w:hint="default" w:ascii="Times New Roman" w:hAnsi="Times New Roman" w:cs="Times New Roman"/>
                      <w:color w:val="000000"/>
                      <w:szCs w:val="21"/>
                    </w:rPr>
                  </w:pPr>
                  <w:r>
                    <w:rPr>
                      <w:rFonts w:hint="default"/>
                      <w:color w:val="000000"/>
                      <w:szCs w:val="21"/>
                    </w:rPr>
                    <w:t>本项目属于〔C3421〕金属切削机床制造，</w:t>
                  </w:r>
                  <w:r>
                    <w:rPr>
                      <w:rFonts w:hint="eastAsia"/>
                      <w:color w:val="000000"/>
                      <w:szCs w:val="21"/>
                      <w:lang w:val="en-US" w:eastAsia="zh-CN"/>
                    </w:rPr>
                    <w:t>涂装</w:t>
                  </w:r>
                  <w:r>
                    <w:rPr>
                      <w:rFonts w:hint="default"/>
                      <w:color w:val="000000"/>
                      <w:szCs w:val="21"/>
                    </w:rPr>
                    <w:t>工序使用</w:t>
                  </w:r>
                  <w:r>
                    <w:rPr>
                      <w:rFonts w:hint="eastAsia"/>
                      <w:color w:val="000000"/>
                      <w:szCs w:val="21"/>
                      <w:lang w:eastAsia="zh-CN"/>
                    </w:rPr>
                    <w:t>油性漆</w:t>
                  </w:r>
                  <w:r>
                    <w:rPr>
                      <w:rFonts w:hint="default"/>
                      <w:color w:val="000000"/>
                      <w:szCs w:val="21"/>
                    </w:rPr>
                    <w:t>，原料符合</w:t>
                  </w:r>
                  <w:r>
                    <w:rPr>
                      <w:rFonts w:hint="default" w:ascii="Times New Roman" w:hAnsi="Times New Roman" w:cs="Times New Roman"/>
                      <w:kern w:val="0"/>
                      <w:szCs w:val="21"/>
                    </w:rPr>
                    <w:t>《低挥发性有机化合物含量涂料产品技术要求》（GB/T 38597-2020）</w:t>
                  </w:r>
                  <w:r>
                    <w:rPr>
                      <w:rFonts w:hint="default"/>
                      <w:color w:val="000000"/>
                      <w:szCs w:val="21"/>
                    </w:rPr>
                    <w:t>要求;</w:t>
                  </w:r>
                  <w:r>
                    <w:rPr>
                      <w:rFonts w:hint="eastAsia"/>
                      <w:color w:val="000000"/>
                      <w:szCs w:val="21"/>
                      <w:lang w:val="en-US" w:eastAsia="zh-CN"/>
                    </w:rPr>
                    <w:t>油漆</w:t>
                  </w:r>
                  <w:r>
                    <w:rPr>
                      <w:rFonts w:hint="default"/>
                      <w:color w:val="000000"/>
                      <w:szCs w:val="21"/>
                    </w:rPr>
                    <w:t>采用密闭包装桶贮存于原料仓库，</w:t>
                  </w:r>
                  <w:r>
                    <w:rPr>
                      <w:rFonts w:hint="eastAsia"/>
                      <w:color w:val="000000"/>
                      <w:szCs w:val="21"/>
                      <w:lang w:val="en-US" w:eastAsia="zh-CN"/>
                    </w:rPr>
                    <w:t>喷涂</w:t>
                  </w:r>
                  <w:r>
                    <w:rPr>
                      <w:rFonts w:hint="default"/>
                      <w:color w:val="000000"/>
                      <w:szCs w:val="21"/>
                    </w:rPr>
                    <w:t>工序在密闭空间内进行，产生的有机废气密闭收集后经</w:t>
                  </w:r>
                  <w:r>
                    <w:rPr>
                      <w:rFonts w:hint="eastAsia"/>
                      <w:color w:val="000000"/>
                      <w:szCs w:val="21"/>
                      <w:lang w:val="en-US" w:eastAsia="zh-CN"/>
                    </w:rPr>
                    <w:t>多级过滤器+</w:t>
                  </w:r>
                  <w:r>
                    <w:rPr>
                      <w:rFonts w:hint="default"/>
                      <w:color w:val="000000"/>
                      <w:szCs w:val="21"/>
                    </w:rPr>
                    <w:t>二级活性炭吸附装置处理达标经</w:t>
                  </w:r>
                  <w:r>
                    <w:rPr>
                      <w:rFonts w:hint="eastAsia"/>
                      <w:color w:val="000000"/>
                      <w:szCs w:val="21"/>
                      <w:lang w:val="en-US" w:eastAsia="zh-CN"/>
                    </w:rPr>
                    <w:t>20</w:t>
                  </w:r>
                  <w:r>
                    <w:rPr>
                      <w:rFonts w:hint="default"/>
                      <w:color w:val="000000"/>
                      <w:szCs w:val="21"/>
                    </w:rPr>
                    <w:t>米高排气筒(DA00</w:t>
                  </w:r>
                  <w:r>
                    <w:rPr>
                      <w:rFonts w:hint="eastAsia"/>
                      <w:color w:val="000000"/>
                      <w:szCs w:val="21"/>
                      <w:lang w:val="en-US" w:eastAsia="zh-CN"/>
                    </w:rPr>
                    <w:t>4</w:t>
                  </w:r>
                  <w:r>
                    <w:rPr>
                      <w:rFonts w:hint="default"/>
                      <w:color w:val="000000"/>
                      <w:szCs w:val="21"/>
                    </w:rPr>
                    <w:t>)排放</w:t>
                  </w:r>
                  <w:r>
                    <w:rPr>
                      <w:rFonts w:hint="eastAsia"/>
                      <w:color w:val="000000"/>
                      <w:szCs w:val="21"/>
                      <w:lang w:eastAsia="zh-CN"/>
                    </w:rPr>
                    <w:t>，</w:t>
                  </w:r>
                  <w:r>
                    <w:rPr>
                      <w:rFonts w:hint="eastAsia"/>
                      <w:color w:val="000000"/>
                      <w:szCs w:val="21"/>
                      <w:lang w:val="en-US" w:eastAsia="zh-CN"/>
                    </w:rPr>
                    <w:t>发泡废气、冷芯制模废气、固化废气</w:t>
                  </w:r>
                  <w:r>
                    <w:rPr>
                      <w:rFonts w:hint="default"/>
                      <w:color w:val="000000"/>
                      <w:szCs w:val="21"/>
                    </w:rPr>
                    <w:t>集气罩</w:t>
                  </w:r>
                  <w:r>
                    <w:rPr>
                      <w:rFonts w:hint="eastAsia"/>
                      <w:color w:val="000000"/>
                      <w:szCs w:val="21"/>
                      <w:lang w:val="en-US" w:eastAsia="zh-CN"/>
                    </w:rPr>
                    <w:t>/密闭收集</w:t>
                  </w:r>
                  <w:r>
                    <w:rPr>
                      <w:rFonts w:hint="default"/>
                      <w:color w:val="000000"/>
                      <w:szCs w:val="21"/>
                    </w:rPr>
                    <w:t>后经二级活性炭吸附装置处理达标经</w:t>
                  </w:r>
                  <w:r>
                    <w:rPr>
                      <w:rFonts w:hint="eastAsia"/>
                      <w:color w:val="000000"/>
                      <w:szCs w:val="21"/>
                      <w:lang w:val="en-US" w:eastAsia="zh-CN"/>
                    </w:rPr>
                    <w:t>20</w:t>
                  </w:r>
                  <w:r>
                    <w:rPr>
                      <w:rFonts w:hint="default"/>
                      <w:color w:val="000000"/>
                      <w:szCs w:val="21"/>
                    </w:rPr>
                    <w:t>米高排气筒(DA00</w:t>
                  </w:r>
                  <w:r>
                    <w:rPr>
                      <w:rFonts w:hint="eastAsia"/>
                      <w:color w:val="000000"/>
                      <w:szCs w:val="21"/>
                      <w:lang w:val="en-US" w:eastAsia="zh-CN"/>
                    </w:rPr>
                    <w:t>1、DA002、DA007</w:t>
                  </w:r>
                  <w:r>
                    <w:rPr>
                      <w:rFonts w:hint="default"/>
                      <w:color w:val="000000"/>
                      <w:szCs w:val="21"/>
                    </w:rPr>
                    <w:t>)排放。对照《固定污染源排污许可分类管理名录》(2019年版)，本项目为登记管理，无需实施总量平衡。因此符合《关于做好建设项目挥发性有机物排放管理工作的意见(试行)》(通环办</w:t>
                  </w:r>
                  <w:r>
                    <w:rPr>
                      <w:rFonts w:hint="eastAsia"/>
                      <w:color w:val="000000"/>
                      <w:szCs w:val="21"/>
                      <w:lang w:eastAsia="zh-CN"/>
                    </w:rPr>
                    <w:t>〔2025〕32号</w:t>
                  </w:r>
                  <w:r>
                    <w:rPr>
                      <w:rFonts w:hint="default"/>
                      <w:color w:val="000000"/>
                      <w:szCs w:val="21"/>
                    </w:rPr>
                    <w:t>)相关要求。</w:t>
                  </w:r>
                </w:p>
              </w:tc>
              <w:tc>
                <w:tcPr>
                  <w:tcW w:w="352" w:type="pct"/>
                  <w:tcBorders>
                    <w:tl2br w:val="nil"/>
                    <w:tr2bl w:val="nil"/>
                  </w:tcBorders>
                  <w:noWrap/>
                  <w:vAlign w:val="center"/>
                </w:tcPr>
                <w:p>
                  <w:pPr>
                    <w:adjustRightInd w:val="0"/>
                    <w:snapToGrid w:val="0"/>
                    <w:jc w:val="center"/>
                    <w:rPr>
                      <w:rFonts w:hint="default" w:ascii="Times New Roman" w:hAnsi="Times New Roman" w:cs="Times New Roman"/>
                      <w:color w:val="000000"/>
                      <w:szCs w:val="21"/>
                      <w:lang w:val="en-US" w:eastAsia="zh-CN"/>
                    </w:rPr>
                  </w:pPr>
                </w:p>
              </w:tc>
            </w:tr>
          </w:tbl>
          <w:p>
            <w:pPr>
              <w:autoSpaceDE w:val="0"/>
              <w:autoSpaceDN w:val="0"/>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bCs/>
                <w:sz w:val="24"/>
              </w:rPr>
              <w:t>（4）与《关于做好生态环境和应急管理部门联动工作的意见》（苏环办〔2020〕101号）、《关于进一步加强环保设备设施安全生产工作的通知》（安委办明电〔2022〕17号）相符性分析</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对照《关于做好生态环境和应急管理部门联动工作的意见》（苏环办〔2020〕101号）、《关于进一步加强环保设备设施安全生产工作的通知》（安委办明电〔2022〕17号）等文件要求：“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要求。</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经排查，本项目涉及的环境治理设施主要为颗粒物、有机废气治理，存在的安全风险主要为除尘器引发的火灾爆炸、</w:t>
            </w:r>
            <w:r>
              <w:rPr>
                <w:rFonts w:hint="default" w:ascii="Times New Roman" w:hAnsi="Times New Roman" w:cs="Times New Roman"/>
                <w:kern w:val="0"/>
                <w:sz w:val="24"/>
                <w:lang w:val="en-US" w:eastAsia="zh-CN"/>
              </w:rPr>
              <w:t>二级活性炭吸附装置、磷酸喷淋塔</w:t>
            </w:r>
            <w:r>
              <w:rPr>
                <w:rFonts w:hint="default" w:ascii="Times New Roman" w:hAnsi="Times New Roman" w:cs="Times New Roman"/>
                <w:kern w:val="0"/>
                <w:sz w:val="24"/>
              </w:rPr>
              <w:t>引发的</w:t>
            </w:r>
            <w:r>
              <w:rPr>
                <w:rFonts w:hint="eastAsia" w:cs="Times New Roman"/>
                <w:kern w:val="0"/>
                <w:sz w:val="24"/>
                <w:lang w:eastAsia="zh-CN"/>
              </w:rPr>
              <w:t>泄漏</w:t>
            </w:r>
            <w:r>
              <w:rPr>
                <w:rFonts w:hint="default" w:ascii="Times New Roman" w:hAnsi="Times New Roman" w:cs="Times New Roman"/>
                <w:kern w:val="0"/>
                <w:sz w:val="24"/>
              </w:rPr>
              <w:t>等隐患，具体如表1-10。</w:t>
            </w:r>
          </w:p>
          <w:p>
            <w:pPr>
              <w:pStyle w:val="56"/>
              <w:adjustRightInd/>
              <w:snapToGrid/>
              <w:ind w:firstLine="0" w:firstLineChars="0"/>
              <w:rPr>
                <w:rFonts w:hint="default" w:ascii="Times New Roman" w:hAnsi="Times New Roman" w:cs="Times New Roman"/>
                <w:b/>
                <w:sz w:val="24"/>
                <w:szCs w:val="24"/>
              </w:rPr>
            </w:pPr>
            <w:r>
              <w:rPr>
                <w:rFonts w:hint="default" w:ascii="Times New Roman" w:hAnsi="Times New Roman" w:cs="Times New Roman"/>
                <w:b/>
                <w:sz w:val="24"/>
                <w:szCs w:val="24"/>
              </w:rPr>
              <w:t>表1-10 安全风险辨识表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16"/>
              <w:gridCol w:w="2099"/>
              <w:gridCol w:w="1665"/>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序号</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环境治理设施</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本项目涉及的设施</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是否存在安全风险</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存在的安全风险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粉尘治理</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布袋除尘器、滤筒除尘器</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是</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火灾、爆炸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有机废气治理</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二级活性炭、磷酸喷淋塔</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是</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rPr>
                  </w:pPr>
                  <w:r>
                    <w:rPr>
                      <w:rFonts w:hint="eastAsia" w:cs="Times New Roman"/>
                      <w:lang w:eastAsia="zh-CN"/>
                    </w:rPr>
                    <w:t>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污水治理</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不涉及</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脱硫脱硝</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不涉及</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煤改气</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不涉及</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10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RTO焚烧炉</w:t>
                  </w:r>
                </w:p>
              </w:tc>
              <w:tc>
                <w:tcPr>
                  <w:tcW w:w="140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不涉及</w:t>
                  </w:r>
                </w:p>
              </w:tc>
              <w:tc>
                <w:tcPr>
                  <w:tcW w:w="1115"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11" w:type="pct"/>
                  <w:tcBorders>
                    <w:tl2br w:val="nil"/>
                    <w:tr2bl w:val="nil"/>
                  </w:tcBorders>
                  <w:vAlign w:val="center"/>
                </w:tcPr>
                <w:p>
                  <w:pPr>
                    <w:widowControl/>
                    <w:spacing w:line="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bl>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kern w:val="0"/>
                <w:sz w:val="24"/>
              </w:rPr>
              <w:t>企业在项目竣工前应根据江苏省生态环境厅 江苏省应急管理厅《关于做好生态环境和应急管理部门联动工作的意见》（苏环办〔2020〕101号）、国务院安委办 生态环境部 应急管理部《关于进一步加强环保设备设施安全生产工作的通知》（安委办明电〔2022〕17号）做好环境治理设施安全风险评估论证，健全内部污染防治设施稳定运行和管理责任制度，严格依据标准规范建设环境治理设施，确保环境治理设施安全、稳定、有效运行及污染物达标排放，同时做好与应急部门的应急联动工作。</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color w:val="000000"/>
                <w:sz w:val="24"/>
              </w:rPr>
              <w:t>（5）</w:t>
            </w:r>
            <w:r>
              <w:rPr>
                <w:rFonts w:hint="default" w:ascii="Times New Roman" w:hAnsi="Times New Roman" w:cs="Times New Roman"/>
                <w:b/>
                <w:bCs/>
                <w:sz w:val="24"/>
              </w:rPr>
              <w:t>与《江苏省“十四五”制造业高质量发展规划》（苏政办发〔2021〕51号）相符性分析</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江苏省“十四五”制造业高质量发展规划》（苏政办发〔2021〕51号）文件要求：“十四五”时期，聚焦新兴领域、突出特色优势，全力打造6个综合实力国际领先或国际先进的制造业集群，培育10个综合实力国内领先的先进制造业集群，推动全产业链优化升级，不断增强产业体系国际竞争力、创新力、控制力。发展特高压设备。突破特高压大功率半导体器件、直流输电关键设备和自主安全电力保护控制设备（系统），做强做优特高压（复合、瓷和玻璃）绝缘子、超高压电缆绝缘材料和电力专用传感器、新一代电力专用通信产品。”</w:t>
            </w:r>
          </w:p>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sz w:val="24"/>
              </w:rPr>
              <w:t>本项目产品为数控机床设备，符合《江苏省“十四五”制造业高质量发展规划》（苏政办发〔2021〕51号）相关要求。</w:t>
            </w:r>
          </w:p>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（6）与《江苏省通榆河水污染防治条例》相符性分析</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通榆河一级保护区为通榆河及其两侧各一公里、主要供水河道及其两侧各一公里区域。根据《如皋市人民政府法制办公室“关于请求明确通榆河一级保护区范围的函”复函》，如皋市境内焦港河全线、如海运河全线、如泰运河（介于焦港河和如海运河中间段），及其河道两侧各1000m属于通榆河一级保护区。</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本项目距离焦港河100m</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如泰运河（</w:t>
            </w:r>
            <w:r>
              <w:rPr>
                <w:rFonts w:hint="default" w:ascii="Times New Roman" w:hAnsi="Times New Roman" w:cs="Times New Roman"/>
                <w:sz w:val="24"/>
              </w:rPr>
              <w:t>介于焦港河和如海运河中间段</w:t>
            </w:r>
            <w:r>
              <w:rPr>
                <w:rFonts w:hint="default" w:ascii="Times New Roman" w:hAnsi="Times New Roman" w:cs="Times New Roman"/>
                <w:sz w:val="24"/>
                <w:lang w:val="en-US" w:eastAsia="zh-CN"/>
              </w:rPr>
              <w:t>）880m</w:t>
            </w:r>
            <w:r>
              <w:rPr>
                <w:rFonts w:hint="default" w:ascii="Times New Roman" w:hAnsi="Times New Roman" w:cs="Times New Roman"/>
                <w:sz w:val="24"/>
              </w:rPr>
              <w:t>，位于通榆河一级保护区范围内，具体对照如下。</w:t>
            </w:r>
          </w:p>
          <w:p>
            <w:pPr>
              <w:jc w:val="center"/>
              <w:rPr>
                <w:rFonts w:hint="default" w:ascii="Times New Roman" w:hAnsi="Times New Roman" w:cs="Times New Roman"/>
                <w:b/>
                <w:bCs/>
                <w:sz w:val="24"/>
              </w:rPr>
            </w:pPr>
            <w:r>
              <w:rPr>
                <w:rFonts w:hint="default" w:ascii="Times New Roman" w:hAnsi="Times New Roman" w:cs="Times New Roman"/>
                <w:b/>
                <w:bCs/>
                <w:sz w:val="24"/>
              </w:rPr>
              <w:t>表1-11 与《江苏省通榆河水污染防治条例》相符性对照</w:t>
            </w:r>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
              <w:gridCol w:w="4121"/>
              <w:gridCol w:w="2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760" w:type="pc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文件要求</w:t>
                  </w:r>
                </w:p>
              </w:tc>
              <w:tc>
                <w:tcPr>
                  <w:tcW w:w="1667" w:type="pc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相符性对照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2760"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通榆河一级保护区、二级保护区和三级保护区内可能发生水污染事故的企业事业单位，应当制定有关水污染事故应急方案，做好应急准备，并定期进行演练。</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b/>
                      <w:bCs/>
                      <w:szCs w:val="21"/>
                    </w:rPr>
                    <w:t>本项目无生产废水产生，</w:t>
                  </w:r>
                  <w:r>
                    <w:rPr>
                      <w:rFonts w:hint="default" w:ascii="Times New Roman" w:hAnsi="Times New Roman" w:cs="Times New Roman"/>
                      <w:szCs w:val="21"/>
                    </w:rPr>
                    <w:t>生活污水经处理后接管如皋市搬经污水处理厂；本项目建成后将制定有关水污染事故应急方案，做好应急准备，并定期进行水方面的应急演练。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2760"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第三十六条 通榆河一级保护区、二级保护区内禁止下列行为：</w:t>
                  </w:r>
                </w:p>
                <w:p>
                  <w:pPr>
                    <w:jc w:val="center"/>
                    <w:rPr>
                      <w:rFonts w:hint="default" w:ascii="Times New Roman" w:hAnsi="Times New Roman" w:cs="Times New Roman"/>
                      <w:szCs w:val="21"/>
                    </w:rPr>
                  </w:pPr>
                  <w:r>
                    <w:rPr>
                      <w:rFonts w:hint="default" w:ascii="Times New Roman" w:hAnsi="Times New Roman" w:cs="Times New Roman"/>
                      <w:szCs w:val="21"/>
                    </w:rPr>
                    <w:t>（一）新建、改建、扩建制浆、造纸、化工、制革、酿造、染料、印染、电镀、炼油、铅酸蓄电池和排放水污染物的黑色金属冶炼及压延加工项目、有色金属冶炼及压延加工项目、金属制品项目等污染环境的项目；</w:t>
                  </w:r>
                </w:p>
                <w:p>
                  <w:pPr>
                    <w:jc w:val="center"/>
                    <w:rPr>
                      <w:rFonts w:hint="default" w:ascii="Times New Roman" w:hAnsi="Times New Roman" w:cs="Times New Roman"/>
                      <w:szCs w:val="21"/>
                    </w:rPr>
                  </w:pPr>
                  <w:r>
                    <w:rPr>
                      <w:rFonts w:hint="default" w:ascii="Times New Roman" w:hAnsi="Times New Roman" w:cs="Times New Roman"/>
                      <w:szCs w:val="21"/>
                    </w:rPr>
                    <w:t>（二）在河道内设置经营性餐饮设施；</w:t>
                  </w:r>
                </w:p>
                <w:p>
                  <w:pPr>
                    <w:jc w:val="center"/>
                    <w:rPr>
                      <w:rFonts w:hint="default" w:ascii="Times New Roman" w:hAnsi="Times New Roman" w:cs="Times New Roman"/>
                      <w:szCs w:val="21"/>
                    </w:rPr>
                  </w:pPr>
                  <w:r>
                    <w:rPr>
                      <w:rFonts w:hint="default" w:ascii="Times New Roman" w:hAnsi="Times New Roman" w:cs="Times New Roman"/>
                      <w:szCs w:val="21"/>
                    </w:rPr>
                    <w:t>（三）向河道、水体倾倒工业废渣、水处理污泥、生活垃圾、船舶垃圾；</w:t>
                  </w:r>
                </w:p>
                <w:p>
                  <w:pPr>
                    <w:jc w:val="center"/>
                    <w:rPr>
                      <w:rFonts w:hint="default" w:ascii="Times New Roman" w:hAnsi="Times New Roman" w:cs="Times New Roman"/>
                      <w:szCs w:val="21"/>
                    </w:rPr>
                  </w:pPr>
                  <w:r>
                    <w:rPr>
                      <w:rFonts w:hint="default" w:ascii="Times New Roman" w:hAnsi="Times New Roman" w:cs="Times New Roman"/>
                      <w:szCs w:val="21"/>
                    </w:rPr>
                    <w:t>（四）将畜禽养殖场的粪便和污水直接排入水体；</w:t>
                  </w:r>
                </w:p>
                <w:p>
                  <w:pPr>
                    <w:jc w:val="center"/>
                    <w:rPr>
                      <w:rFonts w:hint="default" w:ascii="Times New Roman" w:hAnsi="Times New Roman" w:cs="Times New Roman"/>
                      <w:szCs w:val="21"/>
                    </w:rPr>
                  </w:pPr>
                  <w:r>
                    <w:rPr>
                      <w:rFonts w:hint="default" w:ascii="Times New Roman" w:hAnsi="Times New Roman" w:cs="Times New Roman"/>
                      <w:szCs w:val="21"/>
                    </w:rPr>
                    <w:t>（五）将船舶的残油、废油排入水体；</w:t>
                  </w:r>
                </w:p>
                <w:p>
                  <w:pPr>
                    <w:jc w:val="center"/>
                    <w:rPr>
                      <w:rFonts w:hint="default" w:ascii="Times New Roman" w:hAnsi="Times New Roman" w:cs="Times New Roman"/>
                      <w:szCs w:val="21"/>
                    </w:rPr>
                  </w:pPr>
                  <w:r>
                    <w:rPr>
                      <w:rFonts w:hint="default" w:ascii="Times New Roman" w:hAnsi="Times New Roman" w:cs="Times New Roman"/>
                      <w:szCs w:val="21"/>
                    </w:rPr>
                    <w:t>（六）在水体洗涤装贮过油类、有毒有害物品的车辆、船舶和容器以及污染水体的回收废旧物品；</w:t>
                  </w:r>
                </w:p>
                <w:p>
                  <w:pPr>
                    <w:jc w:val="center"/>
                    <w:rPr>
                      <w:rFonts w:hint="default" w:ascii="Times New Roman" w:hAnsi="Times New Roman" w:cs="Times New Roman"/>
                      <w:szCs w:val="21"/>
                    </w:rPr>
                  </w:pPr>
                  <w:r>
                    <w:rPr>
                      <w:rFonts w:hint="default" w:ascii="Times New Roman" w:hAnsi="Times New Roman" w:cs="Times New Roman"/>
                      <w:szCs w:val="21"/>
                    </w:rPr>
                    <w:t>（七）法律、法规禁止的其他行为。</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本项目属于国民经济行业分类中C34通用设备制造业中〔C3421〕金属切削机床制造</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产品为数控机床设备，不属于金属制品业</w:t>
                  </w:r>
                  <w:r>
                    <w:rPr>
                      <w:rFonts w:hint="default" w:ascii="Times New Roman" w:hAnsi="Times New Roman" w:cs="Times New Roman"/>
                      <w:szCs w:val="21"/>
                    </w:rPr>
                    <w:t>；不涉及制浆、造纸、化工、制革、酿造、染料、印染、电镀、炼油、铅酸蓄电池；本项目无生产废水产生，生活污水经处理后接管如皋市搬经污水处理厂。不涉及排放水污染物的有色金属冶炼及压延加工项目、金属制品项目等污染环境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2760"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第三十七条 通榆河一级保护区内禁止下列行为：</w:t>
                  </w:r>
                </w:p>
                <w:p>
                  <w:pPr>
                    <w:jc w:val="center"/>
                    <w:rPr>
                      <w:rFonts w:hint="default" w:ascii="Times New Roman" w:hAnsi="Times New Roman" w:cs="Times New Roman"/>
                      <w:szCs w:val="21"/>
                    </w:rPr>
                  </w:pPr>
                  <w:r>
                    <w:rPr>
                      <w:rFonts w:hint="default" w:ascii="Times New Roman" w:hAnsi="Times New Roman" w:cs="Times New Roman"/>
                      <w:szCs w:val="21"/>
                    </w:rPr>
                    <w:t>（一）新建、扩建直接或者间接向水体排放污染物的项目；</w:t>
                  </w:r>
                </w:p>
                <w:p>
                  <w:pPr>
                    <w:jc w:val="center"/>
                    <w:rPr>
                      <w:rFonts w:hint="default" w:ascii="Times New Roman" w:hAnsi="Times New Roman" w:cs="Times New Roman"/>
                      <w:szCs w:val="21"/>
                    </w:rPr>
                  </w:pPr>
                  <w:r>
                    <w:rPr>
                      <w:rFonts w:hint="default" w:ascii="Times New Roman" w:hAnsi="Times New Roman" w:cs="Times New Roman"/>
                      <w:szCs w:val="21"/>
                    </w:rPr>
                    <w:t>（二）新设排污口；</w:t>
                  </w:r>
                </w:p>
                <w:p>
                  <w:pPr>
                    <w:jc w:val="center"/>
                    <w:rPr>
                      <w:rFonts w:hint="default" w:ascii="Times New Roman" w:hAnsi="Times New Roman" w:cs="Times New Roman"/>
                      <w:szCs w:val="21"/>
                    </w:rPr>
                  </w:pPr>
                  <w:r>
                    <w:rPr>
                      <w:rFonts w:hint="default" w:ascii="Times New Roman" w:hAnsi="Times New Roman" w:cs="Times New Roman"/>
                      <w:szCs w:val="21"/>
                    </w:rPr>
                    <w:t>（三）建设工业固体废物集中贮存、利用、处置设施或者场所以及城市生活垃圾填埋场；</w:t>
                  </w:r>
                </w:p>
                <w:p>
                  <w:pPr>
                    <w:jc w:val="center"/>
                    <w:rPr>
                      <w:rFonts w:hint="default" w:ascii="Times New Roman" w:hAnsi="Times New Roman" w:cs="Times New Roman"/>
                      <w:szCs w:val="21"/>
                    </w:rPr>
                  </w:pPr>
                  <w:r>
                    <w:rPr>
                      <w:rFonts w:hint="default" w:ascii="Times New Roman" w:hAnsi="Times New Roman" w:cs="Times New Roman"/>
                      <w:szCs w:val="21"/>
                    </w:rPr>
                    <w:t>（四）使用剧毒、高残留农药；</w:t>
                  </w:r>
                </w:p>
                <w:p>
                  <w:pPr>
                    <w:jc w:val="center"/>
                    <w:rPr>
                      <w:rFonts w:hint="default" w:ascii="Times New Roman" w:hAnsi="Times New Roman" w:cs="Times New Roman"/>
                      <w:szCs w:val="21"/>
                    </w:rPr>
                  </w:pPr>
                  <w:r>
                    <w:rPr>
                      <w:rFonts w:hint="default" w:ascii="Times New Roman" w:hAnsi="Times New Roman" w:cs="Times New Roman"/>
                      <w:szCs w:val="21"/>
                    </w:rPr>
                    <w:t>（五）新建规模化畜禽养殖场；</w:t>
                  </w:r>
                </w:p>
                <w:p>
                  <w:pPr>
                    <w:jc w:val="center"/>
                    <w:rPr>
                      <w:rFonts w:hint="default" w:ascii="Times New Roman" w:hAnsi="Times New Roman" w:cs="Times New Roman"/>
                      <w:szCs w:val="21"/>
                    </w:rPr>
                  </w:pPr>
                  <w:r>
                    <w:rPr>
                      <w:rFonts w:hint="default" w:ascii="Times New Roman" w:hAnsi="Times New Roman" w:cs="Times New Roman"/>
                      <w:szCs w:val="21"/>
                    </w:rPr>
                    <w:t>（六）在河堤迎水坡种植农作物；</w:t>
                  </w:r>
                </w:p>
                <w:p>
                  <w:pPr>
                    <w:jc w:val="center"/>
                    <w:rPr>
                      <w:rFonts w:hint="default" w:ascii="Times New Roman" w:hAnsi="Times New Roman" w:cs="Times New Roman"/>
                      <w:szCs w:val="21"/>
                    </w:rPr>
                  </w:pPr>
                  <w:r>
                    <w:rPr>
                      <w:rFonts w:hint="default" w:ascii="Times New Roman" w:hAnsi="Times New Roman" w:cs="Times New Roman"/>
                      <w:szCs w:val="21"/>
                    </w:rPr>
                    <w:t>（七）在河道内从事网箱、网围渔业养殖，设立鱼罾、鱼簖等各类定置渔具。</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根据附件11如皋市人民政府关于三十七条回复的复函“该条款中的“间接”是指排污口不在上述的水体范围内，但所排出的污水（指未经集中处理）仍通过其他形式进入上述水体。”，本项目无生产废水产生，生活污水经化粪池</w:t>
                  </w:r>
                  <w:r>
                    <w:rPr>
                      <w:rFonts w:hint="default" w:ascii="Times New Roman" w:hAnsi="Times New Roman" w:cs="Times New Roman"/>
                      <w:szCs w:val="21"/>
                      <w:lang w:val="en-US" w:eastAsia="zh-CN"/>
                    </w:rPr>
                    <w:t>+隔油池</w:t>
                  </w:r>
                  <w:r>
                    <w:rPr>
                      <w:rFonts w:hint="default" w:ascii="Times New Roman" w:hAnsi="Times New Roman" w:cs="Times New Roman"/>
                      <w:szCs w:val="21"/>
                    </w:rPr>
                    <w:t>处理后接管如皋市搬经污水处理厂，符合文件要求。</w:t>
                  </w:r>
                </w:p>
                <w:p>
                  <w:pPr>
                    <w:jc w:val="center"/>
                    <w:rPr>
                      <w:rFonts w:hint="default" w:ascii="Times New Roman" w:hAnsi="Times New Roman" w:cs="Times New Roman"/>
                      <w:szCs w:val="21"/>
                    </w:rPr>
                  </w:pPr>
                  <w:r>
                    <w:rPr>
                      <w:rFonts w:hint="default" w:ascii="Times New Roman" w:hAnsi="Times New Roman" w:cs="Times New Roman"/>
                      <w:szCs w:val="21"/>
                    </w:rPr>
                    <w:t>本项目不涉及入河排口；本项目属于〔C3421〕金属切削机床制造不涉及禁止行为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2760"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第三十八条　通榆河一级、二级保护区限制下列行为：</w:t>
                  </w:r>
                </w:p>
                <w:p>
                  <w:pPr>
                    <w:jc w:val="center"/>
                    <w:rPr>
                      <w:rFonts w:hint="default" w:ascii="Times New Roman" w:hAnsi="Times New Roman" w:cs="Times New Roman"/>
                      <w:szCs w:val="21"/>
                    </w:rPr>
                  </w:pPr>
                  <w:r>
                    <w:rPr>
                      <w:rFonts w:hint="default" w:ascii="Times New Roman" w:hAnsi="Times New Roman" w:cs="Times New Roman"/>
                      <w:szCs w:val="21"/>
                    </w:rPr>
                    <w:t>（一）新建、扩建港口、码头；</w:t>
                  </w:r>
                </w:p>
                <w:p>
                  <w:pPr>
                    <w:jc w:val="center"/>
                    <w:rPr>
                      <w:rFonts w:hint="default" w:ascii="Times New Roman" w:hAnsi="Times New Roman" w:cs="Times New Roman"/>
                      <w:szCs w:val="21"/>
                    </w:rPr>
                  </w:pPr>
                  <w:r>
                    <w:rPr>
                      <w:rFonts w:hint="default" w:ascii="Times New Roman" w:hAnsi="Times New Roman" w:cs="Times New Roman"/>
                      <w:szCs w:val="21"/>
                    </w:rPr>
                    <w:t>（二）设置水上加油、加气站点；</w:t>
                  </w:r>
                </w:p>
                <w:p>
                  <w:pPr>
                    <w:jc w:val="center"/>
                    <w:rPr>
                      <w:rFonts w:hint="default" w:ascii="Times New Roman" w:hAnsi="Times New Roman" w:cs="Times New Roman"/>
                      <w:szCs w:val="21"/>
                    </w:rPr>
                  </w:pPr>
                  <w:r>
                    <w:rPr>
                      <w:rFonts w:hint="default" w:ascii="Times New Roman" w:hAnsi="Times New Roman" w:cs="Times New Roman"/>
                      <w:szCs w:val="21"/>
                    </w:rPr>
                    <w:t>（三）法律、法规限制的其他行为</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本项目属于〔C3421〕金属切削机床制造不涉及限制行为</w:t>
                  </w:r>
                </w:p>
              </w:tc>
            </w:tr>
          </w:tbl>
          <w:p>
            <w:pPr>
              <w:spacing w:line="360" w:lineRule="auto"/>
              <w:ind w:firstLine="480"/>
              <w:rPr>
                <w:rFonts w:hint="default" w:ascii="Times New Roman" w:hAnsi="Times New Roman" w:cs="Times New Roman"/>
                <w:color w:val="000000"/>
                <w:sz w:val="24"/>
              </w:rPr>
            </w:pPr>
            <w:r>
              <w:rPr>
                <w:rFonts w:hint="default" w:ascii="Times New Roman" w:hAnsi="Times New Roman" w:cs="Times New Roman"/>
                <w:sz w:val="24"/>
              </w:rPr>
              <w:t>综上，本项目符合《江苏省通榆河水污染防治条例》相关要求。</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5、与“两高”相关文件分析</w:t>
            </w:r>
          </w:p>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（1）与《环境保护综合名录（2021版）》相符性</w:t>
            </w:r>
          </w:p>
          <w:p>
            <w:pPr>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对照《环境保护综合名录（2021版）》（环办综合函〔2021〕495号），本项目属于〔C3421〕金属切削机床制造，不属于高污染、高环境风险产品，故本项目符合文件要求。</w:t>
            </w:r>
          </w:p>
          <w:p>
            <w:pPr>
              <w:spacing w:line="360" w:lineRule="auto"/>
              <w:ind w:firstLine="482"/>
              <w:rPr>
                <w:rFonts w:hint="default" w:ascii="Times New Roman" w:hAnsi="Times New Roman" w:cs="Times New Roman"/>
                <w:b/>
                <w:bCs/>
                <w:color w:val="000000"/>
                <w:sz w:val="24"/>
              </w:rPr>
            </w:pPr>
            <w:r>
              <w:rPr>
                <w:rFonts w:hint="default" w:ascii="Times New Roman" w:hAnsi="Times New Roman" w:cs="Times New Roman"/>
                <w:b/>
                <w:bCs/>
                <w:color w:val="000000"/>
                <w:sz w:val="24"/>
              </w:rPr>
              <w:t>（</w:t>
            </w:r>
            <w:r>
              <w:rPr>
                <w:rFonts w:hint="default" w:ascii="Times New Roman" w:hAnsi="Times New Roman" w:cs="Times New Roman"/>
                <w:b/>
                <w:bCs/>
                <w:color w:val="000000"/>
                <w:sz w:val="24"/>
                <w:lang w:val="en-US" w:eastAsia="zh-CN"/>
              </w:rPr>
              <w:t>2</w:t>
            </w:r>
            <w:r>
              <w:rPr>
                <w:rFonts w:hint="default" w:ascii="Times New Roman" w:hAnsi="Times New Roman" w:cs="Times New Roman"/>
                <w:b/>
                <w:bCs/>
                <w:color w:val="000000"/>
                <w:sz w:val="24"/>
              </w:rPr>
              <w:t>）</w:t>
            </w:r>
            <w:r>
              <w:rPr>
                <w:rFonts w:hint="default" w:ascii="Times New Roman" w:hAnsi="Times New Roman" w:eastAsia="宋体" w:cs="Times New Roman"/>
                <w:b/>
                <w:bCs/>
                <w:color w:val="000000"/>
                <w:sz w:val="24"/>
              </w:rPr>
              <w:t>与《江苏省“两⾼”项⽬管理⽬录（2025年版）》相符性分析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对照《江苏省“两⾼”项⽬管理⽬录（2025年版）》，本项目属于〔C3421〕金属切削机床制造，不在目录中两高项目行业范畴。</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6、关于新污染物相关分析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①对照《重点管控新污染物清单（2023年版）》，本项目不涉及重点管控新污染物清单（2023年版）的新污染物。</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②对照《有毒有害大气污染物名录（2018年）》，本项目</w:t>
            </w:r>
            <w:r>
              <w:rPr>
                <w:rFonts w:hint="default" w:ascii="Times New Roman" w:hAnsi="Times New Roman" w:cs="Times New Roman"/>
                <w:color w:val="000000"/>
                <w:sz w:val="24"/>
                <w:lang w:val="en-US" w:eastAsia="zh-CN"/>
              </w:rPr>
              <w:t>涉及甲醛</w:t>
            </w:r>
            <w:r>
              <w:rPr>
                <w:rFonts w:hint="default" w:ascii="Times New Roman" w:hAnsi="Times New Roman" w:cs="Times New Roman"/>
                <w:color w:val="000000"/>
                <w:sz w:val="24"/>
              </w:rPr>
              <w:t>。</w:t>
            </w:r>
          </w:p>
          <w:p>
            <w:pPr>
              <w:spacing w:line="360" w:lineRule="auto"/>
              <w:ind w:firstLine="480" w:firstLineChars="200"/>
              <w:rPr>
                <w:rFonts w:hint="eastAsia" w:ascii="Times New Roman" w:hAnsi="Times New Roman" w:eastAsia="宋体" w:cs="Times New Roman"/>
                <w:color w:val="000000"/>
                <w:sz w:val="24"/>
                <w:lang w:eastAsia="zh-CN"/>
              </w:rPr>
            </w:pPr>
            <w:r>
              <w:rPr>
                <w:rFonts w:hint="default" w:ascii="Times New Roman" w:hAnsi="Times New Roman" w:cs="Times New Roman"/>
                <w:color w:val="000000"/>
                <w:sz w:val="24"/>
              </w:rPr>
              <w:t>③对照《优先控制化学品名录（第一批）》、《优先控制化学品名录（第二批）》</w:t>
            </w:r>
            <w:r>
              <w:rPr>
                <w:rFonts w:hint="default" w:ascii="Times New Roman" w:hAnsi="Times New Roman" w:cs="Times New Roman"/>
                <w:color w:val="000000"/>
                <w:sz w:val="24"/>
                <w:lang w:eastAsia="zh-CN"/>
              </w:rPr>
              <w:t>、</w:t>
            </w:r>
            <w:r>
              <w:rPr>
                <w:rFonts w:hint="default" w:ascii="Times New Roman" w:hAnsi="Times New Roman" w:cs="Times New Roman"/>
                <w:color w:val="auto"/>
                <w:sz w:val="24"/>
              </w:rPr>
              <w:t>《优先控制化学品名录（第</w:t>
            </w:r>
            <w:r>
              <w:rPr>
                <w:rFonts w:hint="default" w:ascii="Times New Roman" w:hAnsi="Times New Roman" w:cs="Times New Roman"/>
                <w:color w:val="auto"/>
                <w:sz w:val="24"/>
                <w:lang w:val="en-US" w:eastAsia="zh-CN"/>
              </w:rPr>
              <w:t>三</w:t>
            </w:r>
            <w:r>
              <w:rPr>
                <w:rFonts w:hint="default" w:ascii="Times New Roman" w:hAnsi="Times New Roman" w:cs="Times New Roman"/>
                <w:color w:val="auto"/>
                <w:sz w:val="24"/>
              </w:rPr>
              <w:t>批）》</w:t>
            </w:r>
            <w:r>
              <w:rPr>
                <w:rFonts w:hint="default" w:ascii="Times New Roman" w:hAnsi="Times New Roman" w:cs="Times New Roman"/>
                <w:color w:val="000000"/>
                <w:sz w:val="24"/>
              </w:rPr>
              <w:t>，本项目</w:t>
            </w:r>
            <w:r>
              <w:rPr>
                <w:rFonts w:hint="eastAsia" w:cs="Times New Roman"/>
                <w:color w:val="000000"/>
                <w:sz w:val="24"/>
                <w:lang w:val="en-US" w:eastAsia="zh-CN"/>
              </w:rPr>
              <w:t>EPS发泡成型过程会产生苯、甲苯；以及酚醛树脂使用的过程中会产生</w:t>
            </w:r>
            <w:r>
              <w:rPr>
                <w:rFonts w:hint="default" w:ascii="Times New Roman" w:hAnsi="Times New Roman" w:cs="Times New Roman"/>
                <w:color w:val="000000"/>
                <w:sz w:val="24"/>
                <w:lang w:val="en-US" w:eastAsia="zh-CN"/>
              </w:rPr>
              <w:t>甲醛</w:t>
            </w:r>
            <w:r>
              <w:rPr>
                <w:rFonts w:hint="default" w:ascii="Times New Roman" w:hAnsi="Times New Roman" w:cs="Times New Roman"/>
                <w:color w:val="000000"/>
                <w:sz w:val="24"/>
              </w:rPr>
              <w:t>。本项目</w:t>
            </w:r>
            <w:r>
              <w:rPr>
                <w:rFonts w:hint="eastAsia" w:cs="Times New Roman"/>
                <w:color w:val="000000"/>
                <w:sz w:val="24"/>
                <w:lang w:val="en-US" w:eastAsia="zh-CN"/>
              </w:rPr>
              <w:t>苯、</w:t>
            </w:r>
            <w:r>
              <w:rPr>
                <w:rFonts w:hint="default" w:ascii="Times New Roman" w:hAnsi="Times New Roman" w:cs="Times New Roman"/>
                <w:color w:val="000000"/>
                <w:sz w:val="24"/>
              </w:rPr>
              <w:t>甲苯</w:t>
            </w:r>
            <w:r>
              <w:rPr>
                <w:rFonts w:hint="eastAsia" w:cs="Times New Roman"/>
                <w:color w:val="000000"/>
                <w:sz w:val="24"/>
                <w:lang w:eastAsia="zh-CN"/>
              </w:rPr>
              <w:t>、</w:t>
            </w:r>
            <w:r>
              <w:rPr>
                <w:rFonts w:hint="eastAsia" w:cs="Times New Roman"/>
                <w:color w:val="000000"/>
                <w:sz w:val="24"/>
                <w:lang w:val="en-US" w:eastAsia="zh-CN"/>
              </w:rPr>
              <w:t>甲醛</w:t>
            </w:r>
            <w:r>
              <w:rPr>
                <w:rFonts w:hint="default" w:ascii="Times New Roman" w:hAnsi="Times New Roman" w:cs="Times New Roman"/>
                <w:color w:val="000000"/>
                <w:sz w:val="24"/>
              </w:rPr>
              <w:t>不属于《关于加强重点行业涉新污染物建设项目环境影响评价工作的意见》</w:t>
            </w:r>
            <w:r>
              <w:rPr>
                <w:rFonts w:hint="eastAsia" w:cs="Times New Roman"/>
                <w:color w:val="000000"/>
                <w:sz w:val="24"/>
                <w:lang w:val="en-US" w:eastAsia="zh-CN"/>
              </w:rPr>
              <w:t>列入</w:t>
            </w:r>
            <w:r>
              <w:rPr>
                <w:rFonts w:hint="default" w:ascii="Times New Roman" w:hAnsi="Times New Roman" w:cs="Times New Roman"/>
                <w:color w:val="000000"/>
                <w:sz w:val="24"/>
              </w:rPr>
              <w:t>附表中明令禁止的新污染物的新改扩建项目。</w:t>
            </w:r>
            <w:r>
              <w:rPr>
                <w:rFonts w:hint="default"/>
                <w:color w:val="000000"/>
                <w:sz w:val="24"/>
              </w:rPr>
              <w:t>企业在</w:t>
            </w:r>
            <w:r>
              <w:rPr>
                <w:rFonts w:hint="eastAsia"/>
                <w:color w:val="000000"/>
                <w:sz w:val="24"/>
                <w:lang w:val="en-US" w:eastAsia="zh-CN"/>
              </w:rPr>
              <w:t>制模过程中</w:t>
            </w:r>
            <w:r>
              <w:rPr>
                <w:rFonts w:hint="default"/>
                <w:color w:val="000000"/>
                <w:sz w:val="24"/>
              </w:rPr>
              <w:t>，尽量</w:t>
            </w:r>
            <w:r>
              <w:rPr>
                <w:rFonts w:hint="eastAsia"/>
                <w:color w:val="000000"/>
                <w:sz w:val="24"/>
                <w:lang w:val="en-US" w:eastAsia="zh-CN"/>
              </w:rPr>
              <w:t>加强有机废气的收集</w:t>
            </w:r>
            <w:r>
              <w:rPr>
                <w:rFonts w:hint="default"/>
                <w:color w:val="000000"/>
                <w:sz w:val="24"/>
              </w:rPr>
              <w:t>，生产产生废气经</w:t>
            </w:r>
            <w:r>
              <w:rPr>
                <w:rFonts w:hint="eastAsia"/>
                <w:color w:val="000000"/>
                <w:sz w:val="24"/>
                <w:lang w:val="en-US" w:eastAsia="zh-CN"/>
              </w:rPr>
              <w:t>二级活性炭处理</w:t>
            </w:r>
            <w:r>
              <w:rPr>
                <w:rFonts w:hint="default"/>
                <w:color w:val="000000"/>
                <w:sz w:val="24"/>
              </w:rPr>
              <w:t>后高空排放，确保污染物稳定处理达标排放</w:t>
            </w:r>
            <w:r>
              <w:rPr>
                <w:rFonts w:hint="eastAsia"/>
                <w:color w:val="000000"/>
                <w:sz w:val="24"/>
                <w:lang w:eastAsia="zh-CN"/>
              </w:rPr>
              <w:t>。</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在消失模铸造工艺中，泡沫模具材料的选择直接决定了铸件精度、表面质量及生产可行性，而聚苯乙烯</w:t>
            </w:r>
            <w:r>
              <w:rPr>
                <w:rFonts w:hint="eastAsia" w:cs="Times New Roman"/>
                <w:color w:val="000000"/>
                <w:sz w:val="24"/>
                <w:lang w:eastAsia="zh-CN"/>
              </w:rPr>
              <w:t>（</w:t>
            </w:r>
            <w:r>
              <w:rPr>
                <w:rFonts w:hint="default" w:ascii="Times New Roman" w:hAnsi="Times New Roman" w:cs="Times New Roman"/>
                <w:color w:val="000000"/>
                <w:sz w:val="24"/>
              </w:rPr>
              <w:t>EPS</w:t>
            </w:r>
            <w:r>
              <w:rPr>
                <w:rFonts w:hint="eastAsia" w:cs="Times New Roman"/>
                <w:color w:val="000000"/>
                <w:sz w:val="24"/>
                <w:lang w:eastAsia="zh-CN"/>
              </w:rPr>
              <w:t>）</w:t>
            </w:r>
            <w:r>
              <w:rPr>
                <w:rFonts w:hint="default" w:ascii="Times New Roman" w:hAnsi="Times New Roman" w:cs="Times New Roman"/>
                <w:color w:val="000000"/>
                <w:sz w:val="24"/>
              </w:rPr>
              <w:t>粒子因其独特的综合性能具有不可替代性。首先，EPS的低密度特性</w:t>
            </w:r>
            <w:r>
              <w:rPr>
                <w:rFonts w:hint="eastAsia" w:cs="Times New Roman"/>
                <w:color w:val="000000"/>
                <w:sz w:val="24"/>
                <w:lang w:eastAsia="zh-CN"/>
              </w:rPr>
              <w:t>（</w:t>
            </w:r>
            <w:r>
              <w:rPr>
                <w:rFonts w:hint="default" w:ascii="Times New Roman" w:hAnsi="Times New Roman" w:cs="Times New Roman"/>
                <w:color w:val="000000"/>
                <w:sz w:val="24"/>
              </w:rPr>
              <w:t>15-30kg/m</w:t>
            </w:r>
            <w:r>
              <w:rPr>
                <w:rFonts w:hint="eastAsia" w:cs="Times New Roman"/>
                <w:color w:val="000000"/>
                <w:sz w:val="24"/>
                <w:vertAlign w:val="superscript"/>
                <w:lang w:val="en-US" w:eastAsia="zh-CN"/>
              </w:rPr>
              <w:t>3</w:t>
            </w:r>
            <w:r>
              <w:rPr>
                <w:rFonts w:hint="eastAsia" w:cs="Times New Roman"/>
                <w:color w:val="000000"/>
                <w:sz w:val="24"/>
                <w:vertAlign w:val="baseline"/>
                <w:lang w:val="en-US" w:eastAsia="zh-CN"/>
              </w:rPr>
              <w:t>）</w:t>
            </w:r>
            <w:r>
              <w:rPr>
                <w:rFonts w:hint="default" w:ascii="Times New Roman" w:hAnsi="Times New Roman" w:cs="Times New Roman"/>
                <w:color w:val="000000"/>
                <w:sz w:val="24"/>
              </w:rPr>
              <w:t>使其在气化过程中产生极少的残留物，有效避免铸件碳缺陷</w:t>
            </w:r>
            <w:r>
              <w:rPr>
                <w:rFonts w:hint="eastAsia" w:cs="Times New Roman"/>
                <w:color w:val="000000"/>
                <w:sz w:val="24"/>
                <w:lang w:eastAsia="zh-CN"/>
              </w:rPr>
              <w:t>；</w:t>
            </w:r>
            <w:r>
              <w:rPr>
                <w:rFonts w:hint="default" w:ascii="Times New Roman" w:hAnsi="Times New Roman" w:cs="Times New Roman"/>
                <w:color w:val="000000"/>
                <w:sz w:val="24"/>
              </w:rPr>
              <w:t>其次，其优异的发泡成型性可通过蒸汽加热实现复杂几何形状的高精度复制，满足精密铸件对模具尺寸稳定性的严苛要求;再者，EPS的热解温度区间</w:t>
            </w:r>
            <w:r>
              <w:rPr>
                <w:rFonts w:hint="eastAsia" w:cs="Times New Roman"/>
                <w:color w:val="000000"/>
                <w:sz w:val="24"/>
                <w:lang w:eastAsia="zh-CN"/>
              </w:rPr>
              <w:t>（</w:t>
            </w:r>
            <w:r>
              <w:rPr>
                <w:rFonts w:hint="default" w:ascii="Times New Roman" w:hAnsi="Times New Roman" w:cs="Times New Roman"/>
                <w:color w:val="000000"/>
                <w:sz w:val="24"/>
              </w:rPr>
              <w:t>300-500°C</w:t>
            </w:r>
            <w:r>
              <w:rPr>
                <w:rFonts w:hint="eastAsia" w:cs="Times New Roman"/>
                <w:color w:val="000000"/>
                <w:sz w:val="24"/>
                <w:lang w:eastAsia="zh-CN"/>
              </w:rPr>
              <w:t>）</w:t>
            </w:r>
            <w:r>
              <w:rPr>
                <w:rFonts w:hint="default" w:ascii="Times New Roman" w:hAnsi="Times New Roman" w:cs="Times New Roman"/>
                <w:color w:val="000000"/>
                <w:sz w:val="24"/>
              </w:rPr>
              <w:t>与金属液浇注温度匹配良好，气化速度快且气体逸出顺畅，显著降低塌箱、呛火等工艺风险</w:t>
            </w:r>
            <w:r>
              <w:rPr>
                <w:rFonts w:hint="eastAsia" w:cs="Times New Roman"/>
                <w:color w:val="000000"/>
                <w:sz w:val="24"/>
                <w:lang w:eastAsia="zh-CN"/>
              </w:rPr>
              <w:t>；</w:t>
            </w:r>
            <w:r>
              <w:rPr>
                <w:rFonts w:hint="default" w:ascii="Times New Roman" w:hAnsi="Times New Roman" w:cs="Times New Roman"/>
                <w:color w:val="000000"/>
                <w:sz w:val="24"/>
              </w:rPr>
              <w:t>此外，其原料来源广泛、成本低廉且可100%回收再利用，在经济性与环保性上远超其他高分子材料。相比之下，共聚料</w:t>
            </w:r>
            <w:r>
              <w:rPr>
                <w:rFonts w:hint="eastAsia" w:cs="Times New Roman"/>
                <w:color w:val="000000"/>
                <w:sz w:val="24"/>
                <w:lang w:eastAsia="zh-CN"/>
              </w:rPr>
              <w:t>（</w:t>
            </w:r>
            <w:r>
              <w:rPr>
                <w:rFonts w:hint="default" w:ascii="Times New Roman" w:hAnsi="Times New Roman" w:cs="Times New Roman"/>
                <w:color w:val="000000"/>
                <w:sz w:val="24"/>
              </w:rPr>
              <w:t>STMMA</w:t>
            </w:r>
            <w:r>
              <w:rPr>
                <w:rFonts w:hint="eastAsia" w:cs="Times New Roman"/>
                <w:color w:val="000000"/>
                <w:sz w:val="24"/>
                <w:lang w:eastAsia="zh-CN"/>
              </w:rPr>
              <w:t>）</w:t>
            </w:r>
            <w:r>
              <w:rPr>
                <w:rFonts w:hint="default" w:ascii="Times New Roman" w:hAnsi="Times New Roman" w:cs="Times New Roman"/>
                <w:color w:val="000000"/>
                <w:sz w:val="24"/>
              </w:rPr>
              <w:t>虽残碳量略低，但成本高且发气量大</w:t>
            </w:r>
            <w:r>
              <w:rPr>
                <w:rFonts w:hint="eastAsia" w:cs="Times New Roman"/>
                <w:color w:val="000000"/>
                <w:sz w:val="24"/>
                <w:lang w:eastAsia="zh-CN"/>
              </w:rPr>
              <w:t>；</w:t>
            </w:r>
            <w:r>
              <w:rPr>
                <w:rFonts w:hint="default" w:ascii="Times New Roman" w:hAnsi="Times New Roman" w:cs="Times New Roman"/>
                <w:color w:val="000000"/>
                <w:sz w:val="24"/>
              </w:rPr>
              <w:t>PMMA透气性差易致铸件气孔</w:t>
            </w:r>
            <w:r>
              <w:rPr>
                <w:rFonts w:hint="eastAsia" w:cs="Times New Roman"/>
                <w:color w:val="000000"/>
                <w:sz w:val="24"/>
                <w:lang w:eastAsia="zh-CN"/>
              </w:rPr>
              <w:t>；</w:t>
            </w:r>
            <w:r>
              <w:rPr>
                <w:rFonts w:hint="default" w:ascii="Times New Roman" w:hAnsi="Times New Roman" w:cs="Times New Roman"/>
                <w:color w:val="000000"/>
                <w:sz w:val="24"/>
              </w:rPr>
              <w:t>PU泡沫则因含氮元素易引发针孔缺陷。因此，聚苯乙烯粒子凭借其气化特性、成型精度、工艺兼容性及经济性的最优平衡，成为消失模铸造泡沫模具不可替代的核心材料。</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④对照《关于持久性有机污染物的斯德哥尔摩公约》（简称《斯德哥尔摩公约》），本项目不涉及《斯德哥尔摩公约》相关污染物。</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⑤《关于加强重点行业涉新污染物建设项目环境影响评价工作的意见》</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环环评〔2025〕28号</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相符性分析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本项目涉及的新污染物为</w:t>
            </w:r>
            <w:r>
              <w:rPr>
                <w:rFonts w:hint="eastAsia" w:cs="Times New Roman"/>
                <w:color w:val="000000"/>
                <w:sz w:val="24"/>
                <w:lang w:val="en-US" w:eastAsia="zh-CN"/>
              </w:rPr>
              <w:t>EPS发泡成型过程会产生苯、甲苯；以及酚醛树脂使用的过程中会产生</w:t>
            </w:r>
            <w:r>
              <w:rPr>
                <w:rFonts w:hint="default" w:ascii="Times New Roman" w:hAnsi="Times New Roman" w:cs="Times New Roman"/>
                <w:color w:val="000000"/>
                <w:sz w:val="24"/>
                <w:lang w:val="en-US" w:eastAsia="zh-CN"/>
              </w:rPr>
              <w:t>甲醛</w:t>
            </w:r>
            <w:r>
              <w:rPr>
                <w:rFonts w:hint="default" w:ascii="Times New Roman" w:hAnsi="Times New Roman" w:cs="Times New Roman"/>
                <w:color w:val="000000"/>
                <w:sz w:val="24"/>
              </w:rPr>
              <w:t>。本项目</w:t>
            </w:r>
            <w:r>
              <w:rPr>
                <w:rFonts w:hint="eastAsia" w:cs="Times New Roman"/>
                <w:color w:val="000000"/>
                <w:sz w:val="24"/>
                <w:lang w:val="en-US" w:eastAsia="zh-CN"/>
              </w:rPr>
              <w:t>苯、</w:t>
            </w:r>
            <w:r>
              <w:rPr>
                <w:rFonts w:hint="default" w:ascii="Times New Roman" w:hAnsi="Times New Roman" w:cs="Times New Roman"/>
                <w:color w:val="000000"/>
                <w:sz w:val="24"/>
              </w:rPr>
              <w:t>甲苯</w:t>
            </w:r>
            <w:r>
              <w:rPr>
                <w:rFonts w:hint="eastAsia" w:cs="Times New Roman"/>
                <w:color w:val="000000"/>
                <w:sz w:val="24"/>
                <w:lang w:eastAsia="zh-CN"/>
              </w:rPr>
              <w:t>、</w:t>
            </w:r>
            <w:r>
              <w:rPr>
                <w:rFonts w:hint="eastAsia" w:cs="Times New Roman"/>
                <w:color w:val="000000"/>
                <w:sz w:val="24"/>
                <w:lang w:val="en-US" w:eastAsia="zh-CN"/>
              </w:rPr>
              <w:t>甲醛</w:t>
            </w:r>
            <w:r>
              <w:rPr>
                <w:rFonts w:hint="default" w:ascii="Times New Roman" w:hAnsi="Times New Roman" w:cs="Times New Roman"/>
                <w:color w:val="000000"/>
                <w:sz w:val="24"/>
              </w:rPr>
              <w:t>不属于《关于加强重点行业涉新污染物建设项目环境影响评价工作的意见》</w:t>
            </w:r>
            <w:r>
              <w:rPr>
                <w:rFonts w:hint="eastAsia" w:cs="Times New Roman"/>
                <w:color w:val="000000"/>
                <w:sz w:val="24"/>
                <w:lang w:eastAsia="zh-CN"/>
              </w:rPr>
              <w:t>列入</w:t>
            </w:r>
            <w:r>
              <w:rPr>
                <w:rFonts w:hint="default" w:ascii="Times New Roman" w:hAnsi="Times New Roman" w:cs="Times New Roman"/>
                <w:color w:val="000000"/>
                <w:sz w:val="24"/>
              </w:rPr>
              <w:t>附表中明令禁止的新污染物的新改扩建项目，本项目属于〔C3421〕金属切削机床制造，不属于意见中石化、涂料、纺织印染、橡胶、农药、医药重点行业。</w:t>
            </w:r>
          </w:p>
          <w:p>
            <w:pPr>
              <w:spacing w:line="360" w:lineRule="auto"/>
              <w:ind w:firstLine="480" w:firstLineChars="200"/>
              <w:rPr>
                <w:rFonts w:hint="default" w:ascii="Times New Roman" w:hAnsi="Times New Roman" w:eastAsia="宋体" w:cs="Times New Roman"/>
                <w:color w:val="000000"/>
                <w:sz w:val="24"/>
                <w:lang w:val="en-US" w:eastAsia="zh-CN"/>
              </w:rPr>
            </w:pPr>
            <w:r>
              <w:rPr>
                <w:rFonts w:hint="default"/>
                <w:color w:val="000000"/>
                <w:sz w:val="24"/>
              </w:rPr>
              <w:t>企业在</w:t>
            </w:r>
            <w:r>
              <w:rPr>
                <w:rFonts w:hint="eastAsia"/>
                <w:color w:val="000000"/>
                <w:sz w:val="24"/>
                <w:lang w:val="en-US" w:eastAsia="zh-CN"/>
              </w:rPr>
              <w:t>制模过程中</w:t>
            </w:r>
            <w:r>
              <w:rPr>
                <w:rFonts w:hint="default"/>
                <w:color w:val="000000"/>
                <w:sz w:val="24"/>
              </w:rPr>
              <w:t>，尽量</w:t>
            </w:r>
            <w:r>
              <w:rPr>
                <w:rFonts w:hint="eastAsia"/>
                <w:color w:val="000000"/>
                <w:sz w:val="24"/>
                <w:lang w:val="en-US" w:eastAsia="zh-CN"/>
              </w:rPr>
              <w:t>加强有机废气的收集</w:t>
            </w:r>
            <w:r>
              <w:rPr>
                <w:rFonts w:hint="default"/>
                <w:color w:val="000000"/>
                <w:sz w:val="24"/>
              </w:rPr>
              <w:t>，生产产生废气经</w:t>
            </w:r>
            <w:r>
              <w:rPr>
                <w:rFonts w:hint="eastAsia"/>
                <w:color w:val="000000"/>
                <w:sz w:val="24"/>
                <w:lang w:val="en-US" w:eastAsia="zh-CN"/>
              </w:rPr>
              <w:t>二级活性炭处理</w:t>
            </w:r>
            <w:r>
              <w:rPr>
                <w:rFonts w:hint="default"/>
                <w:color w:val="000000"/>
                <w:sz w:val="24"/>
              </w:rPr>
              <w:t>后高空排放，确保污染物稳定处理达标排放</w:t>
            </w:r>
            <w:r>
              <w:rPr>
                <w:rFonts w:hint="eastAsia"/>
                <w:color w:val="000000"/>
                <w:sz w:val="24"/>
                <w:lang w:eastAsia="zh-CN"/>
              </w:rPr>
              <w:t>。</w:t>
            </w:r>
            <w:r>
              <w:rPr>
                <w:rFonts w:hint="eastAsia"/>
                <w:color w:val="000000"/>
                <w:sz w:val="24"/>
                <w:lang w:val="en-US" w:eastAsia="zh-CN"/>
              </w:rPr>
              <w:t>本项目环境空气质量现状已对苯系物及甲醛进行监测，同时将苯系物及甲醛列入自行监测方案中进行日常监测。</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⑥与《省生态环境厅关于加强重点管控新污染物及优先控制化学品环境管理工作的通知》</w:t>
            </w:r>
            <w:r>
              <w:rPr>
                <w:rFonts w:hint="eastAsia" w:cs="Times New Roman"/>
                <w:color w:val="000000"/>
                <w:sz w:val="24"/>
                <w:lang w:eastAsia="zh-CN"/>
              </w:rPr>
              <w:t>（</w:t>
            </w:r>
            <w:r>
              <w:rPr>
                <w:rFonts w:hint="default" w:ascii="Times New Roman" w:hAnsi="Times New Roman" w:cs="Times New Roman"/>
                <w:color w:val="000000"/>
                <w:sz w:val="24"/>
              </w:rPr>
              <w:t>苏环办〔2023〕314号</w:t>
            </w:r>
            <w:r>
              <w:rPr>
                <w:rFonts w:hint="eastAsia" w:cs="Times New Roman"/>
                <w:color w:val="000000"/>
                <w:sz w:val="24"/>
                <w:lang w:eastAsia="zh-CN"/>
              </w:rPr>
              <w:t>）</w:t>
            </w:r>
            <w:r>
              <w:rPr>
                <w:rFonts w:hint="default" w:ascii="Times New Roman" w:hAnsi="Times New Roman" w:cs="Times New Roman"/>
                <w:color w:val="000000"/>
                <w:sz w:val="24"/>
              </w:rPr>
              <w:t>相符性分析</w:t>
            </w:r>
          </w:p>
          <w:p>
            <w:pPr>
              <w:spacing w:line="360" w:lineRule="auto"/>
              <w:ind w:firstLine="480" w:firstLineChars="200"/>
              <w:rPr>
                <w:rFonts w:hint="eastAsia" w:ascii="Times New Roman" w:hAnsi="Times New Roman" w:eastAsia="宋体" w:cs="Times New Roman"/>
                <w:color w:val="auto"/>
                <w:lang w:val="en-US" w:eastAsia="zh-CN"/>
              </w:rPr>
            </w:pPr>
            <w:r>
              <w:rPr>
                <w:rFonts w:hint="default" w:ascii="Times New Roman" w:hAnsi="Times New Roman" w:cs="Times New Roman"/>
                <w:color w:val="000000"/>
                <w:sz w:val="24"/>
              </w:rPr>
              <w:t>本项目</w:t>
            </w:r>
            <w:r>
              <w:rPr>
                <w:rFonts w:hint="default" w:ascii="Times New Roman" w:hAnsi="Times New Roman" w:cs="Times New Roman"/>
                <w:color w:val="000000"/>
                <w:sz w:val="24"/>
                <w:lang w:val="en-US" w:eastAsia="zh-CN"/>
              </w:rPr>
              <w:t>涉及</w:t>
            </w:r>
            <w:r>
              <w:rPr>
                <w:rFonts w:hint="eastAsia" w:cs="Times New Roman"/>
                <w:color w:val="000000"/>
                <w:sz w:val="24"/>
                <w:lang w:val="en-US" w:eastAsia="zh-CN"/>
              </w:rPr>
              <w:t>苯、甲苯</w:t>
            </w:r>
            <w:r>
              <w:rPr>
                <w:rFonts w:hint="default" w:ascii="Times New Roman" w:hAnsi="Times New Roman" w:cs="Times New Roman"/>
                <w:color w:val="000000"/>
                <w:sz w:val="24"/>
                <w:lang w:val="en-US" w:eastAsia="zh-CN"/>
              </w:rPr>
              <w:t>甲醛</w:t>
            </w:r>
            <w:r>
              <w:rPr>
                <w:rFonts w:hint="default" w:ascii="Times New Roman" w:hAnsi="Times New Roman" w:cs="Times New Roman"/>
                <w:color w:val="000000"/>
                <w:sz w:val="24"/>
              </w:rPr>
              <w:t>，不属于意见中所列的石化、涂料、纺织印染、橡胶、农药、医药重点行业，且本项目</w:t>
            </w:r>
            <w:r>
              <w:rPr>
                <w:rFonts w:hint="default" w:ascii="Times New Roman" w:hAnsi="Times New Roman" w:cs="Times New Roman"/>
                <w:color w:val="000000"/>
                <w:sz w:val="24"/>
                <w:lang w:val="en-US" w:eastAsia="zh-CN"/>
              </w:rPr>
              <w:t>甲醛</w:t>
            </w:r>
            <w:r>
              <w:rPr>
                <w:rFonts w:hint="default" w:ascii="Times New Roman" w:hAnsi="Times New Roman" w:cs="Times New Roman"/>
                <w:color w:val="000000"/>
                <w:sz w:val="24"/>
              </w:rPr>
              <w:t>经有效收集后通过二级活性炭吸附处理，尾气通过</w:t>
            </w:r>
            <w:r>
              <w:rPr>
                <w:rFonts w:hint="default" w:ascii="Times New Roman" w:hAnsi="Times New Roman" w:cs="Times New Roman"/>
                <w:color w:val="000000"/>
                <w:sz w:val="24"/>
                <w:lang w:val="en-US" w:eastAsia="zh-CN"/>
              </w:rPr>
              <w:t>20</w:t>
            </w:r>
            <w:r>
              <w:rPr>
                <w:rFonts w:hint="default" w:ascii="Times New Roman" w:hAnsi="Times New Roman" w:cs="Times New Roman"/>
                <w:color w:val="000000"/>
                <w:sz w:val="24"/>
              </w:rPr>
              <w:t>m排气筒排放，项目建成后对排放口（DA002）及厂界周边大气环境进行定期监测。</w:t>
            </w:r>
            <w:r>
              <w:rPr>
                <w:rFonts w:hint="default" w:ascii="Times New Roman" w:hAnsi="Times New Roman" w:cs="Times New Roman"/>
                <w:color w:val="auto"/>
                <w:sz w:val="24"/>
              </w:rPr>
              <w:t>项目建设符合关于新污染物相关</w:t>
            </w:r>
            <w:r>
              <w:rPr>
                <w:rFonts w:hint="default" w:ascii="Times New Roman" w:hAnsi="Times New Roman" w:cs="Times New Roman"/>
                <w:color w:val="auto"/>
                <w:sz w:val="24"/>
                <w:lang w:val="en-US" w:eastAsia="zh-CN"/>
              </w:rPr>
              <w:t>要求</w:t>
            </w:r>
            <w:r>
              <w:rPr>
                <w:rFonts w:hint="default" w:ascii="Times New Roman" w:hAnsi="Times New Roman" w:cs="Times New Roman"/>
                <w:color w:val="auto"/>
                <w:sz w:val="24"/>
              </w:rPr>
              <w:t>。</w:t>
            </w:r>
          </w:p>
          <w:p>
            <w:pPr>
              <w:numPr>
                <w:ilvl w:val="0"/>
                <w:numId w:val="11"/>
              </w:numPr>
              <w:spacing w:line="360" w:lineRule="auto"/>
              <w:ind w:firstLine="482" w:firstLineChars="200"/>
              <w:rPr>
                <w:rFonts w:hint="eastAsia" w:cs="Times New Roman"/>
                <w:b/>
                <w:bCs/>
                <w:color w:val="auto"/>
                <w:sz w:val="24"/>
                <w:lang w:val="en-US" w:eastAsia="zh-CN"/>
              </w:rPr>
            </w:pPr>
            <w:r>
              <w:rPr>
                <w:rFonts w:hint="eastAsia" w:cs="Times New Roman"/>
                <w:b/>
                <w:bCs/>
                <w:color w:val="auto"/>
                <w:sz w:val="24"/>
                <w:lang w:val="en-US" w:eastAsia="zh-CN"/>
              </w:rPr>
              <w:t>与覆膜砂制芯工序规范文件相符性分析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eastAsia="zh-CN"/>
              </w:rPr>
            </w:pPr>
            <w:r>
              <w:rPr>
                <w:rFonts w:hint="eastAsia" w:eastAsia="宋体" w:cs="Times New Roman"/>
                <w:b/>
                <w:bCs/>
                <w:color w:val="auto"/>
                <w:sz w:val="24"/>
                <w:lang w:eastAsia="zh-CN"/>
              </w:rPr>
              <w:t>（</w:t>
            </w:r>
            <w:r>
              <w:rPr>
                <w:rFonts w:hint="eastAsia" w:eastAsia="宋体" w:cs="Times New Roman"/>
                <w:b/>
                <w:bCs/>
                <w:color w:val="auto"/>
                <w:sz w:val="24"/>
                <w:lang w:val="en-US" w:eastAsia="zh-CN"/>
              </w:rPr>
              <w:t>1</w:t>
            </w:r>
            <w:r>
              <w:rPr>
                <w:rFonts w:hint="eastAsia" w:eastAsia="宋体" w:cs="Times New Roman"/>
                <w:b/>
                <w:bCs/>
                <w:color w:val="auto"/>
                <w:sz w:val="24"/>
                <w:lang w:eastAsia="zh-CN"/>
              </w:rPr>
              <w:t>）</w:t>
            </w:r>
            <w:r>
              <w:rPr>
                <w:rFonts w:hint="eastAsia" w:ascii="Times New Roman" w:hAnsi="Times New Roman" w:eastAsia="宋体" w:cs="Times New Roman"/>
                <w:b/>
                <w:bCs/>
                <w:color w:val="auto"/>
                <w:sz w:val="24"/>
                <w:lang w:eastAsia="zh-CN"/>
              </w:rPr>
              <w:t>与《关于推动全省铸造和锻压行业高质量发展的实施意见》（苏工信装备</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2023</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403号</w:t>
            </w:r>
            <w:r>
              <w:rPr>
                <w:rFonts w:hint="eastAsia" w:ascii="Times New Roman" w:hAnsi="Times New Roman" w:eastAsia="宋体" w:cs="Times New Roman"/>
                <w:b/>
                <w:bCs/>
                <w:color w:val="auto"/>
                <w:sz w:val="24"/>
                <w:lang w:eastAsia="zh-CN"/>
              </w:rPr>
              <w:t>）相符性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4"/>
                <w:szCs w:val="24"/>
              </w:rPr>
              <w:t>表1-</w:t>
            </w:r>
            <w:r>
              <w:rPr>
                <w:rFonts w:hint="eastAsia" w:ascii="Times New Roman" w:hAnsi="Times New Roman" w:eastAsia="宋体" w:cs="Times New Roman"/>
                <w:b/>
                <w:bCs w:val="0"/>
                <w:color w:val="auto"/>
                <w:sz w:val="24"/>
                <w:szCs w:val="24"/>
                <w:lang w:val="en-US" w:eastAsia="zh-CN"/>
              </w:rPr>
              <w:t>1</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与</w:t>
            </w:r>
            <w:r>
              <w:rPr>
                <w:rFonts w:hint="eastAsia" w:ascii="Times New Roman" w:hAnsi="Times New Roman" w:eastAsia="宋体" w:cs="Times New Roman"/>
                <w:b/>
                <w:bCs w:val="0"/>
                <w:color w:val="auto"/>
                <w:sz w:val="24"/>
                <w:szCs w:val="24"/>
                <w:lang w:eastAsia="zh-CN"/>
              </w:rPr>
              <w:t>《关于推动全省铸造和锻压行业高质量发展的实施意见》相符性分析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88"/>
              <w:gridCol w:w="25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3" w:type="pct"/>
                  <w:tcBorders>
                    <w:tl2br w:val="nil"/>
                    <w:tr2bl w:val="nil"/>
                  </w:tcBorders>
                  <w:noWrap w:val="0"/>
                  <w:vAlign w:val="center"/>
                </w:tcPr>
                <w:p>
                  <w:pPr>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文件要求</w:t>
                  </w:r>
                </w:p>
              </w:tc>
              <w:tc>
                <w:tcPr>
                  <w:tcW w:w="1726"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（一）坚持创新驱动，提升自主可控能力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3" w:type="pct"/>
                  <w:tcBorders>
                    <w:tl2br w:val="nil"/>
                    <w:tr2bl w:val="nil"/>
                  </w:tcBorders>
                  <w:noWrap w:val="0"/>
                  <w:vAlign w:val="center"/>
                </w:tcPr>
                <w:p>
                  <w:pPr>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发展先进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省工业和信息化厅负责）</w:t>
                  </w:r>
                </w:p>
              </w:tc>
              <w:tc>
                <w:tcPr>
                  <w:tcW w:w="1726" w:type="pct"/>
                  <w:tcBorders>
                    <w:tl2br w:val="nil"/>
                    <w:tr2bl w:val="nil"/>
                  </w:tcBorders>
                  <w:noWrap w:val="0"/>
                  <w:vAlign w:val="center"/>
                </w:tcPr>
                <w:p>
                  <w:pPr>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本项目为</w:t>
                  </w:r>
                  <w:r>
                    <w:rPr>
                      <w:rFonts w:hint="eastAsia" w:eastAsia="宋体" w:cs="Times New Roman"/>
                      <w:color w:val="auto"/>
                      <w:sz w:val="21"/>
                      <w:szCs w:val="21"/>
                      <w:lang w:val="en-US" w:eastAsia="zh-CN"/>
                    </w:rPr>
                    <w:t>冷芯制模为</w:t>
                  </w:r>
                  <w:r>
                    <w:rPr>
                      <w:rFonts w:hint="eastAsia" w:ascii="Times New Roman" w:hAnsi="Times New Roman" w:eastAsia="宋体" w:cs="Times New Roman"/>
                      <w:color w:val="auto"/>
                      <w:sz w:val="21"/>
                      <w:szCs w:val="21"/>
                      <w:lang w:eastAsia="zh-CN"/>
                    </w:rPr>
                    <w:t>高效自硬砂铸造</w:t>
                  </w:r>
                  <w:r>
                    <w:rPr>
                      <w:rFonts w:hint="eastAsia" w:eastAsia="宋体" w:cs="Times New Roman"/>
                      <w:color w:val="auto"/>
                      <w:sz w:val="21"/>
                      <w:szCs w:val="21"/>
                      <w:lang w:val="en-US" w:eastAsia="zh-CN"/>
                    </w:rPr>
                    <w:t>配套工艺</w:t>
                  </w:r>
                  <w:r>
                    <w:rPr>
                      <w:rFonts w:hint="eastAsia" w:ascii="Times New Roman" w:hAnsi="Times New Roman" w:eastAsia="宋体" w:cs="Times New Roman"/>
                      <w:color w:val="auto"/>
                      <w:sz w:val="21"/>
                      <w:szCs w:val="21"/>
                      <w:lang w:eastAsia="zh-CN"/>
                    </w:rPr>
                    <w:t>，高效自硬砂铸造属于先进的重点发展工艺，符合要求。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（二）坚持规范发展，推进产业结构优化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引导行业规范发展。各级发展改革、工业和信息化、生态环境、应急管理、市场监管部门要严格执行节能、环保、质量、安全技术等相关法律法规标准和《产业结构调整指导目录》中限制类、淘汰类目录，依法依规淘汰工艺装备落后、污染物排放不达标、生产安全无保障的落后产能。各级生态环境部门要严格落实主要污染物排放总量控制，依法依规制定污染防治方案，推动源头减排、过程控制和末端治理全过程深度治理。各级发展改革、工业和信息化部门要有效落实能源消耗总量和强度调控制度，以降碳为方向，加强能力建设，健全配套制度，推动能耗双控逐步转向碳排放总量和强度双控制度。各级工业和信息化部门要严格按照国家和省有关产业政策，依法依规淘汰无芯工频感应电炉、无磁轭（≥0.25吨）铝壳中频感应电炉等落后工艺装备。新建、改扩建项目单位产品的能耗、物耗、水耗、资源综合利用和污染物排放量等指标应符合相关法律法规标准要求。</w:t>
                  </w:r>
                </w:p>
              </w:tc>
              <w:tc>
                <w:tcPr>
                  <w:tcW w:w="1726" w:type="pct"/>
                  <w:tcBorders>
                    <w:tl2br w:val="nil"/>
                    <w:tr2bl w:val="nil"/>
                  </w:tcBorders>
                  <w:noWrap w:val="0"/>
                  <w:vAlign w:val="center"/>
                </w:tcPr>
                <w:p>
                  <w:pPr>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本项目不使用国家及地方限制、淘汰类工艺设备</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选用先进的</w:t>
                  </w:r>
                  <w:r>
                    <w:rPr>
                      <w:rFonts w:hint="eastAsia" w:eastAsia="宋体" w:cs="Times New Roman"/>
                      <w:color w:val="auto"/>
                      <w:sz w:val="21"/>
                      <w:szCs w:val="21"/>
                      <w:lang w:val="en-US" w:eastAsia="zh-CN"/>
                    </w:rPr>
                    <w:t>冷射芯机</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项目单位产品的能耗、物耗、水耗、资源综合利用和污染物排放量等指标符合相关法律法规标准要求。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3"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加强项目建设服务。各级发展改革、工业和信息化、生态环境、应急管理、行政审批部门要依照《江苏省企业投资项目核准和备案管理办法》《江苏省建设项目环境影响评价文件分级审批管理办法》《江苏省固定资产投资项目节能审查实施办法》《排污许可管理条例》《建设项目安全设施“三同时”监督管理办法》等文件要求开展项目服务，确保新建、改扩建项目备案、环评、排污许可、安评、节能审查等手续合规、完备，项目建设符合相关法律法规标准要求。加快存量项目升级改造，推进企业选择低污染、低能耗、经济高效的先进工艺技术，提升行业竞争能力。</w:t>
                  </w:r>
                </w:p>
              </w:tc>
              <w:tc>
                <w:tcPr>
                  <w:tcW w:w="1726" w:type="pct"/>
                  <w:tcBorders>
                    <w:tl2br w:val="nil"/>
                    <w:tr2bl w:val="nil"/>
                  </w:tcBorders>
                  <w:noWrap w:val="0"/>
                  <w:vAlign w:val="center"/>
                </w:tcPr>
                <w:p>
                  <w:pPr>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本项目将依法办理节能审查、安评等手续。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（五）强化企业主体责任，提升绿色安全发展水平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加大环保治理力度。铸造和锻压企业应当依法申领排污许可证，严格持证排污、按证排污并按排污许可证规定落实自行监测、记录报告、信息公开等要求。铸造企业应当严格执行《铸造工业大气污染物排放标准》（GB 39726-2020）及地方标准，加强无组织排放控制。不能稳定达标排放的，限期完成设施升级改造；不具备改造条件及改造后仍不能达标的，依法依规关停退出。</w:t>
                  </w:r>
                </w:p>
              </w:tc>
              <w:tc>
                <w:tcPr>
                  <w:tcW w:w="1726" w:type="pct"/>
                  <w:tcBorders>
                    <w:tl2br w:val="nil"/>
                    <w:tr2bl w:val="nil"/>
                  </w:tcBorders>
                  <w:noWrap w:val="0"/>
                  <w:vAlign w:val="center"/>
                </w:tcPr>
                <w:p>
                  <w:pPr>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本项目将依法申领排污许可证，严格持证排污，</w:t>
                  </w:r>
                  <w:r>
                    <w:rPr>
                      <w:rFonts w:hint="eastAsia" w:ascii="Times New Roman" w:hAnsi="Times New Roman" w:eastAsia="宋体" w:cs="Times New Roman"/>
                      <w:color w:val="auto"/>
                      <w:sz w:val="21"/>
                      <w:szCs w:val="21"/>
                      <w:lang w:val="en-US" w:eastAsia="zh-CN"/>
                    </w:rPr>
                    <w:t>按证排污并按排污许可证规定落实自行监测、记录报告、信息公开等要求；</w:t>
                  </w:r>
                  <w:r>
                    <w:rPr>
                      <w:rFonts w:hint="eastAsia" w:eastAsia="宋体" w:cs="Times New Roman"/>
                      <w:color w:val="auto"/>
                      <w:sz w:val="21"/>
                      <w:szCs w:val="21"/>
                      <w:lang w:val="en-US" w:eastAsia="zh-CN"/>
                    </w:rPr>
                    <w:t>本项目不属于铸造企业。</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Times New Roman" w:hAnsi="Times New Roman" w:cs="Times New Roman"/>
                <w:b/>
                <w:bCs w:val="0"/>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综上，本项目建设符合江苏省《关于推动全省铸造和锻压行业高质量发展的实施意见》（苏工信装备〔2023〕403号）的相关要求。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eastAsia="宋体" w:cs="Times New Roman"/>
                <w:b/>
                <w:bCs/>
                <w:color w:val="auto"/>
                <w:sz w:val="24"/>
                <w:lang w:eastAsia="zh-CN"/>
              </w:rPr>
              <w:t>（</w:t>
            </w:r>
            <w:r>
              <w:rPr>
                <w:rFonts w:hint="eastAsia" w:eastAsia="宋体" w:cs="Times New Roman"/>
                <w:b/>
                <w:bCs/>
                <w:color w:val="auto"/>
                <w:sz w:val="24"/>
                <w:lang w:val="en-US" w:eastAsia="zh-CN"/>
              </w:rPr>
              <w:t>2</w:t>
            </w:r>
            <w:r>
              <w:rPr>
                <w:rFonts w:hint="eastAsia"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与《</w:t>
            </w:r>
            <w:r>
              <w:rPr>
                <w:rFonts w:hint="eastAsia" w:ascii="Times New Roman" w:hAnsi="Times New Roman" w:eastAsia="宋体" w:cs="Times New Roman"/>
                <w:b/>
                <w:bCs/>
                <w:color w:val="auto"/>
                <w:sz w:val="24"/>
                <w:lang w:val="en-US" w:eastAsia="zh-CN"/>
              </w:rPr>
              <w:t>关于推动铸造和锻压行业高质量发展的指导意见》（工信部联通装〔2023〕40号）相符性分析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表1-</w:t>
            </w:r>
            <w:r>
              <w:rPr>
                <w:rFonts w:hint="eastAsia" w:ascii="Times New Roman" w:hAnsi="Times New Roman" w:eastAsia="宋体" w:cs="Times New Roman"/>
                <w:b/>
                <w:bCs w:val="0"/>
                <w:color w:val="auto"/>
                <w:sz w:val="24"/>
                <w:szCs w:val="24"/>
                <w:lang w:val="en-US" w:eastAsia="zh-CN"/>
              </w:rPr>
              <w:t>1</w:t>
            </w:r>
            <w:r>
              <w:rPr>
                <w:rFonts w:hint="eastAsia"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rPr>
              <w:t>与</w:t>
            </w:r>
            <w:r>
              <w:rPr>
                <w:rFonts w:hint="eastAsia" w:ascii="Times New Roman" w:hAnsi="Times New Roman" w:eastAsia="宋体" w:cs="Times New Roman"/>
                <w:b/>
                <w:bCs w:val="0"/>
                <w:color w:val="auto"/>
                <w:sz w:val="24"/>
                <w:szCs w:val="24"/>
                <w:lang w:eastAsia="zh-CN"/>
              </w:rPr>
              <w:t>《</w:t>
            </w:r>
            <w:r>
              <w:rPr>
                <w:rFonts w:hint="eastAsia" w:ascii="Times New Roman" w:hAnsi="Times New Roman" w:eastAsia="宋体" w:cs="Times New Roman"/>
                <w:b/>
                <w:bCs w:val="0"/>
                <w:color w:val="auto"/>
                <w:sz w:val="24"/>
                <w:szCs w:val="24"/>
                <w:lang w:val="en-US" w:eastAsia="zh-CN"/>
              </w:rPr>
              <w:t>关于推动铸造和锻压行业高质量发展的指导意见</w:t>
            </w:r>
            <w:r>
              <w:rPr>
                <w:rFonts w:hint="eastAsia" w:ascii="Times New Roman" w:hAnsi="Times New Roman" w:eastAsia="宋体" w:cs="Times New Roman"/>
                <w:b/>
                <w:bCs w:val="0"/>
                <w:color w:val="auto"/>
                <w:sz w:val="24"/>
                <w:szCs w:val="24"/>
                <w:lang w:eastAsia="zh-CN"/>
              </w:rPr>
              <w:t>》相符性分析</w:t>
            </w:r>
          </w:p>
          <w:tbl>
            <w:tblPr>
              <w:tblStyle w:val="26"/>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2"/>
              <w:gridCol w:w="18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pct"/>
                  <w:tcBorders>
                    <w:tl2br w:val="nil"/>
                    <w:tr2bl w:val="nil"/>
                  </w:tcBorders>
                  <w:noWrap w:val="0"/>
                  <w:vAlign w:val="center"/>
                </w:tcPr>
                <w:p>
                  <w:pPr>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文件要求</w:t>
                  </w:r>
                </w:p>
              </w:tc>
              <w:tc>
                <w:tcPr>
                  <w:tcW w:w="1250"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（二）推进行业规范发展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铸造企业不得采用无芯工频感应电炉、无磁轭（≥0.25吨）铝壳中频感应电炉、水玻璃熔模精密铸造氯化铵硬化模壳、铝合金六氯乙烷精炼等淘汰类工艺和装备。加快存量项目升级改造，推进企业合理选择低污染、低能耗、经济高效的先进工艺技术，提升行业竞争能力。强化铸造和锻压与装备制造业协同布局，引导具备条件的企业入园集聚发展，提升产业链供应链协同配套能力，构建布局合理、错位互补、供需联动、协同发展的产业格局。</w:t>
                  </w:r>
                </w:p>
              </w:tc>
              <w:tc>
                <w:tcPr>
                  <w:tcW w:w="1250" w:type="pct"/>
                  <w:tcBorders>
                    <w:tl2br w:val="nil"/>
                    <w:tr2bl w:val="nil"/>
                  </w:tcBorders>
                  <w:noWrap w:val="0"/>
                  <w:vAlign w:val="center"/>
                </w:tcPr>
                <w:p>
                  <w:pPr>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本项目不使用国家及地方限制、淘汰类工艺设备</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选用先进的</w:t>
                  </w:r>
                  <w:r>
                    <w:rPr>
                      <w:rFonts w:hint="eastAsia" w:eastAsia="宋体" w:cs="Times New Roman"/>
                      <w:color w:val="auto"/>
                      <w:sz w:val="21"/>
                      <w:szCs w:val="21"/>
                      <w:lang w:val="en-US" w:eastAsia="zh-CN"/>
                    </w:rPr>
                    <w:t>冷射芯机</w:t>
                  </w:r>
                  <w:r>
                    <w:rPr>
                      <w:rFonts w:hint="eastAsia" w:ascii="Times New Roman" w:hAnsi="Times New Roman" w:eastAsia="宋体" w:cs="Times New Roman"/>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val="en-US" w:eastAsia="zh-CN"/>
              </w:rPr>
              <w:t>综上，本项目建设符合《</w:t>
            </w:r>
            <w:r>
              <w:rPr>
                <w:rFonts w:hint="eastAsia" w:ascii="Times New Roman" w:hAnsi="Times New Roman" w:eastAsia="宋体" w:cs="Times New Roman"/>
                <w:color w:val="auto"/>
                <w:sz w:val="24"/>
                <w:szCs w:val="24"/>
                <w:lang w:val="en-US" w:eastAsia="zh-CN"/>
              </w:rPr>
              <w:t>关于推动铸造和锻压行业高质量发展的指导意见》（工信部联通装〔2023〕40号）</w:t>
            </w:r>
            <w:r>
              <w:rPr>
                <w:rFonts w:hint="default" w:ascii="Times New Roman" w:hAnsi="Times New Roman" w:eastAsia="宋体" w:cs="Times New Roman"/>
                <w:color w:val="auto"/>
                <w:sz w:val="24"/>
                <w:szCs w:val="24"/>
                <w:lang w:val="en-US" w:eastAsia="zh-CN"/>
              </w:rPr>
              <w:t>的相关要求。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u w:val="none"/>
                <w:lang w:eastAsia="zh-CN"/>
              </w:rPr>
            </w:pPr>
            <w:r>
              <w:rPr>
                <w:rFonts w:hint="eastAsia" w:eastAsia="宋体" w:cs="Times New Roman"/>
                <w:b/>
                <w:bCs/>
                <w:color w:val="auto"/>
                <w:sz w:val="24"/>
                <w:u w:val="none"/>
                <w:lang w:eastAsia="zh-CN"/>
              </w:rPr>
              <w:t>（</w:t>
            </w:r>
            <w:r>
              <w:rPr>
                <w:rFonts w:hint="eastAsia" w:eastAsia="宋体" w:cs="Times New Roman"/>
                <w:b/>
                <w:bCs/>
                <w:color w:val="auto"/>
                <w:sz w:val="24"/>
                <w:u w:val="none"/>
                <w:lang w:val="en-US" w:eastAsia="zh-CN"/>
              </w:rPr>
              <w:t>3</w:t>
            </w:r>
            <w:r>
              <w:rPr>
                <w:rFonts w:hint="eastAsia" w:eastAsia="宋体" w:cs="Times New Roman"/>
                <w:b/>
                <w:bCs/>
                <w:color w:val="auto"/>
                <w:sz w:val="24"/>
                <w:u w:val="none"/>
                <w:lang w:eastAsia="zh-CN"/>
              </w:rPr>
              <w:t>）</w:t>
            </w:r>
            <w:r>
              <w:rPr>
                <w:rFonts w:hint="default" w:ascii="Times New Roman" w:hAnsi="Times New Roman" w:eastAsia="宋体" w:cs="Times New Roman"/>
                <w:b/>
                <w:bCs/>
                <w:color w:val="auto"/>
                <w:sz w:val="24"/>
                <w:u w:val="none"/>
                <w:lang w:eastAsia="zh-CN"/>
              </w:rPr>
              <w:t>与《江苏省铸造行业大气污染综合治理方案》（苏环办〔</w:t>
            </w:r>
            <w:r>
              <w:rPr>
                <w:rFonts w:hint="default" w:ascii="Times New Roman" w:hAnsi="Times New Roman" w:eastAsia="宋体" w:cs="Times New Roman"/>
                <w:b/>
                <w:bCs/>
                <w:color w:val="auto"/>
                <w:sz w:val="24"/>
                <w:u w:val="none"/>
                <w:lang w:val="en-US" w:eastAsia="zh-CN"/>
              </w:rPr>
              <w:t>2023</w:t>
            </w:r>
            <w:r>
              <w:rPr>
                <w:rFonts w:hint="default" w:ascii="Times New Roman" w:hAnsi="Times New Roman" w:eastAsia="宋体" w:cs="Times New Roman"/>
                <w:b/>
                <w:bCs/>
                <w:color w:val="auto"/>
                <w:sz w:val="24"/>
                <w:u w:val="none"/>
                <w:lang w:eastAsia="zh-CN"/>
              </w:rPr>
              <w:t>〕</w:t>
            </w:r>
            <w:r>
              <w:rPr>
                <w:rFonts w:hint="default" w:ascii="Times New Roman" w:hAnsi="Times New Roman" w:eastAsia="宋体" w:cs="Times New Roman"/>
                <w:b/>
                <w:bCs/>
                <w:color w:val="auto"/>
                <w:sz w:val="24"/>
                <w:u w:val="none"/>
                <w:lang w:val="en-US" w:eastAsia="zh-CN"/>
              </w:rPr>
              <w:t>242号</w:t>
            </w:r>
            <w:r>
              <w:rPr>
                <w:rFonts w:hint="default" w:ascii="Times New Roman" w:hAnsi="Times New Roman" w:eastAsia="宋体" w:cs="Times New Roman"/>
                <w:b/>
                <w:bCs/>
                <w:color w:val="auto"/>
                <w:sz w:val="24"/>
                <w:u w:val="none"/>
                <w:lang w:eastAsia="zh-CN"/>
              </w:rPr>
              <w:t>）</w:t>
            </w:r>
            <w:r>
              <w:rPr>
                <w:rFonts w:hint="eastAsia"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《南通市铸造行业大气污染综合治理方案》（通环办〔2023〕139号）</w:t>
            </w:r>
            <w:r>
              <w:rPr>
                <w:rFonts w:hint="default" w:ascii="Times New Roman" w:hAnsi="Times New Roman" w:eastAsia="宋体" w:cs="Times New Roman"/>
                <w:b/>
                <w:bCs/>
                <w:color w:val="auto"/>
                <w:sz w:val="24"/>
                <w:u w:val="none"/>
                <w:lang w:eastAsia="zh-CN"/>
              </w:rPr>
              <w:t>相符性分析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表1-</w:t>
            </w:r>
            <w:r>
              <w:rPr>
                <w:rFonts w:hint="eastAsia" w:ascii="Times New Roman" w:hAnsi="Times New Roman" w:eastAsia="宋体" w:cs="Times New Roman"/>
                <w:b/>
                <w:bCs w:val="0"/>
                <w:color w:val="auto"/>
                <w:sz w:val="24"/>
                <w:szCs w:val="24"/>
                <w:lang w:val="en-US" w:eastAsia="zh-CN"/>
              </w:rPr>
              <w:t>1</w:t>
            </w:r>
            <w:r>
              <w:rPr>
                <w:rFonts w:hint="eastAsia"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rPr>
              <w:t>与</w:t>
            </w:r>
            <w:r>
              <w:rPr>
                <w:rFonts w:hint="eastAsia" w:ascii="Times New Roman" w:hAnsi="Times New Roman" w:eastAsia="宋体" w:cs="Times New Roman"/>
                <w:b/>
                <w:bCs w:val="0"/>
                <w:color w:val="auto"/>
                <w:sz w:val="24"/>
                <w:szCs w:val="24"/>
                <w:lang w:eastAsia="zh-CN"/>
              </w:rPr>
              <w:t>《江苏省铸造行业大气污染综合治理方案》</w:t>
            </w:r>
            <w:r>
              <w:rPr>
                <w:rFonts w:hint="eastAsia" w:cs="Times New Roman"/>
                <w:b/>
                <w:bCs w:val="0"/>
                <w:color w:val="auto"/>
                <w:sz w:val="24"/>
                <w:szCs w:val="24"/>
                <w:lang w:val="en-US" w:eastAsia="zh-CN"/>
              </w:rPr>
              <w:t>、《南通市铸造行业大气污染综合治理方案》</w:t>
            </w:r>
            <w:r>
              <w:rPr>
                <w:rFonts w:hint="eastAsia" w:ascii="Times New Roman" w:hAnsi="Times New Roman" w:eastAsia="宋体" w:cs="Times New Roman"/>
                <w:b/>
                <w:bCs w:val="0"/>
                <w:color w:val="auto"/>
                <w:sz w:val="24"/>
                <w:szCs w:val="24"/>
                <w:lang w:eastAsia="zh-CN"/>
              </w:rPr>
              <w:t>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54"/>
              <w:gridCol w:w="20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2" w:type="pct"/>
                  <w:tcBorders>
                    <w:tl2br w:val="nil"/>
                    <w:tr2bl w:val="nil"/>
                  </w:tcBorders>
                  <w:noWrap w:val="0"/>
                  <w:vAlign w:val="center"/>
                </w:tcPr>
                <w:p>
                  <w:pPr>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文件要求</w:t>
                  </w:r>
                </w:p>
              </w:tc>
              <w:tc>
                <w:tcPr>
                  <w:tcW w:w="1347"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（1）有组织排放控制要求。</w:t>
                  </w:r>
                  <w:r>
                    <w:rPr>
                      <w:rFonts w:hint="default" w:ascii="Times New Roman" w:hAnsi="Times New Roman" w:eastAsia="宋体" w:cs="Times New Roman"/>
                      <w:b w:val="0"/>
                      <w:bCs w:val="0"/>
                      <w:color w:val="auto"/>
                      <w:sz w:val="21"/>
                      <w:szCs w:val="21"/>
                      <w:lang w:val="en-US" w:eastAsia="zh-CN"/>
                    </w:rPr>
                    <w:t>自硬砂及干砂等造型设备、落砂机和抛（喷）丸机等清理设备、加砂和制芯设备、浇注区的颗粒物浓度小时均值不高于30毫克/立方米。</w:t>
                  </w:r>
                </w:p>
              </w:tc>
              <w:tc>
                <w:tcPr>
                  <w:tcW w:w="1347" w:type="pct"/>
                  <w:tcBorders>
                    <w:tl2br w:val="nil"/>
                    <w:tr2bl w:val="nil"/>
                  </w:tcBorders>
                  <w:noWrap w:val="0"/>
                  <w:vAlign w:val="center"/>
                </w:tcPr>
                <w:p>
                  <w:pPr>
                    <w:jc w:val="both"/>
                    <w:rPr>
                      <w:rFonts w:hint="default" w:ascii="Times New Roman" w:hAnsi="Times New Roman" w:eastAsia="宋体" w:cs="Times New Roman"/>
                      <w:color w:val="auto"/>
                      <w:sz w:val="21"/>
                      <w:szCs w:val="21"/>
                      <w:vertAlign w:val="subscript"/>
                      <w:lang w:val="en-US" w:eastAsia="zh-CN"/>
                    </w:rPr>
                  </w:pPr>
                  <w:r>
                    <w:rPr>
                      <w:rFonts w:hint="eastAsia" w:ascii="Times New Roman" w:hAnsi="Times New Roman" w:eastAsia="宋体" w:cs="Times New Roman"/>
                      <w:color w:val="auto"/>
                      <w:sz w:val="21"/>
                      <w:szCs w:val="21"/>
                      <w:vertAlign w:val="baseline"/>
                      <w:lang w:val="en-US" w:eastAsia="zh-CN"/>
                    </w:rPr>
                    <w:t>本</w:t>
                  </w:r>
                  <w:r>
                    <w:rPr>
                      <w:rFonts w:hint="eastAsia" w:eastAsia="宋体" w:cs="Times New Roman"/>
                      <w:color w:val="auto"/>
                      <w:sz w:val="21"/>
                      <w:szCs w:val="21"/>
                      <w:vertAlign w:val="baseline"/>
                      <w:lang w:val="en-US" w:eastAsia="zh-CN"/>
                    </w:rPr>
                    <w:t>项目</w:t>
                  </w:r>
                  <w:r>
                    <w:rPr>
                      <w:rFonts w:hint="eastAsia" w:ascii="Times New Roman" w:hAnsi="Times New Roman" w:eastAsia="宋体" w:cs="Times New Roman"/>
                      <w:color w:val="auto"/>
                      <w:sz w:val="21"/>
                      <w:szCs w:val="21"/>
                      <w:vertAlign w:val="baseline"/>
                      <w:lang w:val="en-US" w:eastAsia="zh-CN"/>
                    </w:rPr>
                    <w:t>目</w:t>
                  </w:r>
                  <w:r>
                    <w:rPr>
                      <w:rFonts w:hint="eastAsia" w:eastAsia="宋体" w:cs="Times New Roman"/>
                      <w:color w:val="auto"/>
                      <w:sz w:val="21"/>
                      <w:szCs w:val="21"/>
                      <w:vertAlign w:val="baseline"/>
                      <w:lang w:val="en-US" w:eastAsia="zh-CN"/>
                    </w:rPr>
                    <w:t>制芯</w:t>
                  </w:r>
                  <w:r>
                    <w:rPr>
                      <w:rFonts w:hint="eastAsia" w:ascii="Times New Roman" w:hAnsi="Times New Roman" w:eastAsia="宋体" w:cs="Times New Roman"/>
                      <w:color w:val="auto"/>
                      <w:sz w:val="21"/>
                      <w:szCs w:val="21"/>
                      <w:vertAlign w:val="baseline"/>
                      <w:lang w:val="en-US" w:eastAsia="zh-CN"/>
                    </w:rPr>
                    <w:t>工序颗粒物排放浓度低于30</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（2）无组织排放控制要求。</w:t>
                  </w:r>
                  <w:r>
                    <w:rPr>
                      <w:rFonts w:hint="default" w:ascii="Times New Roman" w:hAnsi="Times New Roman" w:eastAsia="宋体" w:cs="Times New Roman"/>
                      <w:color w:val="auto"/>
                      <w:sz w:val="21"/>
                      <w:szCs w:val="21"/>
                      <w:lang w:val="en-US" w:eastAsia="zh-CN"/>
                    </w:rPr>
                    <w:t>1. 颗粒物无组织排放控制要求。企业厂区内颗粒物无组织排放1小时平均浓度值不高于5毫克/立方米。物料储存：煤粉、膨润土等粉状物料和硅砂应袋装或罐装，并储存于封闭储库或半散装物料应储存于封闭储库、料仓中，或储存于半封闭料场（堆棚）中。物料转移和输送：粉状、粒状等易散发粉尘的物料厂内转移、输送过程，应封闭；转移、输送、装卸过程中产尘点应采取集气除尘措施，或喷淋（雾）等抑尘措施；除尘器卸灰口应采取遮挡等抑尘措施，除尘灰不得直接卸落到地面；除尘灰采取袋装、罐装等密闭措施收集、存放和运输；厂区道路应硬化，并采取定期清扫、洒水等措施，保持清洁。铸造：冲天炉加料口应为负压状态，防止粉尘外泄。废钢、回炉料等原料加工工序和孕育、变质、炉外精炼等金属液处理工序产尘点应安装集气罩，并配备除尘设施。造型、制芯、浇注工序产尘点应安装集气罩并配备除尘设施，或采取喷淋（雾）等抑尘措施。落砂、抛丸清理、砂处理工序应在封闭空间内操作，废气收集至除尘设施；未在封闭空间内操作的，应采用固定式、移动式集气设备，并配备除尘设施。清理（去除浇冒口、铲飞边毛刺等）和浇包、渣包的维修工序应在封闭空间内操作，废气收集至除尘设施；未在封闭空间内操作的，应采用固定式、移动式集气设备并配</w:t>
                  </w:r>
                  <w:r>
                    <w:rPr>
                      <w:rFonts w:hint="default" w:ascii="Times New Roman" w:hAnsi="Times New Roman" w:eastAsia="宋体" w:cs="Times New Roman"/>
                      <w:b w:val="0"/>
                      <w:bCs w:val="0"/>
                      <w:color w:val="auto"/>
                      <w:sz w:val="21"/>
                      <w:szCs w:val="21"/>
                      <w:lang w:val="en-US" w:eastAsia="zh-CN"/>
                    </w:rPr>
                    <w:t>备除尘设施。车间外不得有可见烟粉尘外逸。</w:t>
                  </w:r>
                </w:p>
              </w:tc>
              <w:tc>
                <w:tcPr>
                  <w:tcW w:w="1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厂区内颗粒物无组织排放1小时平均浓度值不高于</w:t>
                  </w:r>
                  <w:r>
                    <w:rPr>
                      <w:rFonts w:hint="eastAsia" w:ascii="Times New Roman" w:hAnsi="Times New Roman" w:eastAsia="宋体" w:cs="Times New Roman"/>
                      <w:color w:val="auto"/>
                      <w:sz w:val="21"/>
                      <w:szCs w:val="21"/>
                      <w:vertAlign w:val="baseline"/>
                      <w:lang w:val="en-US" w:eastAsia="zh-CN"/>
                    </w:rPr>
                    <w:t>5</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default" w:ascii="CIDFont" w:hAnsi="CIDFont" w:eastAsia="CIDFont" w:cs="CIDFont"/>
                      <w:color w:val="auto"/>
                      <w:kern w:val="0"/>
                      <w:sz w:val="20"/>
                      <w:szCs w:val="20"/>
                      <w:lang w:val="en-US" w:eastAsia="zh-CN" w:bidi="ar"/>
                    </w:rPr>
                    <w:t>；</w:t>
                  </w:r>
                  <w:r>
                    <w:rPr>
                      <w:rFonts w:hint="eastAsia" w:ascii="Times New Roman" w:hAnsi="Times New Roman" w:eastAsia="宋体" w:cs="Times New Roman"/>
                      <w:b w:val="0"/>
                      <w:bCs w:val="0"/>
                      <w:color w:val="auto"/>
                      <w:sz w:val="21"/>
                      <w:szCs w:val="21"/>
                      <w:lang w:val="en-US" w:eastAsia="zh-CN"/>
                    </w:rPr>
                    <w:t>本项目</w:t>
                  </w:r>
                  <w:r>
                    <w:rPr>
                      <w:rFonts w:hint="eastAsia" w:eastAsia="宋体" w:cs="Times New Roman"/>
                      <w:b w:val="0"/>
                      <w:bCs w:val="0"/>
                      <w:color w:val="auto"/>
                      <w:sz w:val="21"/>
                      <w:szCs w:val="21"/>
                      <w:lang w:val="en-US" w:eastAsia="zh-CN"/>
                    </w:rPr>
                    <w:t>原砂</w:t>
                  </w:r>
                  <w:r>
                    <w:rPr>
                      <w:rFonts w:hint="eastAsia" w:ascii="Times New Roman" w:hAnsi="Times New Roman" w:eastAsia="宋体" w:cs="Times New Roman"/>
                      <w:b w:val="0"/>
                      <w:bCs w:val="0"/>
                      <w:color w:val="auto"/>
                      <w:sz w:val="21"/>
                      <w:szCs w:val="21"/>
                      <w:lang w:val="en-US" w:eastAsia="zh-CN"/>
                    </w:rPr>
                    <w:t>等粉状物料均袋装密闭储存，</w:t>
                  </w:r>
                  <w:r>
                    <w:rPr>
                      <w:rFonts w:hint="eastAsia" w:eastAsia="宋体" w:cs="Times New Roman"/>
                      <w:b w:val="0"/>
                      <w:bCs w:val="0"/>
                      <w:color w:val="auto"/>
                      <w:sz w:val="21"/>
                      <w:szCs w:val="21"/>
                      <w:lang w:val="en-US" w:eastAsia="zh-CN"/>
                    </w:rPr>
                    <w:t>原砂</w:t>
                  </w:r>
                  <w:r>
                    <w:rPr>
                      <w:rFonts w:hint="eastAsia" w:ascii="Times New Roman" w:hAnsi="Times New Roman" w:eastAsia="宋体" w:cs="Times New Roman"/>
                      <w:b w:val="0"/>
                      <w:bCs w:val="0"/>
                      <w:color w:val="auto"/>
                      <w:sz w:val="21"/>
                      <w:szCs w:val="21"/>
                      <w:lang w:val="en-US" w:eastAsia="zh-CN"/>
                    </w:rPr>
                    <w:t>采用密闭管道输送；</w:t>
                  </w:r>
                  <w:r>
                    <w:rPr>
                      <w:rFonts w:hint="default" w:ascii="Times New Roman" w:hAnsi="Times New Roman" w:eastAsia="宋体" w:cs="Times New Roman"/>
                      <w:b w:val="0"/>
                      <w:bCs w:val="0"/>
                      <w:color w:val="auto"/>
                      <w:sz w:val="21"/>
                      <w:szCs w:val="21"/>
                      <w:lang w:val="en-US" w:eastAsia="zh-CN"/>
                    </w:rPr>
                    <w:t>转移、输送、装卸过程中产尘点采取集气除尘措施</w:t>
                  </w:r>
                  <w:r>
                    <w:rPr>
                      <w:rFonts w:hint="eastAsia" w:ascii="Times New Roman" w:hAnsi="Times New Roman" w:eastAsia="宋体" w:cs="Times New Roman"/>
                      <w:b w:val="0"/>
                      <w:bCs w:val="0"/>
                      <w:color w:val="auto"/>
                      <w:sz w:val="21"/>
                      <w:szCs w:val="21"/>
                      <w:lang w:val="en-US" w:eastAsia="zh-CN"/>
                    </w:rPr>
                    <w:t>，布袋除尘器卸灰口采用密闭空间，直接卸至除尘器配套的密闭卸灰仓内，除尘灰采用密闭吨袋收集和存放；厂区道路已全部硬化，并采取清扫、洒水等措施，保持清洁，车间无可见烟粉尘外逸。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（3）无组织排放控制要求。</w:t>
                  </w:r>
                  <w:r>
                    <w:rPr>
                      <w:rFonts w:hint="default" w:ascii="Times New Roman" w:hAnsi="Times New Roman" w:eastAsia="宋体" w:cs="Times New Roman"/>
                      <w:b w:val="0"/>
                      <w:bCs w:val="0"/>
                      <w:color w:val="auto"/>
                      <w:sz w:val="21"/>
                      <w:szCs w:val="21"/>
                      <w:lang w:val="en-US" w:eastAsia="zh-CN"/>
                    </w:rPr>
                    <w:t>2. VOCs无组织排放控制要求。厂区内NMHC无组织排放1小时平均浓度不高于10毫克/立方米，任意一次浓度不高于30毫克/立方米。VOCs物料的储存和转移：涂料、树脂、固化剂、稀释剂、清洗剂等VOCs物料应储存于密闭的容器、包装袋、储库中。盛装VOCs物料的容器或包装袋应存放于室内，或存放于设置有雨棚、遮阳和防渗的专用场地；盛装VOCs物料的容器或包装袋在非取用状态时应加盖、封口，保持密闭；转移VOCs物料时，应采用密闭容器。表面涂装：表面涂装的配料、涂装和清洗作业应在密闭空间内进行，废气应排至废气收集处理系统；无法密闭的，应采取局部气体收集处理措施。设备与管线组件VOCs</w:t>
                  </w:r>
                  <w:r>
                    <w:rPr>
                      <w:rFonts w:hint="eastAsia" w:cs="Times New Roman"/>
                      <w:b w:val="0"/>
                      <w:bCs w:val="0"/>
                      <w:color w:val="auto"/>
                      <w:sz w:val="21"/>
                      <w:szCs w:val="21"/>
                      <w:lang w:val="en-US" w:eastAsia="zh-CN"/>
                    </w:rPr>
                    <w:t>泄漏</w:t>
                  </w:r>
                  <w:r>
                    <w:rPr>
                      <w:rFonts w:hint="default" w:ascii="Times New Roman" w:hAnsi="Times New Roman" w:eastAsia="宋体" w:cs="Times New Roman"/>
                      <w:b w:val="0"/>
                      <w:bCs w:val="0"/>
                      <w:color w:val="auto"/>
                      <w:sz w:val="21"/>
                      <w:szCs w:val="21"/>
                      <w:lang w:val="en-US" w:eastAsia="zh-CN"/>
                    </w:rPr>
                    <w:t>控制要求、敞开液面VOCs无组织排放控制要求等，应符合《挥发性有机物无组织排放控制标准》（GB 37822—2019）。</w:t>
                  </w:r>
                </w:p>
              </w:tc>
              <w:tc>
                <w:tcPr>
                  <w:tcW w:w="1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厂区内NMHC无组织排放1小时平均浓度</w:t>
                  </w:r>
                  <w:r>
                    <w:rPr>
                      <w:rFonts w:hint="eastAsia" w:ascii="Times New Roman" w:hAnsi="Times New Roman" w:eastAsia="宋体" w:cs="Times New Roman"/>
                      <w:b w:val="0"/>
                      <w:bCs w:val="0"/>
                      <w:color w:val="auto"/>
                      <w:sz w:val="21"/>
                      <w:szCs w:val="21"/>
                      <w:lang w:val="en-US" w:eastAsia="zh-CN"/>
                    </w:rPr>
                    <w:t>低</w:t>
                  </w:r>
                  <w:r>
                    <w:rPr>
                      <w:rFonts w:hint="default" w:ascii="Times New Roman" w:hAnsi="Times New Roman" w:eastAsia="宋体" w:cs="Times New Roman"/>
                      <w:b w:val="0"/>
                      <w:bCs w:val="0"/>
                      <w:color w:val="auto"/>
                      <w:sz w:val="21"/>
                      <w:szCs w:val="21"/>
                      <w:lang w:val="en-US" w:eastAsia="zh-CN"/>
                    </w:rPr>
                    <w:t>于10毫克/立方米，任意一次浓度</w:t>
                  </w:r>
                  <w:r>
                    <w:rPr>
                      <w:rFonts w:hint="eastAsia" w:ascii="Times New Roman" w:hAnsi="Times New Roman" w:eastAsia="宋体" w:cs="Times New Roman"/>
                      <w:b w:val="0"/>
                      <w:bCs w:val="0"/>
                      <w:color w:val="auto"/>
                      <w:sz w:val="21"/>
                      <w:szCs w:val="21"/>
                      <w:lang w:val="en-US" w:eastAsia="zh-CN"/>
                    </w:rPr>
                    <w:t>低</w:t>
                  </w:r>
                  <w:r>
                    <w:rPr>
                      <w:rFonts w:hint="default" w:ascii="Times New Roman" w:hAnsi="Times New Roman" w:eastAsia="宋体" w:cs="Times New Roman"/>
                      <w:b w:val="0"/>
                      <w:bCs w:val="0"/>
                      <w:color w:val="auto"/>
                      <w:sz w:val="21"/>
                      <w:szCs w:val="21"/>
                      <w:lang w:val="en-US" w:eastAsia="zh-CN"/>
                    </w:rPr>
                    <w:t>于30毫克/立方米</w:t>
                  </w:r>
                  <w:r>
                    <w:rPr>
                      <w:rFonts w:hint="eastAsia" w:ascii="Times New Roman" w:hAnsi="Times New Roman" w:eastAsia="宋体" w:cs="Times New Roman"/>
                      <w:b w:val="0"/>
                      <w:bCs w:val="0"/>
                      <w:color w:val="auto"/>
                      <w:sz w:val="21"/>
                      <w:szCs w:val="21"/>
                      <w:lang w:val="en-US" w:eastAsia="zh-CN"/>
                    </w:rPr>
                    <w:t>；2）本项目</w:t>
                  </w:r>
                  <w:r>
                    <w:rPr>
                      <w:rFonts w:hint="eastAsia" w:eastAsia="宋体" w:cs="Times New Roman"/>
                      <w:b w:val="0"/>
                      <w:bCs w:val="0"/>
                      <w:color w:val="auto"/>
                      <w:sz w:val="21"/>
                      <w:szCs w:val="21"/>
                      <w:lang w:val="en-US" w:eastAsia="zh-CN"/>
                    </w:rPr>
                    <w:t>三乙胺</w:t>
                  </w:r>
                  <w:r>
                    <w:rPr>
                      <w:rFonts w:hint="eastAsia" w:ascii="Times New Roman" w:hAnsi="Times New Roman" w:eastAsia="宋体" w:cs="Times New Roman"/>
                      <w:b w:val="0"/>
                      <w:bCs w:val="0"/>
                      <w:color w:val="auto"/>
                      <w:sz w:val="21"/>
                      <w:szCs w:val="21"/>
                      <w:lang w:val="en-US" w:eastAsia="zh-CN"/>
                    </w:rPr>
                    <w:t>存于密闭包装桶内，储存于室内，</w:t>
                  </w:r>
                  <w:r>
                    <w:rPr>
                      <w:rFonts w:hint="default" w:ascii="Times New Roman" w:hAnsi="Times New Roman" w:eastAsia="宋体" w:cs="Times New Roman"/>
                      <w:b w:val="0"/>
                      <w:bCs w:val="0"/>
                      <w:color w:val="auto"/>
                      <w:sz w:val="21"/>
                      <w:szCs w:val="21"/>
                      <w:lang w:val="en-US" w:eastAsia="zh-CN"/>
                    </w:rPr>
                    <w:t>非取用状态时加盖、封口，保持密闭</w:t>
                  </w:r>
                  <w:r>
                    <w:rPr>
                      <w:rFonts w:hint="eastAsia"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3</w:t>
                  </w:r>
                  <w:r>
                    <w:rPr>
                      <w:rFonts w:hint="eastAsia" w:ascii="Times New Roman" w:hAnsi="Times New Roman" w:eastAsia="宋体" w:cs="Times New Roman"/>
                      <w:b w:val="0"/>
                      <w:bCs w:val="0"/>
                      <w:color w:val="auto"/>
                      <w:sz w:val="21"/>
                      <w:szCs w:val="21"/>
                      <w:lang w:val="en-US" w:eastAsia="zh-CN"/>
                    </w:rPr>
                    <w:t>）</w:t>
                  </w:r>
                  <w:r>
                    <w:rPr>
                      <w:rFonts w:hint="eastAsia" w:eastAsia="宋体" w:cs="Times New Roman"/>
                      <w:b w:val="0"/>
                      <w:bCs w:val="0"/>
                      <w:color w:val="auto"/>
                      <w:sz w:val="21"/>
                      <w:szCs w:val="21"/>
                      <w:lang w:val="en-US" w:eastAsia="zh-CN"/>
                    </w:rPr>
                    <w:t>制芯</w:t>
                  </w:r>
                  <w:r>
                    <w:rPr>
                      <w:rFonts w:hint="eastAsia" w:ascii="Times New Roman" w:hAnsi="Times New Roman" w:eastAsia="宋体" w:cs="Times New Roman"/>
                      <w:b w:val="0"/>
                      <w:bCs w:val="0"/>
                      <w:color w:val="auto"/>
                      <w:sz w:val="21"/>
                      <w:szCs w:val="21"/>
                      <w:lang w:val="en-US" w:eastAsia="zh-CN"/>
                    </w:rPr>
                    <w:t>工序产生的挥发性有机物收集后经</w:t>
                  </w:r>
                  <w:r>
                    <w:rPr>
                      <w:rFonts w:hint="eastAsia" w:eastAsia="宋体" w:cs="Times New Roman"/>
                      <w:b w:val="0"/>
                      <w:bCs w:val="0"/>
                      <w:color w:val="auto"/>
                      <w:sz w:val="21"/>
                      <w:szCs w:val="21"/>
                      <w:lang w:val="en-US" w:eastAsia="zh-CN"/>
                    </w:rPr>
                    <w:t>磷酸喷淋塔+除雾器+</w:t>
                  </w:r>
                  <w:r>
                    <w:rPr>
                      <w:rFonts w:hint="eastAsia" w:ascii="Times New Roman" w:hAnsi="Times New Roman" w:eastAsia="宋体" w:cs="Times New Roman"/>
                      <w:b w:val="0"/>
                      <w:bCs w:val="0"/>
                      <w:color w:val="auto"/>
                      <w:sz w:val="21"/>
                      <w:szCs w:val="21"/>
                      <w:lang w:val="en-US" w:eastAsia="zh-CN"/>
                    </w:rPr>
                    <w:t>二级活性炭吸附装置处理。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（二）推进产业结构优化。</w:t>
                  </w:r>
                  <w:r>
                    <w:rPr>
                      <w:rFonts w:hint="default" w:ascii="Times New Roman" w:hAnsi="Times New Roman" w:eastAsia="宋体" w:cs="Times New Roman"/>
                      <w:b w:val="0"/>
                      <w:bCs w:val="0"/>
                      <w:color w:val="auto"/>
                      <w:sz w:val="21"/>
                      <w:szCs w:val="21"/>
                      <w:lang w:val="en-US" w:eastAsia="zh-CN"/>
                    </w:rPr>
                    <w:t>严格执行质量、环保、能耗、安全等相关法律法规标准和《产业结构调整指导目录》等政策，配合工信、发改等部门依法依规淘汰工艺设备落后、污染排放不达标、生产安全无保障的落后产能。加快存量项目升级改造，推进企业合理选择成熟高效的污染治理技术和先进工艺，提高行业竞争能力。严格审批新建、改扩建项目，新建、改扩建项目清洁生产水平达到先进水平，确保项目备案、环评、排污许可、安评、节能、审查等手续清晰、完备，项目建设符合相关法律法规标准要求。严格落实主要污染物排放总量控制、能源消耗总量和强度调度控制，坚决遏制不符合要求的项目盲目发展和低水平重复建设，防止产能盲目扩张，切实推进铸造行业产业结构优化升级。</w:t>
                  </w:r>
                </w:p>
              </w:tc>
              <w:tc>
                <w:tcPr>
                  <w:tcW w:w="1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本项目将严格执行</w:t>
                  </w:r>
                  <w:r>
                    <w:rPr>
                      <w:rFonts w:hint="default" w:ascii="Times New Roman" w:hAnsi="Times New Roman" w:eastAsia="宋体" w:cs="Times New Roman"/>
                      <w:b w:val="0"/>
                      <w:bCs w:val="0"/>
                      <w:color w:val="auto"/>
                      <w:sz w:val="21"/>
                      <w:szCs w:val="21"/>
                      <w:lang w:val="en-US" w:eastAsia="zh-CN"/>
                    </w:rPr>
                    <w:t>质量、环保、能耗、安全等相关法律法规标准和《产业结构调整指导目录》等政策</w:t>
                  </w:r>
                  <w:r>
                    <w:rPr>
                      <w:rFonts w:hint="eastAsia" w:ascii="Times New Roman" w:hAnsi="Times New Roman" w:eastAsia="宋体" w:cs="Times New Roman"/>
                      <w:b w:val="0"/>
                      <w:bCs w:val="0"/>
                      <w:color w:val="auto"/>
                      <w:sz w:val="21"/>
                      <w:szCs w:val="21"/>
                      <w:lang w:val="en-US" w:eastAsia="zh-CN"/>
                    </w:rPr>
                    <w:t>，不使用淘汰落后工艺及设备，污染物达标排放，将严格落实主要污染物排放总量控制、能耗消耗总量和强度调控制度，符合要求。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（四）推动实施深度治理。</w:t>
                  </w:r>
                  <w:r>
                    <w:rPr>
                      <w:rFonts w:hint="default" w:ascii="Times New Roman" w:hAnsi="Times New Roman" w:eastAsia="宋体" w:cs="Times New Roman"/>
                      <w:b w:val="0"/>
                      <w:bCs w:val="0"/>
                      <w:color w:val="auto"/>
                      <w:sz w:val="21"/>
                      <w:szCs w:val="21"/>
                      <w:lang w:val="en-US" w:eastAsia="zh-CN"/>
                    </w:rPr>
                    <w:t>各地组织铸造企业根据《铸造工业大气污染防治可行性技术指南》（HJ 1292—2023），选择适合自身的高效污染防治技术开展深度治理，实现源头减排、过程控制和末端治理的全流程深度治理。源头减排方面，可采用少/无煤粉粘土砂添加替代技术、改性树脂粘结剂（含固化剂）替代技术、陶瓷砂替代技术、无机粘结剂替代技术、水基铸型涂料替代技术、低（无）VOCs含量涂料替代技术等实现煤粉、粘结剂、硅砂、涂料等原辅材料的替代。过程控制方面，可采用炉盖与除尘一体化技术、金属液定点处理技术、微量喷涂技术、金属液封闭转运技术、静电喷涂技术、阴极电泳技术、湿式机械加工技术，实现废气高效收集、涂料高效喷涂和重复利用。颗粒物治理，可采用旋风除尘技术、袋式除尘技术、滤筒除尘技术、湿式除尘技术、漆雾处理技术等。S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（二氧化硫）治理，可采用湿法脱硫技术（钠碱法脱硫技术和双碱法脱硫技术，需配合自动添加脱硫剂设备、自动</w:t>
                  </w:r>
                  <w:r>
                    <w:rPr>
                      <w:rFonts w:hint="eastAsia" w:ascii="Times New Roman" w:hAnsi="Times New Roman" w:eastAsia="宋体" w:cs="Times New Roman"/>
                      <w:b w:val="0"/>
                      <w:bCs w:val="0"/>
                      <w:color w:val="auto"/>
                      <w:sz w:val="21"/>
                      <w:szCs w:val="21"/>
                      <w:lang w:val="en-US" w:eastAsia="zh-CN"/>
                    </w:rPr>
                    <w:t>pH值</w:t>
                  </w:r>
                  <w:r>
                    <w:rPr>
                      <w:rFonts w:hint="default" w:ascii="Times New Roman" w:hAnsi="Times New Roman" w:eastAsia="宋体" w:cs="Times New Roman"/>
                      <w:b w:val="0"/>
                      <w:bCs w:val="0"/>
                      <w:color w:val="auto"/>
                      <w:sz w:val="21"/>
                      <w:szCs w:val="21"/>
                      <w:lang w:val="en-US" w:eastAsia="zh-CN"/>
                    </w:rPr>
                    <w:t>监测、曝气等系列设施配套使用）、干法脱硫技术（钠基吸收剂细度一般不小于800目，钙基吸收剂细度一般不小于300目）等。NOx</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氮氧化物</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治理，可采用低氮燃烧、SCR（选择性催化还原）、SNCR（选择性非催化还原）等高效脱硝技术。VOCs治理，可采用吸附技术（固定床吸附和旋转式吸附）、燃烧技术（催化燃烧、蓄热燃烧、热力燃烧）、吸收技术（化学吸收、物理吸收）等。油雾治理，可采用机械过滤技术和静电净化技术等。鼓励铸造企业的大宗物料和产业运输采用铁路、水路、管道或管状带式输送机等清洁运输方式，运输车辆优先采用新能源汽车。</w:t>
                  </w:r>
                </w:p>
              </w:tc>
              <w:tc>
                <w:tcPr>
                  <w:tcW w:w="1347" w:type="pct"/>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本项目坚持绿色理念，从源头减排；</w:t>
                  </w:r>
                  <w:r>
                    <w:rPr>
                      <w:rFonts w:hint="eastAsia" w:eastAsia="宋体" w:cs="Times New Roman"/>
                      <w:b w:val="0"/>
                      <w:bCs w:val="0"/>
                      <w:color w:val="auto"/>
                      <w:sz w:val="21"/>
                      <w:szCs w:val="21"/>
                      <w:lang w:val="en-US" w:eastAsia="zh-CN"/>
                    </w:rPr>
                    <w:t>混砂、</w:t>
                  </w:r>
                  <w:r>
                    <w:rPr>
                      <w:rFonts w:hint="eastAsia" w:eastAsia="宋体" w:cs="Times New Roman"/>
                      <w:color w:val="auto"/>
                      <w:kern w:val="0"/>
                      <w:sz w:val="21"/>
                      <w:szCs w:val="21"/>
                      <w:lang w:val="en-US" w:eastAsia="zh-CN" w:bidi="ar"/>
                    </w:rPr>
                    <w:t>冷芯制模</w:t>
                  </w:r>
                  <w:r>
                    <w:rPr>
                      <w:rFonts w:hint="eastAsia" w:ascii="Times New Roman" w:hAnsi="Times New Roman" w:eastAsia="宋体" w:cs="Times New Roman"/>
                      <w:color w:val="auto"/>
                      <w:kern w:val="0"/>
                      <w:sz w:val="21"/>
                      <w:szCs w:val="21"/>
                      <w:lang w:val="en-US" w:eastAsia="zh-CN" w:bidi="ar"/>
                    </w:rPr>
                    <w:t>废气收集后经</w:t>
                  </w:r>
                  <w:r>
                    <w:rPr>
                      <w:rFonts w:hint="eastAsia" w:eastAsia="宋体" w:cs="Times New Roman"/>
                      <w:color w:val="auto"/>
                      <w:kern w:val="0"/>
                      <w:sz w:val="21"/>
                      <w:szCs w:val="21"/>
                      <w:lang w:val="en-US" w:eastAsia="zh-CN" w:bidi="ar"/>
                    </w:rPr>
                    <w:t>布袋</w:t>
                  </w:r>
                  <w:r>
                    <w:rPr>
                      <w:rFonts w:hint="eastAsia" w:ascii="Times New Roman" w:hAnsi="Times New Roman" w:eastAsia="宋体" w:cs="Times New Roman"/>
                      <w:color w:val="auto"/>
                      <w:kern w:val="0"/>
                      <w:sz w:val="21"/>
                      <w:szCs w:val="21"/>
                      <w:lang w:val="en-US" w:eastAsia="zh-CN" w:bidi="ar"/>
                    </w:rPr>
                    <w:t>除尘器</w:t>
                  </w:r>
                  <w:r>
                    <w:rPr>
                      <w:rFonts w:hint="eastAsia" w:eastAsia="宋体" w:cs="Times New Roman"/>
                      <w:color w:val="auto"/>
                      <w:kern w:val="0"/>
                      <w:sz w:val="21"/>
                      <w:szCs w:val="21"/>
                      <w:lang w:val="en-US" w:eastAsia="zh-CN" w:bidi="ar"/>
                    </w:rPr>
                    <w:t>+磷酸喷淋塔+除雾器+二级活性炭</w:t>
                  </w:r>
                  <w:r>
                    <w:rPr>
                      <w:rFonts w:hint="eastAsia" w:ascii="Times New Roman" w:hAnsi="Times New Roman" w:eastAsia="宋体" w:cs="Times New Roman"/>
                      <w:color w:val="auto"/>
                      <w:kern w:val="0"/>
                      <w:sz w:val="21"/>
                      <w:szCs w:val="21"/>
                      <w:lang w:val="en-US" w:eastAsia="zh-CN" w:bidi="ar"/>
                    </w:rPr>
                    <w:t>处理后通过DA00</w:t>
                  </w:r>
                  <w:r>
                    <w:rPr>
                      <w:rFonts w:hint="eastAsia"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高空排放均满足</w:t>
                  </w:r>
                  <w:r>
                    <w:rPr>
                      <w:rFonts w:hint="eastAsia" w:ascii="Times New Roman" w:hAnsi="Times New Roman" w:eastAsia="宋体" w:cs="Times New Roman"/>
                      <w:color w:val="auto"/>
                      <w:szCs w:val="21"/>
                      <w:lang w:val="en-US" w:eastAsia="zh-CN"/>
                    </w:rPr>
                    <w:t>《大气污染物综合排放标准》（DB32/4041-2021）中的相关要求。</w:t>
                  </w:r>
                  <w:r>
                    <w:rPr>
                      <w:rFonts w:hint="eastAsia"/>
                      <w:color w:val="auto"/>
                      <w:lang w:val="en-US" w:eastAsia="zh-CN"/>
                    </w:rPr>
                    <w:t>对照</w:t>
                  </w:r>
                  <w:r>
                    <w:rPr>
                      <w:rFonts w:hint="default" w:ascii="Times New Roman" w:hAnsi="Times New Roman" w:eastAsia="宋体" w:cs="Times New Roman"/>
                      <w:color w:val="auto"/>
                      <w:kern w:val="0"/>
                      <w:szCs w:val="21"/>
                      <w:lang w:bidi="ar"/>
                    </w:rPr>
                    <w:t>《铸造工业大气污染防治可行性技术指南》（HJ1292</w:t>
                  </w:r>
                  <w:r>
                    <w:rPr>
                      <w:rFonts w:hint="eastAsia" w:eastAsia="宋体" w:cs="Times New Roman"/>
                      <w:color w:val="auto"/>
                      <w:kern w:val="0"/>
                      <w:szCs w:val="21"/>
                      <w:lang w:val="en-US" w:eastAsia="zh-CN" w:bidi="ar"/>
                    </w:rPr>
                    <w:t>-</w:t>
                  </w:r>
                  <w:r>
                    <w:rPr>
                      <w:rFonts w:hint="default" w:ascii="Times New Roman" w:hAnsi="Times New Roman" w:eastAsia="宋体" w:cs="Times New Roman"/>
                      <w:color w:val="auto"/>
                      <w:kern w:val="0"/>
                      <w:szCs w:val="21"/>
                      <w:lang w:bidi="ar"/>
                    </w:rPr>
                    <w:t>2023）</w:t>
                  </w:r>
                  <w:r>
                    <w:rPr>
                      <w:rFonts w:hint="eastAsia" w:cs="Times New Roman"/>
                      <w:color w:val="auto"/>
                      <w:kern w:val="0"/>
                      <w:szCs w:val="21"/>
                      <w:lang w:eastAsia="zh-CN" w:bidi="ar"/>
                    </w:rPr>
                    <w:t>均为可行性技术。</w:t>
                  </w:r>
                  <w:r>
                    <w:rPr>
                      <w:rFonts w:hint="eastAsia" w:ascii="Times New Roman" w:hAnsi="Times New Roman" w:eastAsia="宋体" w:cs="Times New Roman"/>
                      <w:b w:val="0"/>
                      <w:bCs w:val="0"/>
                      <w:color w:val="auto"/>
                      <w:sz w:val="21"/>
                      <w:szCs w:val="21"/>
                      <w:lang w:val="en-US" w:eastAsia="zh-CN"/>
                    </w:rPr>
                    <w:t>产生</w:t>
                  </w:r>
                  <w:r>
                    <w:rPr>
                      <w:rFonts w:hint="default" w:ascii="Times New Roman" w:hAnsi="Times New Roman" w:eastAsia="宋体" w:cs="Times New Roman"/>
                      <w:b w:val="0"/>
                      <w:bCs w:val="0"/>
                      <w:color w:val="auto"/>
                      <w:sz w:val="21"/>
                      <w:szCs w:val="21"/>
                      <w:lang w:val="en-US" w:eastAsia="zh-CN"/>
                    </w:rPr>
                    <w:t>废气的节点均进行有效收集，利用高效除尘器、</w:t>
                  </w:r>
                  <w:r>
                    <w:rPr>
                      <w:rFonts w:hint="eastAsia" w:eastAsia="宋体" w:cs="Times New Roman"/>
                      <w:b w:val="0"/>
                      <w:bCs w:val="0"/>
                      <w:color w:val="auto"/>
                      <w:sz w:val="21"/>
                      <w:szCs w:val="21"/>
                      <w:lang w:val="en-US" w:eastAsia="zh-CN"/>
                    </w:rPr>
                    <w:t>酸碱中和、</w:t>
                  </w:r>
                  <w:r>
                    <w:rPr>
                      <w:rFonts w:hint="default" w:ascii="Times New Roman" w:hAnsi="Times New Roman" w:eastAsia="宋体" w:cs="Times New Roman"/>
                      <w:b w:val="0"/>
                      <w:bCs w:val="0"/>
                      <w:color w:val="auto"/>
                      <w:sz w:val="21"/>
                      <w:szCs w:val="21"/>
                      <w:lang w:val="en-US" w:eastAsia="zh-CN"/>
                    </w:rPr>
                    <w:t>二级活性炭等，从末端治理颗粒物、挥发性有机物。</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val="en-US" w:eastAsia="zh-CN"/>
              </w:rPr>
              <w:t>综上，本项目建设符合《江苏省铸造行业大气污染综合治理方案》（苏环办〔2023〕242号）的相关要求。</w:t>
            </w: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4"/>
                <w:szCs w:val="24"/>
                <w:lang w:eastAsia="zh-CN"/>
              </w:rPr>
            </w:pPr>
            <w:r>
              <w:rPr>
                <w:rFonts w:hint="eastAsia"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与《</w:t>
            </w:r>
            <w:r>
              <w:rPr>
                <w:rFonts w:hint="eastAsia" w:cs="Times New Roman"/>
                <w:b/>
                <w:bCs/>
                <w:color w:val="auto"/>
                <w:sz w:val="24"/>
                <w:szCs w:val="24"/>
                <w:lang w:eastAsia="zh-CN"/>
              </w:rPr>
              <w:t>如皋市铸造行业大气污染综合治理实施方案</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相符性分析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bCs/>
                <w:color w:val="auto"/>
                <w:sz w:val="24"/>
                <w:szCs w:val="24"/>
              </w:rPr>
              <w:t>表1-</w:t>
            </w:r>
            <w:r>
              <w:rPr>
                <w:rFonts w:hint="eastAsia" w:cs="Times New Roman"/>
                <w:b/>
                <w:bCs/>
                <w:color w:val="auto"/>
                <w:sz w:val="24"/>
                <w:szCs w:val="24"/>
                <w:lang w:val="en-US" w:eastAsia="zh-CN"/>
              </w:rPr>
              <w:t>15</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与</w:t>
            </w:r>
            <w:r>
              <w:rPr>
                <w:rFonts w:hint="default" w:ascii="Times New Roman" w:hAnsi="Times New Roman" w:eastAsia="宋体" w:cs="Times New Roman"/>
                <w:b/>
                <w:bCs/>
                <w:color w:val="auto"/>
                <w:sz w:val="24"/>
                <w:szCs w:val="24"/>
              </w:rPr>
              <w:t>《</w:t>
            </w:r>
            <w:r>
              <w:rPr>
                <w:rFonts w:hint="eastAsia" w:cs="Times New Roman"/>
                <w:b/>
                <w:bCs/>
                <w:color w:val="auto"/>
                <w:sz w:val="24"/>
                <w:szCs w:val="24"/>
                <w:lang w:eastAsia="zh-CN"/>
              </w:rPr>
              <w:t>如皋市铸造行业大气污染综合治理实施方案</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szCs w:val="24"/>
              </w:rPr>
              <w:t>相符性</w:t>
            </w:r>
            <w:r>
              <w:rPr>
                <w:rFonts w:hint="default" w:ascii="Times New Roman" w:hAnsi="Times New Roman" w:cs="Times New Roman"/>
                <w:b/>
                <w:bCs/>
                <w:color w:val="auto"/>
                <w:sz w:val="24"/>
                <w:szCs w:val="24"/>
                <w:lang w:eastAsia="zh-CN"/>
              </w:rPr>
              <w:t>分析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9"/>
              <w:gridCol w:w="2079"/>
              <w:gridCol w:w="6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文件内容</w:t>
                  </w:r>
                </w:p>
              </w:tc>
              <w:tc>
                <w:tcPr>
                  <w:tcW w:w="13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本项目情况</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（一）有组织排放控制要求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自硬砂及干砂等造型设备、落砂机和抛（喷）丸机等清理设备、加砂和制芯设备、浇注区的颗粒物浓度小时均值不高于30毫克/立方米。其他生产工序或设备、设施烟气颗粒物浓度不高于30毫克/立方米。车间或生产设施排气中NMHC初始排放速率≥2kg/h的，VOCs（挥发性有机物）处理设施的处理效率不低于80%。</w:t>
                  </w:r>
                </w:p>
              </w:tc>
              <w:tc>
                <w:tcPr>
                  <w:tcW w:w="13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本项目</w:t>
                  </w:r>
                  <w:r>
                    <w:rPr>
                      <w:rFonts w:hint="eastAsia" w:eastAsia="宋体" w:cs="Times New Roman"/>
                      <w:b w:val="0"/>
                      <w:bCs w:val="0"/>
                      <w:color w:val="auto"/>
                      <w:kern w:val="0"/>
                      <w:sz w:val="21"/>
                      <w:szCs w:val="21"/>
                      <w:lang w:val="en-US" w:eastAsia="zh-CN" w:bidi="ar"/>
                    </w:rPr>
                    <w:t>混砂、冷芯制模</w:t>
                  </w:r>
                  <w:r>
                    <w:rPr>
                      <w:rFonts w:hint="eastAsia"/>
                      <w:color w:val="auto"/>
                      <w:szCs w:val="21"/>
                      <w:lang w:val="en-US" w:eastAsia="zh-CN"/>
                    </w:rPr>
                    <w:t>废气集气罩收集后经袋式除尘器+磷酸喷淋塔+除雾器+二级活性炭吸附装置通过20m排气筒高空排放，</w:t>
                  </w:r>
                  <w:r>
                    <w:rPr>
                      <w:rFonts w:hint="eastAsia" w:ascii="Times New Roman" w:hAnsi="Times New Roman" w:eastAsia="宋体" w:cs="Times New Roman"/>
                      <w:b w:val="0"/>
                      <w:bCs w:val="0"/>
                      <w:color w:val="auto"/>
                      <w:kern w:val="0"/>
                      <w:sz w:val="21"/>
                      <w:szCs w:val="21"/>
                      <w:lang w:val="en-US" w:eastAsia="zh-CN" w:bidi="ar"/>
                    </w:rPr>
                    <w:t>满足</w:t>
                  </w:r>
                  <w:r>
                    <w:rPr>
                      <w:rFonts w:hint="eastAsia" w:ascii="Times New Roman" w:hAnsi="Times New Roman" w:eastAsia="宋体" w:cs="Times New Roman"/>
                      <w:b w:val="0"/>
                      <w:bCs w:val="0"/>
                      <w:color w:val="auto"/>
                      <w:sz w:val="21"/>
                      <w:szCs w:val="21"/>
                      <w:lang w:val="en-US" w:eastAsia="zh-CN"/>
                    </w:rPr>
                    <w:t>《大气污染物综合排放标准》（DB32/4041-2021）中的相关要求。</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bCs/>
                      <w:color w:val="auto"/>
                      <w:kern w:val="0"/>
                      <w:sz w:val="21"/>
                      <w:szCs w:val="21"/>
                      <w:lang w:val="en-US" w:eastAsia="zh-CN" w:bidi="ar"/>
                    </w:rPr>
                    <w:t>（二）无组织排放控制要求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1.颗粒物无组织排放控制要求。企业厂区内颗粒物无组织排放1小时平均浓度值不高于5毫克/立方米。物料储存：煤粉、膨润土等粉状物料和硅砂应袋装或罐装，并储存于封闭储库或半封闭料场（堆棚）中。生铁、废钢、焦炭和铁合金等粒状、块状散装物料应储存于封闭储库、料仓中，或储存于半封闭料场（堆棚）中。物料转移和输送：粉状、粒状等易散发粉尘的物料厂内转移、输送过程，应封闭；转移、输送、装卸过程中产尘点应采取集气除尘措施，或喷淋（雾）等抑尘措施；除尘器卸灰口应采取遮挡等抑尘措施，除尘灰不得直接卸落到地面；除尘灰采取袋装、罐装等密闭措施收集、存放和运输；厂区道路应硬化，并采取定期清扫、洒水等措施，保持清洁。铸造：冲天炉加料口应为负压状态，防止粉尘外泄。废钢、回炉料等原料加工工序和孕育、变质、炉外精炼等金属液处理工序产尘点应安装集气罩，并配备除尘设施。造型、制芯、浇注工序产尘点应安装集气罩并配备除尘设施，或采取喷淋（雾）等抑尘措施。落砂、抛丸清理、砂处理工序应在封闭空间内操作，废气收集至除尘设施；未在封闭空间内操作的，应采用固定式、移动式集气设备，并配备除尘设施。清理（去除浇冒口、铲飞边毛刺等）和浇包、渣包的维修工序应在封闭空间内操作，废气收集至除尘设施；未在封闭空间内操作的，应采用固定式、移动式集气设备并配备除尘设施。车间外不得有可见烟粉尘外逸。</w:t>
                  </w:r>
                </w:p>
              </w:tc>
              <w:tc>
                <w:tcPr>
                  <w:tcW w:w="13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0"/>
                      <w:sz w:val="21"/>
                      <w:szCs w:val="21"/>
                      <w:lang w:val="en-US" w:eastAsia="zh-CN" w:bidi="ar"/>
                    </w:rPr>
                    <w:t>厂区无组织颗粒物排放不超过浓度限值</w:t>
                  </w:r>
                  <w:r>
                    <w:rPr>
                      <w:rFonts w:hint="default" w:ascii="Times New Roman" w:hAnsi="Times New Roman" w:eastAsia="宋体" w:cs="Times New Roman"/>
                      <w:b w:val="0"/>
                      <w:bCs w:val="0"/>
                      <w:color w:val="auto"/>
                      <w:kern w:val="0"/>
                      <w:sz w:val="21"/>
                      <w:szCs w:val="21"/>
                      <w:lang w:val="en-US" w:eastAsia="zh-CN" w:bidi="ar"/>
                    </w:rPr>
                    <w:t>。</w:t>
                  </w:r>
                  <w:r>
                    <w:rPr>
                      <w:rFonts w:hint="eastAsia" w:eastAsia="宋体" w:cs="Times New Roman"/>
                      <w:b w:val="0"/>
                      <w:bCs w:val="0"/>
                      <w:color w:val="auto"/>
                      <w:sz w:val="21"/>
                      <w:szCs w:val="21"/>
                      <w:lang w:val="en-US" w:eastAsia="zh-CN"/>
                    </w:rPr>
                    <w:t>原砂</w:t>
                  </w:r>
                  <w:r>
                    <w:rPr>
                      <w:rFonts w:hint="eastAsia" w:ascii="Times New Roman" w:hAnsi="Times New Roman" w:eastAsia="宋体" w:cs="Times New Roman"/>
                      <w:b w:val="0"/>
                      <w:bCs w:val="0"/>
                      <w:color w:val="auto"/>
                      <w:sz w:val="21"/>
                      <w:szCs w:val="21"/>
                      <w:lang w:val="en-US" w:eastAsia="zh-CN"/>
                    </w:rPr>
                    <w:t>等粉状物料均袋装密闭储存，</w:t>
                  </w:r>
                  <w:r>
                    <w:rPr>
                      <w:rFonts w:hint="eastAsia" w:eastAsia="宋体" w:cs="Times New Roman"/>
                      <w:b w:val="0"/>
                      <w:bCs w:val="0"/>
                      <w:color w:val="auto"/>
                      <w:sz w:val="21"/>
                      <w:szCs w:val="21"/>
                      <w:lang w:val="en-US" w:eastAsia="zh-CN"/>
                    </w:rPr>
                    <w:t>覆膜砂</w:t>
                  </w:r>
                  <w:r>
                    <w:rPr>
                      <w:rFonts w:hint="eastAsia" w:ascii="Times New Roman" w:hAnsi="Times New Roman" w:eastAsia="宋体" w:cs="Times New Roman"/>
                      <w:b w:val="0"/>
                      <w:bCs w:val="0"/>
                      <w:color w:val="auto"/>
                      <w:sz w:val="21"/>
                      <w:szCs w:val="21"/>
                      <w:lang w:val="en-US" w:eastAsia="zh-CN"/>
                    </w:rPr>
                    <w:t>采用密闭管道输送；</w:t>
                  </w:r>
                  <w:r>
                    <w:rPr>
                      <w:rFonts w:hint="default" w:ascii="Times New Roman" w:hAnsi="Times New Roman" w:eastAsia="宋体" w:cs="Times New Roman"/>
                      <w:b w:val="0"/>
                      <w:bCs w:val="0"/>
                      <w:color w:val="auto"/>
                      <w:sz w:val="21"/>
                      <w:szCs w:val="21"/>
                      <w:lang w:val="en-US" w:eastAsia="zh-CN"/>
                    </w:rPr>
                    <w:t>转移、输送、装卸过程中产尘点采取集气除尘措施</w:t>
                  </w:r>
                  <w:r>
                    <w:rPr>
                      <w:rFonts w:hint="eastAsia" w:ascii="Times New Roman" w:hAnsi="Times New Roman" w:eastAsia="宋体" w:cs="Times New Roman"/>
                      <w:b w:val="0"/>
                      <w:bCs w:val="0"/>
                      <w:color w:val="auto"/>
                      <w:sz w:val="21"/>
                      <w:szCs w:val="21"/>
                      <w:lang w:val="en-US" w:eastAsia="zh-CN"/>
                    </w:rPr>
                    <w:t>，布袋除尘器卸灰口采用密闭空间，直接卸至除尘器配套的密闭卸灰仓内，除尘灰采用密闭吨袋收集和存放；厂区道路已全部硬化，并采取清扫、洒水等措施，保持清洁，车间无可见烟粉尘外逸。</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2. VOCs无组织排放控制要求。厂区内NMHC无组织排放1小时平均浓度不高于10毫克/立方米，任意一次浓度不高于30毫克/立方米。VOCs物料的储存和转移：涂料、树脂、固化剂、稀释剂、清洗剂等VOCs物料应储存于密闭的容器、包装袋、储库中。盛装VOCs物料的容器或包装袋应存放于室内，或存放于设置有雨棚、遮阳和防渗的专用场地；盛装VOCs物料的容器或包装袋在非取用状态时应加盖、封口，保持密闭；转移VOCs物料时，应采用密闭容器。表面涂装：表面涂装的配料、涂装和清洗作业应在密闭空间内进行，废气应排至废气收集处理系统；无法密闭的，应采取局部气体收集处理措施。设备与管线组件VOCs</w:t>
                  </w:r>
                  <w:r>
                    <w:rPr>
                      <w:rFonts w:hint="eastAsia" w:cs="Times New Roman"/>
                      <w:b w:val="0"/>
                      <w:bCs w:val="0"/>
                      <w:color w:val="auto"/>
                      <w:kern w:val="0"/>
                      <w:sz w:val="21"/>
                      <w:szCs w:val="21"/>
                      <w:lang w:val="en-US" w:eastAsia="zh-CN" w:bidi="ar"/>
                    </w:rPr>
                    <w:t>泄漏</w:t>
                  </w:r>
                  <w:r>
                    <w:rPr>
                      <w:rFonts w:hint="default" w:ascii="Times New Roman" w:hAnsi="Times New Roman" w:eastAsia="宋体" w:cs="Times New Roman"/>
                      <w:b w:val="0"/>
                      <w:bCs w:val="0"/>
                      <w:color w:val="auto"/>
                      <w:kern w:val="0"/>
                      <w:sz w:val="21"/>
                      <w:szCs w:val="21"/>
                      <w:lang w:val="en-US" w:eastAsia="zh-CN" w:bidi="ar"/>
                    </w:rPr>
                    <w:t>控制要求、敞开液面VOCs无组织排放控制要求等，应符合《挥发性有机物无组织排放控制标准》（GB 37822—2019）。</w:t>
                  </w:r>
                </w:p>
              </w:tc>
              <w:tc>
                <w:tcPr>
                  <w:tcW w:w="13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kern w:val="0"/>
                      <w:sz w:val="21"/>
                      <w:szCs w:val="21"/>
                      <w:lang w:val="en-US" w:eastAsia="zh-CN" w:bidi="ar"/>
                    </w:rPr>
                    <w:t>根据大气专项预测内容分析，VOCs无组织排放浓度满足</w:t>
                  </w:r>
                  <w:r>
                    <w:rPr>
                      <w:rFonts w:hint="eastAsia" w:ascii="Times New Roman" w:hAnsi="Times New Roman" w:eastAsia="宋体" w:cs="Times New Roman"/>
                      <w:b w:val="0"/>
                      <w:bCs w:val="0"/>
                      <w:color w:val="auto"/>
                      <w:sz w:val="21"/>
                      <w:szCs w:val="21"/>
                      <w:lang w:val="en-US" w:eastAsia="zh-CN"/>
                    </w:rPr>
                    <w:t>《大气污染物综合排放标准》（DB32/4041-2021）中的相关要求</w:t>
                  </w:r>
                  <w:r>
                    <w:rPr>
                      <w:rFonts w:hint="eastAsia" w:cs="Times New Roman"/>
                      <w:b w:val="0"/>
                      <w:bCs w:val="0"/>
                      <w:color w:val="auto"/>
                      <w:kern w:val="0"/>
                      <w:sz w:val="21"/>
                      <w:szCs w:val="21"/>
                      <w:lang w:val="en-US" w:eastAsia="zh-CN" w:bidi="ar"/>
                    </w:rPr>
                    <w:t>。酚醛树脂、聚异氰酸酯、三乙胺均储存于密闭容器内，储存于原料库中。冷芯制模过程中产生的有机废气收集后经磷酸喷淋塔+除雾器+二级活性炭吸附装置处理后有组织排放。</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kern w:val="0"/>
                      <w:sz w:val="21"/>
                      <w:szCs w:val="21"/>
                      <w:lang w:val="en-US" w:eastAsia="zh-CN" w:bidi="ar"/>
                    </w:rPr>
                    <w:t>相符</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360" w:lineRule="auto"/>
              <w:ind w:firstLine="482" w:firstLineChars="0"/>
              <w:jc w:val="both"/>
              <w:textAlignment w:val="auto"/>
              <w:rPr>
                <w:rFonts w:hint="default" w:ascii="Times New Roman" w:hAnsi="Times New Roman" w:eastAsia="宋体" w:cs="Times New Roman"/>
                <w:b/>
                <w:bCs/>
                <w:color w:val="auto"/>
                <w:sz w:val="24"/>
                <w:szCs w:val="24"/>
                <w:lang w:val="en-US" w:eastAsia="zh-CN"/>
              </w:rPr>
            </w:pPr>
            <w:r>
              <w:rPr>
                <w:rFonts w:hint="eastAsia" w:ascii="宋体" w:hAnsi="宋体" w:eastAsia="宋体" w:cs="宋体"/>
                <w:b/>
                <w:bCs/>
                <w:color w:val="auto"/>
                <w:sz w:val="24"/>
                <w:szCs w:val="24"/>
                <w:lang w:val="en-US" w:eastAsia="zh-CN"/>
              </w:rPr>
              <w:t>（5）</w:t>
            </w:r>
            <w:r>
              <w:rPr>
                <w:rFonts w:hint="default" w:ascii="Times New Roman" w:hAnsi="Times New Roman" w:cs="Times New Roman"/>
                <w:b/>
                <w:bCs/>
                <w:color w:val="auto"/>
                <w:sz w:val="24"/>
                <w:szCs w:val="24"/>
                <w:lang w:val="en-US" w:eastAsia="zh-CN"/>
              </w:rPr>
              <w:t>与</w:t>
            </w:r>
            <w:r>
              <w:rPr>
                <w:rFonts w:hint="default" w:ascii="Times New Roman" w:hAnsi="Times New Roman" w:cs="Times New Roman"/>
                <w:b/>
                <w:bCs/>
                <w:snapToGrid w:val="0"/>
                <w:color w:val="auto"/>
                <w:kern w:val="0"/>
                <w:sz w:val="24"/>
                <w:szCs w:val="24"/>
              </w:rPr>
              <w:t>《</w:t>
            </w:r>
            <w:r>
              <w:rPr>
                <w:rFonts w:hint="eastAsia" w:cs="Times New Roman"/>
                <w:b/>
                <w:bCs/>
                <w:snapToGrid w:val="0"/>
                <w:color w:val="auto"/>
                <w:kern w:val="0"/>
                <w:sz w:val="24"/>
                <w:szCs w:val="24"/>
                <w:lang w:eastAsia="zh-CN"/>
              </w:rPr>
              <w:t>铸造工业大气污染防治可行技术指南</w:t>
            </w:r>
            <w:r>
              <w:rPr>
                <w:rFonts w:hint="default" w:ascii="Times New Roman" w:hAnsi="Times New Roman" w:cs="Times New Roman"/>
                <w:b/>
                <w:bCs/>
                <w:snapToGrid w:val="0"/>
                <w:color w:val="auto"/>
                <w:kern w:val="0"/>
                <w:sz w:val="24"/>
                <w:szCs w:val="24"/>
              </w:rPr>
              <w:t>》（</w:t>
            </w:r>
            <w:r>
              <w:rPr>
                <w:rFonts w:hint="eastAsia" w:cs="Times New Roman"/>
                <w:b/>
                <w:bCs/>
                <w:snapToGrid w:val="0"/>
                <w:color w:val="auto"/>
                <w:kern w:val="0"/>
                <w:sz w:val="24"/>
                <w:szCs w:val="24"/>
                <w:lang w:val="en-US" w:eastAsia="zh-CN"/>
              </w:rPr>
              <w:t>HJ1292-2023</w:t>
            </w:r>
            <w:r>
              <w:rPr>
                <w:rFonts w:hint="default" w:ascii="Times New Roman" w:hAnsi="Times New Roman" w:cs="Times New Roman"/>
                <w:b/>
                <w:bCs/>
                <w:snapToGrid w:val="0"/>
                <w:color w:val="auto"/>
                <w:kern w:val="0"/>
                <w:sz w:val="24"/>
                <w:szCs w:val="24"/>
              </w:rPr>
              <w:t>）</w:t>
            </w:r>
            <w:r>
              <w:rPr>
                <w:rFonts w:hint="eastAsia" w:cs="Times New Roman"/>
                <w:b/>
                <w:bCs/>
                <w:snapToGrid w:val="0"/>
                <w:color w:val="auto"/>
                <w:kern w:val="0"/>
                <w:sz w:val="24"/>
                <w:szCs w:val="24"/>
                <w:lang w:eastAsia="zh-CN"/>
              </w:rPr>
              <w:t>、《铸造工业污染防治可行技术指南》（</w:t>
            </w:r>
            <w:r>
              <w:rPr>
                <w:rFonts w:hint="eastAsia" w:cs="Times New Roman"/>
                <w:b/>
                <w:bCs/>
                <w:snapToGrid w:val="0"/>
                <w:color w:val="auto"/>
                <w:kern w:val="0"/>
                <w:sz w:val="24"/>
                <w:szCs w:val="24"/>
                <w:lang w:val="en-US" w:eastAsia="zh-CN"/>
              </w:rPr>
              <w:t>T/CFA030823-2023</w:t>
            </w:r>
            <w:r>
              <w:rPr>
                <w:rFonts w:hint="eastAsia" w:cs="Times New Roman"/>
                <w:b/>
                <w:bCs/>
                <w:snapToGrid w:val="0"/>
                <w:color w:val="auto"/>
                <w:kern w:val="0"/>
                <w:sz w:val="24"/>
                <w:szCs w:val="24"/>
                <w:lang w:eastAsia="zh-CN"/>
              </w:rPr>
              <w:t>）</w:t>
            </w:r>
            <w:r>
              <w:rPr>
                <w:rFonts w:hint="default" w:ascii="Times New Roman" w:hAnsi="Times New Roman" w:cs="Times New Roman"/>
                <w:b/>
                <w:bCs/>
                <w:snapToGrid w:val="0"/>
                <w:color w:val="auto"/>
                <w:kern w:val="0"/>
                <w:sz w:val="24"/>
                <w:szCs w:val="24"/>
                <w:lang w:eastAsia="zh-CN"/>
              </w:rPr>
              <w:t>相符性分析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val="0"/>
                <w:color w:val="auto"/>
                <w:sz w:val="24"/>
                <w:szCs w:val="24"/>
              </w:rPr>
              <w:t>表1-</w:t>
            </w:r>
            <w:r>
              <w:rPr>
                <w:rFonts w:hint="eastAsia" w:cs="Times New Roman"/>
                <w:b/>
                <w:bCs w:val="0"/>
                <w:color w:val="auto"/>
                <w:sz w:val="24"/>
                <w:szCs w:val="24"/>
                <w:lang w:val="en-US" w:eastAsia="zh-CN"/>
              </w:rPr>
              <w:t xml:space="preserve">16 </w:t>
            </w:r>
            <w:r>
              <w:rPr>
                <w:rFonts w:hint="default" w:ascii="Times New Roman" w:hAnsi="Times New Roman" w:cs="Times New Roman"/>
                <w:b/>
                <w:bCs w:val="0"/>
                <w:color w:val="auto"/>
                <w:sz w:val="24"/>
                <w:szCs w:val="24"/>
              </w:rPr>
              <w:t>与</w:t>
            </w:r>
            <w:r>
              <w:rPr>
                <w:rFonts w:hint="default" w:ascii="Times New Roman" w:hAnsi="Times New Roman" w:cs="Times New Roman"/>
                <w:b/>
                <w:bCs/>
                <w:snapToGrid w:val="0"/>
                <w:color w:val="auto"/>
                <w:kern w:val="0"/>
                <w:sz w:val="24"/>
                <w:szCs w:val="24"/>
              </w:rPr>
              <w:t>《</w:t>
            </w:r>
            <w:r>
              <w:rPr>
                <w:rFonts w:hint="eastAsia" w:cs="Times New Roman"/>
                <w:b/>
                <w:bCs/>
                <w:snapToGrid w:val="0"/>
                <w:color w:val="auto"/>
                <w:kern w:val="0"/>
                <w:sz w:val="24"/>
                <w:szCs w:val="24"/>
                <w:lang w:eastAsia="zh-CN"/>
              </w:rPr>
              <w:t>铸造工业大气污染防治可行技术指南</w:t>
            </w:r>
            <w:r>
              <w:rPr>
                <w:rFonts w:hint="default" w:ascii="Times New Roman" w:hAnsi="Times New Roman" w:cs="Times New Roman"/>
                <w:b/>
                <w:bCs/>
                <w:snapToGrid w:val="0"/>
                <w:color w:val="auto"/>
                <w:kern w:val="0"/>
                <w:sz w:val="24"/>
                <w:szCs w:val="24"/>
              </w:rPr>
              <w:t>》（</w:t>
            </w:r>
            <w:r>
              <w:rPr>
                <w:rFonts w:hint="eastAsia" w:cs="Times New Roman"/>
                <w:b/>
                <w:bCs/>
                <w:snapToGrid w:val="0"/>
                <w:color w:val="auto"/>
                <w:kern w:val="0"/>
                <w:sz w:val="24"/>
                <w:szCs w:val="24"/>
                <w:lang w:val="en-US" w:eastAsia="zh-CN"/>
              </w:rPr>
              <w:t>HJ1292-2023</w:t>
            </w:r>
            <w:r>
              <w:rPr>
                <w:rFonts w:hint="default" w:ascii="Times New Roman" w:hAnsi="Times New Roman" w:cs="Times New Roman"/>
                <w:b/>
                <w:bCs/>
                <w:snapToGrid w:val="0"/>
                <w:color w:val="auto"/>
                <w:kern w:val="0"/>
                <w:sz w:val="24"/>
                <w:szCs w:val="24"/>
              </w:rPr>
              <w:t>）</w:t>
            </w:r>
            <w:r>
              <w:rPr>
                <w:rFonts w:hint="eastAsia" w:cs="Times New Roman"/>
                <w:b/>
                <w:bCs/>
                <w:snapToGrid w:val="0"/>
                <w:color w:val="auto"/>
                <w:kern w:val="0"/>
                <w:sz w:val="24"/>
                <w:szCs w:val="24"/>
                <w:lang w:eastAsia="zh-CN"/>
              </w:rPr>
              <w:t>、《铸造工业污染防治可行技术指南》（</w:t>
            </w:r>
            <w:r>
              <w:rPr>
                <w:rFonts w:hint="eastAsia" w:cs="Times New Roman"/>
                <w:b/>
                <w:bCs/>
                <w:snapToGrid w:val="0"/>
                <w:color w:val="auto"/>
                <w:kern w:val="0"/>
                <w:sz w:val="24"/>
                <w:szCs w:val="24"/>
                <w:lang w:val="en-US" w:eastAsia="zh-CN"/>
              </w:rPr>
              <w:t>T/CFA030823-2023</w:t>
            </w:r>
            <w:r>
              <w:rPr>
                <w:rFonts w:hint="eastAsia" w:cs="Times New Roman"/>
                <w:b/>
                <w:bCs/>
                <w:snapToGrid w:val="0"/>
                <w:color w:val="auto"/>
                <w:kern w:val="0"/>
                <w:sz w:val="24"/>
                <w:szCs w:val="24"/>
                <w:lang w:eastAsia="zh-CN"/>
              </w:rPr>
              <w:t>）</w:t>
            </w:r>
            <w:r>
              <w:rPr>
                <w:rFonts w:hint="default" w:ascii="Times New Roman" w:hAnsi="Times New Roman" w:cs="Times New Roman"/>
                <w:b/>
                <w:bCs w:val="0"/>
                <w:color w:val="auto"/>
                <w:sz w:val="24"/>
                <w:szCs w:val="24"/>
              </w:rPr>
              <w:t>相符性</w:t>
            </w:r>
            <w:r>
              <w:rPr>
                <w:rFonts w:hint="default" w:ascii="Times New Roman" w:hAnsi="Times New Roman" w:cs="Times New Roman"/>
                <w:b/>
                <w:bCs w:val="0"/>
                <w:color w:val="auto"/>
                <w:sz w:val="24"/>
                <w:szCs w:val="24"/>
                <w:lang w:eastAsia="zh-CN"/>
              </w:rPr>
              <w:t>分析</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840"/>
              <w:gridCol w:w="2375"/>
              <w:gridCol w:w="1396"/>
              <w:gridCol w:w="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6"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文件内容</w:t>
                  </w:r>
                </w:p>
              </w:tc>
              <w:tc>
                <w:tcPr>
                  <w:tcW w:w="93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本项目情况</w:t>
                  </w:r>
                </w:p>
              </w:tc>
              <w:tc>
                <w:tcPr>
                  <w:tcW w:w="45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cs="Times New Roman"/>
                      <w:b/>
                      <w:bCs/>
                      <w:color w:val="auto"/>
                      <w:sz w:val="21"/>
                      <w:szCs w:val="21"/>
                      <w:vertAlign w:val="baseline"/>
                      <w:lang w:eastAsia="zh-CN"/>
                    </w:rPr>
                    <w:t>预防技术</w:t>
                  </w:r>
                </w:p>
              </w:tc>
              <w:tc>
                <w:tcPr>
                  <w:tcW w:w="12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cs="Times New Roman"/>
                      <w:b/>
                      <w:bCs/>
                      <w:color w:val="auto"/>
                      <w:sz w:val="21"/>
                      <w:szCs w:val="21"/>
                      <w:vertAlign w:val="baseline"/>
                      <w:lang w:eastAsia="zh-CN"/>
                    </w:rPr>
                    <w:t>治理技术</w:t>
                  </w:r>
                </w:p>
              </w:tc>
              <w:tc>
                <w:tcPr>
                  <w:tcW w:w="159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cs="Times New Roman"/>
                      <w:b/>
                      <w:bCs/>
                      <w:color w:val="auto"/>
                      <w:sz w:val="21"/>
                      <w:szCs w:val="21"/>
                      <w:vertAlign w:val="baseline"/>
                      <w:lang w:eastAsia="zh-CN"/>
                    </w:rPr>
                    <w:t>技术使用条件</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cs="Times New Roman"/>
                      <w:b/>
                      <w:bCs/>
                      <w:color w:val="auto"/>
                      <w:sz w:val="21"/>
                      <w:szCs w:val="21"/>
                      <w:vertAlign w:val="baseline"/>
                      <w:lang w:eastAsia="zh-CN"/>
                    </w:rPr>
                    <w:t>污染防治可行技术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b/>
                      <w:bCs/>
                      <w:color w:val="auto"/>
                      <w:kern w:val="0"/>
                      <w:sz w:val="21"/>
                      <w:szCs w:val="21"/>
                      <w:lang w:val="en-US" w:eastAsia="zh-CN" w:bidi="ar"/>
                    </w:rPr>
                    <w:t>造型、制芯工序大气污染防治可行技术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w:t>
                  </w:r>
                </w:p>
              </w:tc>
              <w:tc>
                <w:tcPr>
                  <w:tcW w:w="1232" w:type="pct"/>
                  <w:tcBorders>
                    <w:tl2br w:val="nil"/>
                    <w:tr2bl w:val="nil"/>
                  </w:tcBorders>
                  <w:noWrap w:val="0"/>
                  <w:vAlign w:val="center"/>
                </w:tcPr>
                <w:p>
                  <w:pPr>
                    <w:bidi w:val="0"/>
                    <w:jc w:val="center"/>
                    <w:rPr>
                      <w:rFonts w:hint="default"/>
                      <w:color w:val="auto"/>
                      <w:szCs w:val="21"/>
                      <w:lang w:val="en-US" w:eastAsia="zh-CN"/>
                    </w:rPr>
                  </w:pPr>
                  <w:r>
                    <w:rPr>
                      <w:rFonts w:hint="eastAsia" w:ascii="宋体" w:hAnsi="宋体" w:eastAsia="宋体" w:cs="宋体"/>
                      <w:color w:val="auto"/>
                      <w:szCs w:val="21"/>
                      <w:lang w:eastAsia="zh-CN"/>
                    </w:rPr>
                    <w:t>①</w:t>
                  </w:r>
                  <w:r>
                    <w:rPr>
                      <w:rFonts w:hint="eastAsia"/>
                      <w:color w:val="auto"/>
                      <w:szCs w:val="21"/>
                      <w:lang w:eastAsia="zh-CN"/>
                    </w:rPr>
                    <w:t>旋风除尘技术（可选）</w:t>
                  </w:r>
                  <w:r>
                    <w:rPr>
                      <w:rFonts w:hint="eastAsia"/>
                      <w:color w:val="auto"/>
                      <w:szCs w:val="21"/>
                      <w:lang w:val="en-US" w:eastAsia="zh-CN"/>
                    </w:rPr>
                    <w:t>+</w:t>
                  </w:r>
                  <w:r>
                    <w:rPr>
                      <w:rFonts w:hint="eastAsia" w:ascii="宋体" w:hAnsi="宋体" w:eastAsia="宋体" w:cs="宋体"/>
                      <w:color w:val="auto"/>
                      <w:szCs w:val="21"/>
                      <w:lang w:val="en-US" w:eastAsia="zh-CN"/>
                    </w:rPr>
                    <w:t>②</w:t>
                  </w:r>
                  <w:r>
                    <w:rPr>
                      <w:rFonts w:hint="eastAsia"/>
                      <w:color w:val="auto"/>
                      <w:szCs w:val="21"/>
                      <w:lang w:val="en-US" w:eastAsia="zh-CN"/>
                    </w:rPr>
                    <w:t>袋式除尘技术/滤筒除尘技术</w:t>
                  </w:r>
                </w:p>
              </w:tc>
              <w:tc>
                <w:tcPr>
                  <w:tcW w:w="1590" w:type="pct"/>
                  <w:tcBorders>
                    <w:tl2br w:val="nil"/>
                    <w:tr2bl w:val="nil"/>
                  </w:tcBorders>
                  <w:noWrap w:val="0"/>
                  <w:vAlign w:val="center"/>
                </w:tcPr>
                <w:p>
                  <w:pPr>
                    <w:bidi w:val="0"/>
                    <w:jc w:val="center"/>
                    <w:rPr>
                      <w:rFonts w:hint="default"/>
                      <w:color w:val="auto"/>
                      <w:szCs w:val="21"/>
                      <w:lang w:val="en-US" w:eastAsia="zh-CN"/>
                    </w:rPr>
                  </w:pPr>
                  <w:r>
                    <w:rPr>
                      <w:rFonts w:hint="eastAsia"/>
                      <w:color w:val="auto"/>
                      <w:szCs w:val="21"/>
                      <w:lang w:eastAsia="zh-CN"/>
                    </w:rPr>
                    <w:t>适用于二氧化碳硬化水玻璃砂、无有机质粘土砂、无机粘结剂砂型工艺等铸造工艺以及消失模（真空）、</w:t>
                  </w:r>
                  <w:r>
                    <w:rPr>
                      <w:rFonts w:hint="eastAsia"/>
                      <w:color w:val="auto"/>
                      <w:szCs w:val="21"/>
                      <w:lang w:val="en-US" w:eastAsia="zh-CN"/>
                    </w:rPr>
                    <w:t>V法、熔模等铸造工艺填砂设备、制芯工序的废气治理。消失模工艺填砂设备也可使用陶瓷砂替代技术减少颗粒物的产生量</w:t>
                  </w:r>
                </w:p>
              </w:tc>
              <w:tc>
                <w:tcPr>
                  <w:tcW w:w="93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本项目</w:t>
                  </w:r>
                  <w:r>
                    <w:rPr>
                      <w:rFonts w:hint="eastAsia" w:cs="Times New Roman"/>
                      <w:color w:val="auto"/>
                      <w:sz w:val="21"/>
                      <w:szCs w:val="21"/>
                      <w:vertAlign w:val="baseline"/>
                      <w:lang w:val="en-US" w:eastAsia="zh-CN"/>
                    </w:rPr>
                    <w:t>混砂、冷芯制模</w:t>
                  </w:r>
                  <w:r>
                    <w:rPr>
                      <w:rFonts w:hint="eastAsia" w:cs="Times New Roman"/>
                      <w:color w:val="auto"/>
                      <w:sz w:val="21"/>
                      <w:szCs w:val="21"/>
                      <w:vertAlign w:val="baseline"/>
                      <w:lang w:eastAsia="zh-CN"/>
                    </w:rPr>
                    <w:t>废气经集气罩收集后通过</w:t>
                  </w:r>
                  <w:r>
                    <w:rPr>
                      <w:rFonts w:hint="eastAsia" w:cs="Times New Roman"/>
                      <w:color w:val="auto"/>
                      <w:sz w:val="21"/>
                      <w:szCs w:val="21"/>
                      <w:vertAlign w:val="baseline"/>
                      <w:lang w:val="en-US" w:eastAsia="zh-CN"/>
                    </w:rPr>
                    <w:t>布袋</w:t>
                  </w:r>
                  <w:r>
                    <w:rPr>
                      <w:rFonts w:hint="eastAsia" w:cs="Times New Roman"/>
                      <w:color w:val="auto"/>
                      <w:sz w:val="21"/>
                      <w:szCs w:val="21"/>
                      <w:vertAlign w:val="baseline"/>
                      <w:lang w:eastAsia="zh-CN"/>
                    </w:rPr>
                    <w:t>除尘器</w:t>
                  </w:r>
                  <w:r>
                    <w:rPr>
                      <w:rFonts w:hint="eastAsia" w:cs="Times New Roman"/>
                      <w:color w:val="auto"/>
                      <w:sz w:val="21"/>
                      <w:szCs w:val="21"/>
                      <w:vertAlign w:val="baseline"/>
                      <w:lang w:val="en-US" w:eastAsia="zh-CN"/>
                    </w:rPr>
                    <w:t>+磷酸喷淋塔+除雾器+二级活性炭吸附装置处理后经20m高排气筒高空排放。</w:t>
                  </w:r>
                </w:p>
              </w:tc>
              <w:tc>
                <w:tcPr>
                  <w:tcW w:w="45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Merge w:val="restar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改性树脂粘结剂（含固化剂）替代技术（可选）、陶瓷砂替代技术（可选）</w:t>
                  </w:r>
                </w:p>
              </w:tc>
              <w:tc>
                <w:tcPr>
                  <w:tcW w:w="1232" w:type="pct"/>
                  <w:tcBorders>
                    <w:tl2br w:val="nil"/>
                    <w:tr2bl w:val="nil"/>
                  </w:tcBorders>
                  <w:noWrap w:val="0"/>
                  <w:vAlign w:val="center"/>
                </w:tcPr>
                <w:p>
                  <w:pPr>
                    <w:bidi w:val="0"/>
                    <w:jc w:val="center"/>
                    <w:rPr>
                      <w:rFonts w:hint="default"/>
                      <w:color w:val="auto"/>
                      <w:szCs w:val="21"/>
                      <w:lang w:val="en-US" w:eastAsia="zh-CN"/>
                    </w:rPr>
                  </w:pPr>
                  <w:r>
                    <w:rPr>
                      <w:rFonts w:hint="eastAsia" w:ascii="宋体" w:hAnsi="宋体" w:eastAsia="宋体" w:cs="宋体"/>
                      <w:color w:val="auto"/>
                      <w:szCs w:val="21"/>
                      <w:lang w:eastAsia="zh-CN"/>
                    </w:rPr>
                    <w:t>①</w:t>
                  </w:r>
                  <w:r>
                    <w:rPr>
                      <w:rFonts w:hint="eastAsia"/>
                      <w:color w:val="auto"/>
                      <w:szCs w:val="21"/>
                      <w:lang w:eastAsia="zh-CN"/>
                    </w:rPr>
                    <w:t>旋风除尘技术（可选）</w:t>
                  </w:r>
                  <w:r>
                    <w:rPr>
                      <w:rFonts w:hint="eastAsia"/>
                      <w:color w:val="auto"/>
                      <w:szCs w:val="21"/>
                      <w:lang w:val="en-US" w:eastAsia="zh-CN"/>
                    </w:rPr>
                    <w:t>+</w:t>
                  </w:r>
                  <w:r>
                    <w:rPr>
                      <w:rFonts w:hint="eastAsia" w:ascii="宋体" w:hAnsi="宋体" w:eastAsia="宋体" w:cs="宋体"/>
                      <w:color w:val="auto"/>
                      <w:szCs w:val="21"/>
                      <w:lang w:val="en-US" w:eastAsia="zh-CN"/>
                    </w:rPr>
                    <w:t>②</w:t>
                  </w:r>
                  <w:r>
                    <w:rPr>
                      <w:rFonts w:hint="eastAsia"/>
                      <w:color w:val="auto"/>
                      <w:szCs w:val="21"/>
                      <w:lang w:val="en-US" w:eastAsia="zh-CN"/>
                    </w:rPr>
                    <w:t>袋式除尘技术/滤筒除尘技术+</w:t>
                  </w:r>
                  <w:r>
                    <w:rPr>
                      <w:rFonts w:hint="eastAsia" w:ascii="宋体" w:hAnsi="宋体" w:eastAsia="宋体" w:cs="宋体"/>
                      <w:color w:val="auto"/>
                      <w:szCs w:val="21"/>
                      <w:lang w:val="en-US" w:eastAsia="zh-CN"/>
                    </w:rPr>
                    <w:t>⑥</w:t>
                  </w:r>
                  <w:r>
                    <w:rPr>
                      <w:rFonts w:hint="eastAsia"/>
                      <w:color w:val="auto"/>
                      <w:szCs w:val="21"/>
                      <w:lang w:val="en-US" w:eastAsia="zh-CN"/>
                    </w:rPr>
                    <w:t>固定床吸附技术</w:t>
                  </w:r>
                </w:p>
              </w:tc>
              <w:tc>
                <w:tcPr>
                  <w:tcW w:w="1590"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适用于树脂砂、热芯盒等使用有机粘结剂的铸造工艺造型产生的废气治理</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Merge w:val="continue"/>
                  <w:tcBorders>
                    <w:tl2br w:val="nil"/>
                    <w:tr2bl w:val="nil"/>
                  </w:tcBorders>
                  <w:noWrap w:val="0"/>
                  <w:vAlign w:val="center"/>
                </w:tcPr>
                <w:p>
                  <w:pPr>
                    <w:bidi w:val="0"/>
                    <w:jc w:val="center"/>
                    <w:rPr>
                      <w:rFonts w:hint="default"/>
                      <w:color w:val="auto"/>
                      <w:szCs w:val="21"/>
                      <w:lang w:eastAsia="zh-CN"/>
                    </w:rPr>
                  </w:pPr>
                </w:p>
              </w:tc>
              <w:tc>
                <w:tcPr>
                  <w:tcW w:w="1232"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化学吸收法技术（酸碱中和技术）</w:t>
                  </w:r>
                </w:p>
              </w:tc>
              <w:tc>
                <w:tcPr>
                  <w:tcW w:w="1590"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适用于三乙胺催化硬化冷芯盒法制芯工序，常用的中和介质为磷酸、草酸、盐酸等。该技术需定期或自动添加中和介质使用</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vMerge w:val="continue"/>
                  <w:tcBorders>
                    <w:tl2br w:val="nil"/>
                    <w:tr2bl w:val="nil"/>
                  </w:tcBorders>
                  <w:noWrap w:val="0"/>
                  <w:vAlign w:val="center"/>
                </w:tcPr>
                <w:p>
                  <w:pPr>
                    <w:bidi w:val="0"/>
                    <w:jc w:val="center"/>
                    <w:rPr>
                      <w:rFonts w:hint="default"/>
                      <w:color w:val="auto"/>
                      <w:szCs w:val="21"/>
                      <w:lang w:eastAsia="zh-CN"/>
                    </w:rPr>
                  </w:pPr>
                </w:p>
              </w:tc>
              <w:tc>
                <w:tcPr>
                  <w:tcW w:w="1232" w:type="pct"/>
                  <w:tcBorders>
                    <w:tl2br w:val="nil"/>
                    <w:tr2bl w:val="nil"/>
                  </w:tcBorders>
                  <w:noWrap w:val="0"/>
                  <w:vAlign w:val="center"/>
                </w:tcPr>
                <w:p>
                  <w:pPr>
                    <w:bidi w:val="0"/>
                    <w:jc w:val="center"/>
                    <w:rPr>
                      <w:rFonts w:hint="default"/>
                      <w:color w:val="auto"/>
                      <w:szCs w:val="21"/>
                      <w:lang w:val="en-US" w:eastAsia="zh-CN"/>
                    </w:rPr>
                  </w:pPr>
                  <w:r>
                    <w:rPr>
                      <w:rFonts w:hint="eastAsia" w:ascii="宋体" w:hAnsi="宋体" w:eastAsia="宋体" w:cs="宋体"/>
                      <w:color w:val="auto"/>
                      <w:szCs w:val="21"/>
                      <w:lang w:eastAsia="zh-CN"/>
                    </w:rPr>
                    <w:t>①</w:t>
                  </w:r>
                  <w:r>
                    <w:rPr>
                      <w:rFonts w:hint="eastAsia"/>
                      <w:color w:val="auto"/>
                      <w:szCs w:val="21"/>
                      <w:lang w:val="en-US" w:eastAsia="zh-CN"/>
                    </w:rPr>
                    <w:t>袋式除尘技术/滤筒除尘技术+</w:t>
                  </w:r>
                  <w:r>
                    <w:rPr>
                      <w:rFonts w:hint="eastAsia" w:ascii="宋体" w:hAnsi="宋体" w:eastAsia="宋体" w:cs="宋体"/>
                      <w:color w:val="auto"/>
                      <w:szCs w:val="21"/>
                      <w:lang w:val="en-US" w:eastAsia="zh-CN"/>
                    </w:rPr>
                    <w:t>②</w:t>
                  </w:r>
                  <w:r>
                    <w:rPr>
                      <w:rFonts w:hint="eastAsia"/>
                      <w:color w:val="auto"/>
                      <w:szCs w:val="21"/>
                      <w:lang w:val="en-US" w:eastAsia="zh-CN"/>
                    </w:rPr>
                    <w:t>物理吸收法技术</w:t>
                  </w:r>
                </w:p>
              </w:tc>
              <w:tc>
                <w:tcPr>
                  <w:tcW w:w="1590"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适用于热芯盒法制芯工序。该技术需配合吸收介质再生技术使用</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w:t>
                  </w:r>
                </w:p>
              </w:tc>
              <w:tc>
                <w:tcPr>
                  <w:tcW w:w="1232" w:type="pct"/>
                  <w:tcBorders>
                    <w:tl2br w:val="nil"/>
                    <w:tr2bl w:val="nil"/>
                  </w:tcBorders>
                  <w:noWrap w:val="0"/>
                  <w:vAlign w:val="center"/>
                </w:tcPr>
                <w:p>
                  <w:pPr>
                    <w:bidi w:val="0"/>
                    <w:jc w:val="center"/>
                    <w:rPr>
                      <w:rFonts w:hint="default"/>
                      <w:color w:val="auto"/>
                      <w:szCs w:val="21"/>
                      <w:lang w:eastAsia="zh-CN"/>
                    </w:rPr>
                  </w:pPr>
                  <w:r>
                    <w:rPr>
                      <w:rFonts w:hint="eastAsia" w:ascii="宋体" w:hAnsi="宋体" w:eastAsia="宋体" w:cs="宋体"/>
                      <w:color w:val="auto"/>
                      <w:szCs w:val="21"/>
                      <w:lang w:eastAsia="zh-CN"/>
                    </w:rPr>
                    <w:t>①</w:t>
                  </w:r>
                  <w:r>
                    <w:rPr>
                      <w:rFonts w:hint="eastAsia"/>
                      <w:color w:val="auto"/>
                      <w:szCs w:val="21"/>
                      <w:lang w:eastAsia="zh-CN"/>
                    </w:rPr>
                    <w:t>旋风除尘技术（可选）</w:t>
                  </w:r>
                  <w:r>
                    <w:rPr>
                      <w:rFonts w:hint="eastAsia"/>
                      <w:color w:val="auto"/>
                      <w:szCs w:val="21"/>
                      <w:lang w:val="en-US" w:eastAsia="zh-CN"/>
                    </w:rPr>
                    <w:t>+</w:t>
                  </w:r>
                  <w:r>
                    <w:rPr>
                      <w:rFonts w:hint="eastAsia" w:ascii="宋体" w:hAnsi="宋体" w:eastAsia="宋体" w:cs="宋体"/>
                      <w:color w:val="auto"/>
                      <w:szCs w:val="21"/>
                      <w:lang w:val="en-US" w:eastAsia="zh-CN"/>
                    </w:rPr>
                    <w:t>②</w:t>
                  </w:r>
                  <w:r>
                    <w:rPr>
                      <w:rFonts w:hint="eastAsia"/>
                      <w:color w:val="auto"/>
                      <w:szCs w:val="21"/>
                      <w:lang w:val="en-US" w:eastAsia="zh-CN"/>
                    </w:rPr>
                    <w:t>袋式除尘技术/滤筒除尘技术+</w:t>
                  </w:r>
                  <w:r>
                    <w:rPr>
                      <w:rFonts w:hint="eastAsia" w:ascii="宋体" w:hAnsi="宋体" w:eastAsia="宋体" w:cs="宋体"/>
                      <w:color w:val="auto"/>
                      <w:szCs w:val="21"/>
                      <w:lang w:val="en-US" w:eastAsia="zh-CN"/>
                    </w:rPr>
                    <w:t>⑥</w:t>
                  </w:r>
                  <w:r>
                    <w:rPr>
                      <w:rFonts w:hint="eastAsia"/>
                      <w:color w:val="auto"/>
                      <w:szCs w:val="21"/>
                      <w:lang w:val="en-US" w:eastAsia="zh-CN"/>
                    </w:rPr>
                    <w:t>固定床吸附技术</w:t>
                  </w:r>
                </w:p>
              </w:tc>
              <w:tc>
                <w:tcPr>
                  <w:tcW w:w="1590" w:type="pct"/>
                  <w:tcBorders>
                    <w:tl2br w:val="nil"/>
                    <w:tr2bl w:val="nil"/>
                  </w:tcBorders>
                  <w:noWrap w:val="0"/>
                  <w:vAlign w:val="center"/>
                </w:tcPr>
                <w:p>
                  <w:pPr>
                    <w:bidi w:val="0"/>
                    <w:jc w:val="center"/>
                    <w:rPr>
                      <w:rFonts w:hint="default"/>
                      <w:color w:val="auto"/>
                      <w:szCs w:val="21"/>
                      <w:lang w:val="en-US" w:eastAsia="zh-CN"/>
                    </w:rPr>
                  </w:pPr>
                  <w:r>
                    <w:rPr>
                      <w:rFonts w:hint="eastAsia"/>
                      <w:color w:val="auto"/>
                      <w:szCs w:val="21"/>
                      <w:lang w:eastAsia="zh-CN"/>
                    </w:rPr>
                    <w:t>适用于熔模铸造工艺造型工序中有</w:t>
                  </w:r>
                  <w:r>
                    <w:rPr>
                      <w:rFonts w:hint="eastAsia"/>
                      <w:color w:val="auto"/>
                      <w:szCs w:val="21"/>
                      <w:lang w:val="en-US" w:eastAsia="zh-CN"/>
                    </w:rPr>
                    <w:t>VOCs产生的环节和树脂砂、壳型醇基涂料涂覆，如蜡模制造、脱蜡、模壳焙烧等。经浓缩的废气也可通过催化燃烧技术进一步处理</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无机粘结剂替代技术（含固化剂）</w:t>
                  </w:r>
                </w:p>
              </w:tc>
              <w:tc>
                <w:tcPr>
                  <w:tcW w:w="1232" w:type="pct"/>
                  <w:tcBorders>
                    <w:tl2br w:val="nil"/>
                    <w:tr2bl w:val="nil"/>
                  </w:tcBorders>
                  <w:noWrap w:val="0"/>
                  <w:vAlign w:val="center"/>
                </w:tcPr>
                <w:p>
                  <w:pPr>
                    <w:bidi w:val="0"/>
                    <w:jc w:val="center"/>
                    <w:rPr>
                      <w:rFonts w:hint="default"/>
                      <w:color w:val="auto"/>
                      <w:szCs w:val="21"/>
                      <w:lang w:val="en-US" w:eastAsia="zh-CN"/>
                    </w:rPr>
                  </w:pPr>
                  <w:r>
                    <w:rPr>
                      <w:rFonts w:hint="eastAsia"/>
                      <w:color w:val="auto"/>
                      <w:szCs w:val="21"/>
                      <w:lang w:eastAsia="zh-CN"/>
                    </w:rPr>
                    <w:t>袋式除尘技术</w:t>
                  </w:r>
                  <w:r>
                    <w:rPr>
                      <w:rFonts w:hint="eastAsia"/>
                      <w:color w:val="auto"/>
                      <w:szCs w:val="21"/>
                      <w:lang w:val="en-US" w:eastAsia="zh-CN"/>
                    </w:rPr>
                    <w:t>/滤筒除尘技术</w:t>
                  </w:r>
                </w:p>
              </w:tc>
              <w:tc>
                <w:tcPr>
                  <w:tcW w:w="1590"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适用于多种粘结剂砂型工艺，可部分替代热芯盒法、冷芯盒法、自硬砂法造型和制芯等</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微量喷涂技术（可选）</w:t>
                  </w:r>
                </w:p>
              </w:tc>
              <w:tc>
                <w:tcPr>
                  <w:tcW w:w="1232" w:type="pct"/>
                  <w:tcBorders>
                    <w:tl2br w:val="nil"/>
                    <w:tr2bl w:val="nil"/>
                  </w:tcBorders>
                  <w:noWrap w:val="0"/>
                  <w:vAlign w:val="center"/>
                </w:tcPr>
                <w:p>
                  <w:pPr>
                    <w:bidi w:val="0"/>
                    <w:jc w:val="center"/>
                    <w:rPr>
                      <w:rFonts w:hint="default"/>
                      <w:color w:val="auto"/>
                      <w:szCs w:val="21"/>
                      <w:lang w:val="en-US" w:eastAsia="zh-CN"/>
                    </w:rPr>
                  </w:pPr>
                  <w:r>
                    <w:rPr>
                      <w:rFonts w:hint="eastAsia"/>
                      <w:color w:val="auto"/>
                      <w:szCs w:val="21"/>
                      <w:lang w:eastAsia="zh-CN"/>
                    </w:rPr>
                    <w:t>机械过滤技术</w:t>
                  </w:r>
                  <w:r>
                    <w:rPr>
                      <w:rFonts w:hint="eastAsia"/>
                      <w:color w:val="auto"/>
                      <w:szCs w:val="21"/>
                      <w:lang w:val="en-US" w:eastAsia="zh-CN"/>
                    </w:rPr>
                    <w:t>/滤筒除尘技术</w:t>
                  </w:r>
                </w:p>
              </w:tc>
              <w:tc>
                <w:tcPr>
                  <w:tcW w:w="1590"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适用于压力铸造（压铸）脱模剂喷涂废气处理</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水基铸型涂料替代技术</w:t>
                  </w:r>
                </w:p>
              </w:tc>
              <w:tc>
                <w:tcPr>
                  <w:tcW w:w="1232" w:type="pct"/>
                  <w:tcBorders>
                    <w:tl2br w:val="nil"/>
                    <w:tr2bl w:val="nil"/>
                  </w:tcBorders>
                  <w:noWrap w:val="0"/>
                  <w:vAlign w:val="center"/>
                </w:tcPr>
                <w:p>
                  <w:pPr>
                    <w:bidi w:val="0"/>
                    <w:jc w:val="center"/>
                    <w:rPr>
                      <w:rFonts w:hint="default"/>
                      <w:color w:val="auto"/>
                      <w:szCs w:val="21"/>
                      <w:lang w:val="en-US" w:eastAsia="zh-CN"/>
                    </w:rPr>
                  </w:pPr>
                  <w:r>
                    <w:rPr>
                      <w:rFonts w:hint="eastAsia"/>
                      <w:color w:val="auto"/>
                      <w:szCs w:val="21"/>
                      <w:lang w:eastAsia="zh-CN"/>
                    </w:rPr>
                    <w:t>袋式除尘技术</w:t>
                  </w:r>
                  <w:r>
                    <w:rPr>
                      <w:rFonts w:hint="eastAsia"/>
                      <w:color w:val="auto"/>
                      <w:szCs w:val="21"/>
                      <w:lang w:val="en-US" w:eastAsia="zh-CN"/>
                    </w:rPr>
                    <w:t>/滤筒除尘技术</w:t>
                  </w:r>
                </w:p>
              </w:tc>
              <w:tc>
                <w:tcPr>
                  <w:tcW w:w="1590" w:type="pct"/>
                  <w:tcBorders>
                    <w:tl2br w:val="nil"/>
                    <w:tr2bl w:val="nil"/>
                  </w:tcBorders>
                  <w:noWrap w:val="0"/>
                  <w:vAlign w:val="center"/>
                </w:tcPr>
                <w:p>
                  <w:pPr>
                    <w:bidi w:val="0"/>
                    <w:jc w:val="center"/>
                    <w:rPr>
                      <w:rFonts w:hint="default"/>
                      <w:color w:val="auto"/>
                      <w:szCs w:val="21"/>
                      <w:lang w:eastAsia="zh-CN"/>
                    </w:rPr>
                  </w:pPr>
                  <w:r>
                    <w:rPr>
                      <w:rFonts w:hint="eastAsia"/>
                      <w:color w:val="auto"/>
                      <w:szCs w:val="21"/>
                      <w:lang w:eastAsia="zh-CN"/>
                    </w:rPr>
                    <w:t>适用于树脂砂、热芯盒、冷芯盒等工艺替代醇基铸型涂料涂覆。治理技术适用于天然气烘干设备</w:t>
                  </w:r>
                </w:p>
              </w:tc>
              <w:tc>
                <w:tcPr>
                  <w:tcW w:w="93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eastAsia="zh-CN"/>
                    </w:rPr>
                  </w:pPr>
                </w:p>
              </w:tc>
              <w:tc>
                <w:tcPr>
                  <w:tcW w:w="4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cs="Times New Roman"/>
                      <w:b/>
                      <w:bCs/>
                      <w:color w:val="auto"/>
                      <w:kern w:val="0"/>
                      <w:sz w:val="21"/>
                      <w:szCs w:val="21"/>
                      <w:lang w:val="en-US" w:eastAsia="zh-CN" w:bidi="ar"/>
                    </w:rPr>
                    <w:t>无组织排放控制技术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6" w:type="pct"/>
                  <w:gridSpan w:val="3"/>
                  <w:tcBorders>
                    <w:tl2br w:val="nil"/>
                    <w:tr2bl w:val="nil"/>
                  </w:tcBorders>
                  <w:noWrap w:val="0"/>
                  <w:vAlign w:val="center"/>
                </w:tcPr>
                <w:p>
                  <w:pPr>
                    <w:bidi w:val="0"/>
                    <w:jc w:val="both"/>
                    <w:rPr>
                      <w:rFonts w:hint="eastAsia"/>
                      <w:color w:val="auto"/>
                      <w:szCs w:val="21"/>
                      <w:lang w:val="en-US" w:eastAsia="zh-CN"/>
                    </w:rPr>
                  </w:pPr>
                  <w:r>
                    <w:rPr>
                      <w:rFonts w:hint="eastAsia" w:cs="Times New Roman"/>
                      <w:color w:val="auto"/>
                      <w:szCs w:val="21"/>
                      <w:vertAlign w:val="baseline"/>
                      <w:lang w:val="en-US" w:eastAsia="zh-CN"/>
                    </w:rPr>
                    <w:t>7.1物料储存</w:t>
                  </w:r>
                  <w:r>
                    <w:rPr>
                      <w:rFonts w:hint="eastAsia"/>
                      <w:color w:val="auto"/>
                      <w:szCs w:val="21"/>
                      <w:lang w:val="en-US" w:eastAsia="zh-CN"/>
                    </w:rPr>
                    <w:t>过程控制</w:t>
                  </w:r>
                </w:p>
                <w:p>
                  <w:pPr>
                    <w:bidi w:val="0"/>
                    <w:jc w:val="both"/>
                    <w:rPr>
                      <w:rFonts w:hint="eastAsia"/>
                      <w:color w:val="auto"/>
                      <w:szCs w:val="21"/>
                      <w:lang w:val="en-US" w:eastAsia="zh-CN"/>
                    </w:rPr>
                  </w:pPr>
                  <w:r>
                    <w:rPr>
                      <w:rFonts w:hint="eastAsia"/>
                      <w:color w:val="auto"/>
                      <w:szCs w:val="21"/>
                      <w:lang w:val="en-US" w:eastAsia="zh-CN"/>
                    </w:rPr>
                    <w:t>7.1.1煤粉、膨润土等粉状物料和硅砂应袋装或罐装，并储存于封闭储库或半封闭料场（堆棚）中，半封闭料场（堆棚）应至少两面有围墙（围挡）及屋顶</w:t>
                  </w:r>
                </w:p>
                <w:p>
                  <w:pPr>
                    <w:bidi w:val="0"/>
                    <w:jc w:val="both"/>
                    <w:rPr>
                      <w:rFonts w:hint="eastAsia"/>
                      <w:color w:val="auto"/>
                      <w:szCs w:val="21"/>
                      <w:lang w:val="en-US" w:eastAsia="zh-CN"/>
                    </w:rPr>
                  </w:pPr>
                  <w:r>
                    <w:rPr>
                      <w:rFonts w:hint="eastAsia"/>
                      <w:color w:val="auto"/>
                      <w:szCs w:val="21"/>
                      <w:lang w:val="en-US" w:eastAsia="zh-CN"/>
                    </w:rPr>
                    <w:t>7.1.2生铁、废钢、铝合金锭、镁合金锭、铜合金锭、焦炭和铁合金等粒状、块状散装物料应储存于封闭储库、料仓中或储存于半封闭料场（堆棚）中，或四周设置防风抑尘网、挡风墙，或采取覆盖措施、半封闭料场（堆棚）应至少两面有围墙（围挡）及屋顶；防风抑尘网、挡风墙高度应不低于堆存物料高度的1.1倍</w:t>
                  </w:r>
                </w:p>
                <w:p>
                  <w:pPr>
                    <w:bidi w:val="0"/>
                    <w:jc w:val="both"/>
                    <w:rPr>
                      <w:rFonts w:hint="default"/>
                      <w:color w:val="auto"/>
                      <w:szCs w:val="21"/>
                      <w:lang w:val="en-US" w:eastAsia="zh-CN"/>
                    </w:rPr>
                  </w:pPr>
                  <w:r>
                    <w:rPr>
                      <w:rFonts w:hint="eastAsia"/>
                      <w:color w:val="auto"/>
                      <w:szCs w:val="21"/>
                      <w:lang w:val="en-US" w:eastAsia="zh-CN"/>
                    </w:rPr>
                    <w:t>7.1.3醇基涂料、树脂。固化剂、稀释剂、清洗剂等VOCs物料应储存于密闭的容器、包装袋、储库中；盛装VOCs物料的容器或包装袋应存放于室内，或存放于设置有雨棚、遮阳和防渗设施的专用场地。盛装VOCs物料的容器或包装袋在非取用状态时应加盖、封口，保持密闭。敞开液面VOCs无组织排放控制要求，应符合GB37822的规定。</w:t>
                  </w:r>
                </w:p>
              </w:tc>
              <w:tc>
                <w:tcPr>
                  <w:tcW w:w="9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b w:val="0"/>
                      <w:bCs w:val="0"/>
                      <w:color w:val="auto"/>
                      <w:kern w:val="0"/>
                      <w:sz w:val="21"/>
                      <w:szCs w:val="21"/>
                      <w:lang w:val="en-US" w:eastAsia="zh-CN" w:bidi="ar"/>
                    </w:rPr>
                    <w:t>粉状物料袋装储存，储存于半封闭储库内；</w:t>
                  </w:r>
                  <w:r>
                    <w:rPr>
                      <w:rFonts w:hint="eastAsia" w:cs="Times New Roman"/>
                      <w:b w:val="0"/>
                      <w:bCs w:val="0"/>
                      <w:color w:val="auto"/>
                      <w:kern w:val="0"/>
                      <w:sz w:val="21"/>
                      <w:szCs w:val="21"/>
                      <w:lang w:val="en-US" w:eastAsia="zh-CN" w:bidi="ar"/>
                    </w:rPr>
                    <w:t>粒状、</w:t>
                  </w:r>
                  <w:r>
                    <w:rPr>
                      <w:rFonts w:hint="eastAsia" w:ascii="Times New Roman" w:hAnsi="Times New Roman" w:eastAsia="宋体" w:cs="Times New Roman"/>
                      <w:b w:val="0"/>
                      <w:bCs w:val="0"/>
                      <w:color w:val="auto"/>
                      <w:kern w:val="0"/>
                      <w:sz w:val="21"/>
                      <w:szCs w:val="21"/>
                      <w:lang w:val="en-US" w:eastAsia="zh-CN" w:bidi="ar"/>
                    </w:rPr>
                    <w:t>块状物料储存于半封闭料场内。企业定期进行洒水抑尘，保持清洁。</w:t>
                  </w:r>
                  <w:r>
                    <w:rPr>
                      <w:rFonts w:hint="eastAsia" w:cs="Times New Roman"/>
                      <w:b w:val="0"/>
                      <w:bCs w:val="0"/>
                      <w:color w:val="auto"/>
                      <w:kern w:val="0"/>
                      <w:sz w:val="21"/>
                      <w:szCs w:val="21"/>
                      <w:lang w:val="en-US" w:eastAsia="zh-CN" w:bidi="ar"/>
                    </w:rPr>
                    <w:t>三乙胺等VOCs物料储存于密闭容器内，容器放置在仓库内，在非取用状态时保持密闭</w:t>
                  </w:r>
                  <w:r>
                    <w:rPr>
                      <w:rFonts w:hint="eastAsia" w:cs="Times New Roman"/>
                      <w:color w:val="auto"/>
                      <w:kern w:val="0"/>
                      <w:sz w:val="21"/>
                      <w:szCs w:val="21"/>
                      <w:lang w:val="en-US" w:eastAsia="zh-CN" w:bidi="ar"/>
                    </w:rPr>
                    <w:t>。</w:t>
                  </w:r>
                </w:p>
              </w:tc>
              <w:tc>
                <w:tcPr>
                  <w:tcW w:w="4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6"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7.2物料运输和转移过程控制措施</w:t>
                  </w:r>
                </w:p>
                <w:p>
                  <w:pPr>
                    <w:bidi w:val="0"/>
                    <w:jc w:val="both"/>
                    <w:rPr>
                      <w:rFonts w:hint="eastAsia"/>
                      <w:color w:val="auto"/>
                      <w:szCs w:val="21"/>
                      <w:lang w:val="en-US" w:eastAsia="zh-CN"/>
                    </w:rPr>
                  </w:pPr>
                  <w:r>
                    <w:rPr>
                      <w:rFonts w:hint="default"/>
                      <w:color w:val="auto"/>
                      <w:szCs w:val="21"/>
                      <w:lang w:val="en-US" w:eastAsia="zh-CN"/>
                    </w:rPr>
                    <w:t>7.2. 1铸造用砂、混配土等粉状物料应采用气力输送设备、管状或带式输送机、螺旋输送机、吨包袋密封装盛等密闭方式输送</w:t>
                  </w:r>
                  <w:r>
                    <w:rPr>
                      <w:rFonts w:hint="eastAsia"/>
                      <w:color w:val="auto"/>
                      <w:szCs w:val="21"/>
                      <w:lang w:val="en-US" w:eastAsia="zh-CN"/>
                    </w:rPr>
                    <w:t>：</w:t>
                  </w:r>
                  <w:r>
                    <w:rPr>
                      <w:rFonts w:hint="default"/>
                      <w:color w:val="auto"/>
                      <w:szCs w:val="21"/>
                      <w:lang w:val="en-US" w:eastAsia="zh-CN"/>
                    </w:rPr>
                    <w:t>粒状、块状散装物料采用封闭通廊的皮带、管状或带式输送机、吨包袋密封装盛等封闭方式输送，并减少转运点和缩短输送距离</w:t>
                  </w:r>
                  <w:r>
                    <w:rPr>
                      <w:rFonts w:hint="eastAsia"/>
                      <w:color w:val="auto"/>
                      <w:szCs w:val="21"/>
                      <w:lang w:val="en-US" w:eastAsia="zh-CN"/>
                    </w:rPr>
                    <w:t>。</w:t>
                  </w:r>
                </w:p>
                <w:p>
                  <w:pPr>
                    <w:bidi w:val="0"/>
                    <w:jc w:val="both"/>
                    <w:rPr>
                      <w:rFonts w:hint="default"/>
                      <w:color w:val="auto"/>
                      <w:szCs w:val="21"/>
                      <w:lang w:val="en-US" w:eastAsia="zh-CN"/>
                    </w:rPr>
                  </w:pPr>
                  <w:r>
                    <w:rPr>
                      <w:rFonts w:hint="default"/>
                      <w:color w:val="auto"/>
                      <w:szCs w:val="21"/>
                      <w:lang w:val="en-US" w:eastAsia="zh-CN"/>
                    </w:rPr>
                    <w:t>7.2.2粉状物料的运输车辆采用密闭罐车</w:t>
                  </w:r>
                  <w:r>
                    <w:rPr>
                      <w:rFonts w:hint="eastAsia"/>
                      <w:color w:val="auto"/>
                      <w:szCs w:val="21"/>
                      <w:lang w:val="en-US" w:eastAsia="zh-CN"/>
                    </w:rPr>
                    <w:t>：</w:t>
                  </w:r>
                  <w:r>
                    <w:rPr>
                      <w:rFonts w:hint="default"/>
                      <w:color w:val="auto"/>
                      <w:szCs w:val="21"/>
                      <w:lang w:val="en-US" w:eastAsia="zh-CN"/>
                    </w:rPr>
                    <w:t>粒状、块状散装物料的运输车辆采用封闭车厢或</w:t>
                  </w:r>
                  <w:r>
                    <w:rPr>
                      <w:rFonts w:hint="eastAsia"/>
                      <w:color w:val="auto"/>
                      <w:szCs w:val="21"/>
                      <w:lang w:val="en-US" w:eastAsia="zh-CN"/>
                    </w:rPr>
                    <w:t>加盖</w:t>
                  </w:r>
                  <w:r>
                    <w:rPr>
                      <w:rFonts w:hint="default"/>
                      <w:color w:val="auto"/>
                      <w:szCs w:val="21"/>
                      <w:lang w:val="en-US" w:eastAsia="zh-CN"/>
                    </w:rPr>
                    <w:t>严密。</w:t>
                  </w:r>
                </w:p>
                <w:p>
                  <w:pPr>
                    <w:bidi w:val="0"/>
                    <w:jc w:val="both"/>
                    <w:rPr>
                      <w:rFonts w:hint="default"/>
                      <w:color w:val="auto"/>
                      <w:szCs w:val="21"/>
                      <w:lang w:val="en-US" w:eastAsia="zh-CN"/>
                    </w:rPr>
                  </w:pPr>
                  <w:r>
                    <w:rPr>
                      <w:rFonts w:hint="default"/>
                      <w:color w:val="auto"/>
                      <w:szCs w:val="21"/>
                      <w:lang w:val="en-US" w:eastAsia="zh-CN"/>
                    </w:rPr>
                    <w:t>7.2.3 除尘器卸灰口应采取密闭措施，除尘灰采取袋装、罐装等密闭方式收集、存放和运输，不得直接卸落到地面。</w:t>
                  </w:r>
                </w:p>
                <w:p>
                  <w:pPr>
                    <w:bidi w:val="0"/>
                    <w:jc w:val="both"/>
                    <w:rPr>
                      <w:rFonts w:hint="default"/>
                      <w:color w:val="auto"/>
                      <w:szCs w:val="21"/>
                      <w:lang w:val="en-US" w:eastAsia="zh-CN"/>
                    </w:rPr>
                  </w:pPr>
                  <w:r>
                    <w:rPr>
                      <w:rFonts w:hint="default"/>
                      <w:color w:val="auto"/>
                      <w:szCs w:val="21"/>
                      <w:lang w:val="en-US" w:eastAsia="zh-CN"/>
                    </w:rPr>
                    <w:t>7.2.4 转移、输送过程中产尘点应采取集气除尘措施，或喷淋</w:t>
                  </w:r>
                  <w:r>
                    <w:rPr>
                      <w:rFonts w:hint="eastAsia"/>
                      <w:color w:val="auto"/>
                      <w:szCs w:val="21"/>
                      <w:lang w:val="en-US" w:eastAsia="zh-CN"/>
                    </w:rPr>
                    <w:t>（</w:t>
                  </w:r>
                  <w:r>
                    <w:rPr>
                      <w:rFonts w:hint="default"/>
                      <w:color w:val="auto"/>
                      <w:szCs w:val="21"/>
                      <w:lang w:val="en-US" w:eastAsia="zh-CN"/>
                    </w:rPr>
                    <w:t>雾</w:t>
                  </w:r>
                  <w:r>
                    <w:rPr>
                      <w:rFonts w:hint="eastAsia"/>
                      <w:color w:val="auto"/>
                      <w:szCs w:val="21"/>
                      <w:lang w:val="en-US" w:eastAsia="zh-CN"/>
                    </w:rPr>
                    <w:t>）</w:t>
                  </w:r>
                  <w:r>
                    <w:rPr>
                      <w:rFonts w:hint="default"/>
                      <w:color w:val="auto"/>
                      <w:szCs w:val="21"/>
                      <w:lang w:val="en-US" w:eastAsia="zh-CN"/>
                    </w:rPr>
                    <w:t>等抑尘措施。固定作业的产尘点宜优先采用收尘技术，在不影响生产和安全的前提下，尽量提高收尘罩的密闭性</w:t>
                  </w:r>
                  <w:r>
                    <w:rPr>
                      <w:rFonts w:hint="eastAsia"/>
                      <w:color w:val="auto"/>
                      <w:szCs w:val="21"/>
                      <w:lang w:val="en-US" w:eastAsia="zh-CN"/>
                    </w:rPr>
                    <w:t>：</w:t>
                  </w:r>
                  <w:r>
                    <w:rPr>
                      <w:rFonts w:hint="default"/>
                      <w:color w:val="auto"/>
                      <w:szCs w:val="21"/>
                      <w:lang w:val="en-US" w:eastAsia="zh-CN"/>
                    </w:rPr>
                    <w:t>间歇式、非固定的产尘点，宜采用喷淋</w:t>
                  </w:r>
                  <w:r>
                    <w:rPr>
                      <w:rFonts w:hint="eastAsia"/>
                      <w:color w:val="auto"/>
                      <w:szCs w:val="21"/>
                      <w:lang w:val="en-US" w:eastAsia="zh-CN"/>
                    </w:rPr>
                    <w:t>（</w:t>
                  </w:r>
                  <w:r>
                    <w:rPr>
                      <w:rFonts w:hint="default"/>
                      <w:color w:val="auto"/>
                      <w:szCs w:val="21"/>
                      <w:lang w:val="en-US" w:eastAsia="zh-CN"/>
                    </w:rPr>
                    <w:t>雾</w:t>
                  </w:r>
                  <w:r>
                    <w:rPr>
                      <w:rFonts w:hint="eastAsia"/>
                      <w:color w:val="auto"/>
                      <w:szCs w:val="21"/>
                      <w:lang w:val="en-US" w:eastAsia="zh-CN"/>
                    </w:rPr>
                    <w:t>）</w:t>
                  </w:r>
                  <w:r>
                    <w:rPr>
                      <w:rFonts w:hint="default"/>
                      <w:color w:val="auto"/>
                      <w:szCs w:val="21"/>
                      <w:lang w:val="en-US" w:eastAsia="zh-CN"/>
                    </w:rPr>
                    <w:t>等抑尘技术。</w:t>
                  </w:r>
                </w:p>
                <w:p>
                  <w:pPr>
                    <w:bidi w:val="0"/>
                    <w:jc w:val="both"/>
                    <w:rPr>
                      <w:rFonts w:hint="default"/>
                      <w:color w:val="auto"/>
                      <w:szCs w:val="21"/>
                      <w:lang w:val="en-US" w:eastAsia="zh-CN"/>
                    </w:rPr>
                  </w:pPr>
                  <w:r>
                    <w:rPr>
                      <w:rFonts w:hint="default"/>
                      <w:color w:val="auto"/>
                      <w:szCs w:val="21"/>
                      <w:lang w:val="en-US" w:eastAsia="zh-CN"/>
                    </w:rPr>
                    <w:t>7.2.5转移VOCs物料时，应采用密闭容器或密闭管道输送。</w:t>
                  </w:r>
                </w:p>
                <w:p>
                  <w:pPr>
                    <w:bidi w:val="0"/>
                    <w:jc w:val="both"/>
                    <w:rPr>
                      <w:rFonts w:hint="default"/>
                      <w:color w:val="auto"/>
                      <w:szCs w:val="21"/>
                      <w:lang w:val="en-US" w:eastAsia="zh-CN"/>
                    </w:rPr>
                  </w:pPr>
                  <w:r>
                    <w:rPr>
                      <w:rFonts w:hint="default"/>
                      <w:color w:val="auto"/>
                      <w:szCs w:val="21"/>
                      <w:lang w:val="en-US" w:eastAsia="zh-CN"/>
                    </w:rPr>
                    <w:t>7.2.6 厂区道路宜硬化，并采取清扫、洒水等措施，保持清洁。</w:t>
                  </w:r>
                </w:p>
              </w:tc>
              <w:tc>
                <w:tcPr>
                  <w:tcW w:w="9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原砂采用密闭输送，减少无组织粉尘逸散。除尘器卸灰口均采用密闭收集，厂区内定期洒水抑尘。</w:t>
                  </w:r>
                </w:p>
              </w:tc>
              <w:tc>
                <w:tcPr>
                  <w:tcW w:w="4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6" w:type="pct"/>
                  <w:gridSpan w:val="3"/>
                  <w:tcBorders>
                    <w:tl2br w:val="nil"/>
                    <w:tr2bl w:val="nil"/>
                  </w:tcBorders>
                  <w:noWrap w:val="0"/>
                  <w:vAlign w:val="center"/>
                </w:tcPr>
                <w:p>
                  <w:pPr>
                    <w:bidi w:val="0"/>
                    <w:jc w:val="both"/>
                    <w:rPr>
                      <w:rFonts w:hint="default"/>
                      <w:color w:val="auto"/>
                      <w:szCs w:val="21"/>
                      <w:lang w:val="en-US" w:eastAsia="zh-CN"/>
                    </w:rPr>
                  </w:pPr>
                  <w:r>
                    <w:rPr>
                      <w:rFonts w:hint="default"/>
                      <w:color w:val="auto"/>
                      <w:szCs w:val="21"/>
                      <w:lang w:val="en-US" w:eastAsia="zh-CN"/>
                    </w:rPr>
                    <w:t>7.3.6造型、制芯、浇注工序宜在密闭</w:t>
                  </w:r>
                  <w:r>
                    <w:rPr>
                      <w:rFonts w:hint="eastAsia"/>
                      <w:color w:val="auto"/>
                      <w:szCs w:val="21"/>
                      <w:lang w:val="en-US" w:eastAsia="zh-CN"/>
                    </w:rPr>
                    <w:t>（</w:t>
                  </w:r>
                  <w:r>
                    <w:rPr>
                      <w:rFonts w:hint="default"/>
                      <w:color w:val="auto"/>
                      <w:szCs w:val="21"/>
                      <w:lang w:val="en-US" w:eastAsia="zh-CN"/>
                    </w:rPr>
                    <w:t>封闭</w:t>
                  </w:r>
                  <w:r>
                    <w:rPr>
                      <w:rFonts w:hint="eastAsia"/>
                      <w:color w:val="auto"/>
                      <w:szCs w:val="21"/>
                      <w:lang w:val="en-US" w:eastAsia="zh-CN"/>
                    </w:rPr>
                    <w:t>）</w:t>
                  </w:r>
                  <w:r>
                    <w:rPr>
                      <w:rFonts w:hint="default"/>
                      <w:color w:val="auto"/>
                      <w:szCs w:val="21"/>
                      <w:lang w:val="en-US" w:eastAsia="zh-CN"/>
                    </w:rPr>
                    <w:t>空间内操作，或安装集气罩，废气应排至除尘设施、VOCs废气收集处理系统</w:t>
                  </w:r>
                  <w:r>
                    <w:rPr>
                      <w:rFonts w:hint="eastAsia"/>
                      <w:color w:val="auto"/>
                      <w:szCs w:val="21"/>
                      <w:lang w:val="en-US" w:eastAsia="zh-CN"/>
                    </w:rPr>
                    <w:t>；</w:t>
                  </w:r>
                  <w:r>
                    <w:rPr>
                      <w:rFonts w:hint="default"/>
                      <w:color w:val="auto"/>
                      <w:szCs w:val="21"/>
                      <w:lang w:val="en-US" w:eastAsia="zh-CN"/>
                    </w:rPr>
                    <w:t>涉恶臭气体排放的，应设有恶臭气体收集处理系统</w:t>
                  </w:r>
                  <w:r>
                    <w:rPr>
                      <w:rFonts w:hint="eastAsia"/>
                      <w:color w:val="auto"/>
                      <w:szCs w:val="21"/>
                      <w:lang w:val="en-US" w:eastAsia="zh-CN"/>
                    </w:rPr>
                    <w:t>，</w:t>
                  </w:r>
                  <w:r>
                    <w:rPr>
                      <w:rFonts w:hint="default"/>
                      <w:color w:val="auto"/>
                      <w:szCs w:val="21"/>
                      <w:lang w:val="en-US" w:eastAsia="zh-CN"/>
                    </w:rPr>
                    <w:t>恶臭排放应符合GB14554的规定。</w:t>
                  </w:r>
                </w:p>
              </w:tc>
              <w:tc>
                <w:tcPr>
                  <w:tcW w:w="9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混砂、冷芯制模有固定工位或区域，</w:t>
                  </w:r>
                  <w:r>
                    <w:rPr>
                      <w:rFonts w:hint="eastAsia"/>
                      <w:color w:val="auto"/>
                      <w:szCs w:val="21"/>
                      <w:lang w:val="en-US" w:eastAsia="zh-CN"/>
                    </w:rPr>
                    <w:t>冷芯制模废气经集气罩收集后经袋式除尘器+磷酸喷淋塔+除雾器+二级活性炭吸附装置通过20m排气筒高空排放</w:t>
                  </w:r>
                  <w:r>
                    <w:rPr>
                      <w:rFonts w:hint="eastAsia" w:ascii="Times New Roman" w:hAnsi="Times New Roman" w:eastAsia="宋体" w:cs="Times New Roman"/>
                      <w:b w:val="0"/>
                      <w:bCs w:val="0"/>
                      <w:color w:val="auto"/>
                      <w:kern w:val="0"/>
                      <w:sz w:val="21"/>
                      <w:szCs w:val="21"/>
                      <w:lang w:val="en-US" w:eastAsia="zh-CN" w:bidi="ar"/>
                    </w:rPr>
                    <w:t>。</w:t>
                  </w:r>
                </w:p>
              </w:tc>
              <w:tc>
                <w:tcPr>
                  <w:tcW w:w="4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06"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 废气收集系统控制要求</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7.4.1废气收集系统排风罩（集气罩）的设置应满足GBT 16758的要求，并按照GB/T 16758和WS/T757- 2016 规定的方法测量控制风速，测量点应选取在距排风罩开口面最远处无组织排放位置，VOCs的排风罩控制风速不应低于0.3 m/s，颗粒物的排风罩控制风速不应低于WS/T 757- -2016 规定的限值。</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7.4.2应尽可能利用主体生产装置 （如中频感应炉、抛丸机等）自身的集气系统进行收集。排风罩的配置应与所采用的生产工艺协调-致，不影响工艺操作。在保证收集能力的前提下，应结构简单，便于安装和维护管理。</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7.4.3排风罩应优先考虑采用密闭罩或排气柜，并保持-定的负压。 当不能或不便采用密闭罩时，可根据生产操作要求选择半密闭罩或外部排风罩，并尽可能包围或靠近污染源，必要时可增设软帘围挡，以防止污染物外逸。</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7.4.4排风罩的吸气方向应尽可能与污染气流运动方向-致，防止排风罩周围气流紊乱，避免或减弱干扰气流和送风气流等对吸气气流的影响。</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7.4.5当废气产生点较多，彼此距离较远时，应适当分设多套收集系统。</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7.4.6间歇运行工序或设备的收集系统管道或其支路上应设置自动调节阀，自动调节阀应在该工序或设备开启前开启。</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7.4.7废气收集处理系统应先于或与生产工艺设备同步运行。当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9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color w:val="auto"/>
                      <w:kern w:val="0"/>
                      <w:sz w:val="21"/>
                      <w:szCs w:val="21"/>
                      <w:lang w:val="en-US" w:eastAsia="zh-CN" w:bidi="ar"/>
                    </w:rPr>
                  </w:pPr>
                  <w:r>
                    <w:rPr>
                      <w:rFonts w:hint="eastAsia"/>
                      <w:color w:val="auto"/>
                      <w:sz w:val="21"/>
                      <w:szCs w:val="21"/>
                      <w:lang w:eastAsia="zh-CN"/>
                    </w:rPr>
                    <w:t>本项目采</w:t>
                  </w:r>
                  <w:r>
                    <w:rPr>
                      <w:rFonts w:hint="eastAsia" w:ascii="Times New Roman" w:hAnsi="Times New Roman" w:eastAsia="宋体" w:cs="Times New Roman"/>
                      <w:color w:val="auto"/>
                      <w:sz w:val="21"/>
                      <w:szCs w:val="21"/>
                      <w:lang w:eastAsia="zh-CN"/>
                    </w:rPr>
                    <w:t>用集气罩收集有机废气，</w:t>
                  </w:r>
                  <w:r>
                    <w:rPr>
                      <w:rFonts w:hint="eastAsia" w:ascii="Times New Roman" w:hAnsi="Times New Roman" w:eastAsia="宋体" w:cs="Times New Roman"/>
                      <w:color w:val="auto"/>
                      <w:sz w:val="21"/>
                      <w:szCs w:val="21"/>
                      <w:lang w:val="en-US" w:eastAsia="zh-CN"/>
                    </w:rPr>
                    <w:t>控制风速为</w:t>
                  </w:r>
                  <w:r>
                    <w:rPr>
                      <w:rFonts w:hint="eastAsia" w:cs="Times New Roman"/>
                      <w:color w:val="auto"/>
                      <w:sz w:val="21"/>
                      <w:szCs w:val="21"/>
                      <w:lang w:val="en-US" w:eastAsia="zh-CN"/>
                    </w:rPr>
                    <w:t>0.5</w:t>
                  </w:r>
                  <w:r>
                    <w:rPr>
                      <w:rFonts w:hint="eastAsia" w:ascii="Times New Roman" w:hAnsi="Times New Roman" w:eastAsia="宋体" w:cs="Times New Roman"/>
                      <w:color w:val="auto"/>
                      <w:sz w:val="21"/>
                      <w:szCs w:val="21"/>
                      <w:lang w:val="en-US" w:eastAsia="zh-CN"/>
                    </w:rPr>
                    <w:t>m/s</w:t>
                  </w:r>
                  <w:r>
                    <w:rPr>
                      <w:rFonts w:hint="eastAsia" w:cs="Times New Roman"/>
                      <w:color w:val="auto"/>
                      <w:kern w:val="0"/>
                      <w:sz w:val="21"/>
                      <w:szCs w:val="21"/>
                      <w:highlight w:val="none"/>
                      <w:lang w:val="en-US" w:eastAsia="zh-CN" w:bidi="ar"/>
                    </w:rPr>
                    <w:t>，混砂、</w:t>
                  </w:r>
                  <w:r>
                    <w:rPr>
                      <w:rFonts w:hint="eastAsia"/>
                      <w:color w:val="auto"/>
                      <w:szCs w:val="21"/>
                      <w:lang w:val="en-US" w:eastAsia="zh-CN"/>
                    </w:rPr>
                    <w:t>冷芯制模废气经集气罩收集后经袋式除尘器+磷酸喷淋塔+除雾器+二级活性炭吸附装置通过20m排气筒高空排放</w:t>
                  </w:r>
                  <w:r>
                    <w:rPr>
                      <w:rFonts w:hint="eastAsia" w:ascii="Times New Roman" w:hAnsi="Times New Roman" w:eastAsia="宋体" w:cs="Times New Roman"/>
                      <w:b w:val="0"/>
                      <w:bCs w:val="0"/>
                      <w:color w:val="auto"/>
                      <w:kern w:val="0"/>
                      <w:sz w:val="21"/>
                      <w:szCs w:val="21"/>
                      <w:lang w:val="en-US" w:eastAsia="zh-CN" w:bidi="ar"/>
                    </w:rPr>
                    <w:t>。</w:t>
                  </w:r>
                </w:p>
              </w:tc>
              <w:tc>
                <w:tcPr>
                  <w:tcW w:w="4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相符</w:t>
                  </w:r>
                </w:p>
              </w:tc>
            </w:tr>
          </w:tbl>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left="0" w:leftChars="0" w:firstLine="482"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4"/>
                <w:szCs w:val="24"/>
                <w:lang w:val="en-US" w:eastAsia="zh-CN" w:bidi="ar"/>
              </w:rPr>
              <w:t>综上</w:t>
            </w:r>
            <w:r>
              <w:rPr>
                <w:rFonts w:hint="default" w:ascii="Times New Roman" w:hAnsi="Times New Roman" w:eastAsia="宋体" w:cs="Times New Roman"/>
                <w:color w:val="auto"/>
                <w:kern w:val="0"/>
                <w:sz w:val="24"/>
                <w:szCs w:val="24"/>
                <w:lang w:val="en-US" w:eastAsia="zh-CN" w:bidi="ar"/>
              </w:rPr>
              <w:t>，本项目符合《铸造工业大气污染防治可行技术指南》（HJ1292-2023）</w:t>
            </w:r>
            <w:r>
              <w:rPr>
                <w:rFonts w:hint="eastAsia" w:cs="Times New Roman"/>
                <w:color w:val="auto"/>
                <w:kern w:val="0"/>
                <w:sz w:val="24"/>
                <w:szCs w:val="24"/>
                <w:lang w:val="en-US" w:eastAsia="zh-CN" w:bidi="ar"/>
              </w:rPr>
              <w:t>、</w:t>
            </w:r>
            <w:r>
              <w:rPr>
                <w:rFonts w:hint="eastAsia" w:cs="Times New Roman"/>
                <w:b w:val="0"/>
                <w:bCs w:val="0"/>
                <w:snapToGrid w:val="0"/>
                <w:color w:val="auto"/>
                <w:kern w:val="0"/>
                <w:sz w:val="24"/>
                <w:szCs w:val="24"/>
                <w:lang w:eastAsia="zh-CN"/>
              </w:rPr>
              <w:t>《铸造工业污染防治可行技术指南》（</w:t>
            </w:r>
            <w:r>
              <w:rPr>
                <w:rFonts w:hint="eastAsia" w:cs="Times New Roman"/>
                <w:b w:val="0"/>
                <w:bCs w:val="0"/>
                <w:snapToGrid w:val="0"/>
                <w:color w:val="auto"/>
                <w:kern w:val="0"/>
                <w:sz w:val="24"/>
                <w:szCs w:val="24"/>
                <w:lang w:val="en-US" w:eastAsia="zh-CN"/>
              </w:rPr>
              <w:t>T/CFA030823-2023</w:t>
            </w:r>
            <w:r>
              <w:rPr>
                <w:rFonts w:hint="eastAsia" w:cs="Times New Roman"/>
                <w:b w:val="0"/>
                <w:bCs w:val="0"/>
                <w:snapToGrid w:val="0"/>
                <w:color w:val="auto"/>
                <w:kern w:val="0"/>
                <w:sz w:val="24"/>
                <w:szCs w:val="24"/>
                <w:lang w:eastAsia="zh-CN"/>
              </w:rPr>
              <w:t>）</w:t>
            </w:r>
            <w:r>
              <w:rPr>
                <w:rFonts w:hint="default" w:ascii="Times New Roman" w:hAnsi="Times New Roman" w:eastAsia="宋体" w:cs="Times New Roman"/>
                <w:color w:val="auto"/>
                <w:kern w:val="0"/>
                <w:sz w:val="24"/>
                <w:szCs w:val="24"/>
                <w:lang w:val="en-US" w:eastAsia="zh-CN" w:bidi="ar"/>
              </w:rPr>
              <w:t>的相关要求</w:t>
            </w:r>
            <w:r>
              <w:rPr>
                <w:rFonts w:hint="eastAsia" w:cs="Times New Roman"/>
                <w:color w:val="auto"/>
                <w:kern w:val="0"/>
                <w:sz w:val="24"/>
                <w:szCs w:val="24"/>
                <w:lang w:val="en-US" w:eastAsia="zh-CN" w:bidi="ar"/>
              </w:rPr>
              <w:t>，采用的污染防治措施均为可行性技术</w:t>
            </w:r>
            <w:r>
              <w:rPr>
                <w:rFonts w:hint="default" w:ascii="Times New Roman" w:hAnsi="Times New Roman" w:eastAsia="宋体" w:cs="Times New Roman"/>
                <w:color w:val="auto"/>
                <w:kern w:val="0"/>
                <w:sz w:val="24"/>
                <w:szCs w:val="24"/>
                <w:lang w:val="en-US" w:eastAsia="zh-CN" w:bidi="ar"/>
              </w:rPr>
              <w:t>。</w:t>
            </w:r>
          </w:p>
          <w:p>
            <w:pPr>
              <w:numPr>
                <w:ilvl w:val="-1"/>
                <w:numId w:val="0"/>
              </w:numPr>
              <w:spacing w:line="360" w:lineRule="auto"/>
              <w:ind w:firstLine="0" w:firstLineChars="0"/>
              <w:rPr>
                <w:rFonts w:hint="default" w:ascii="Times New Roman" w:hAnsi="Times New Roman" w:cs="Times New Roman"/>
                <w:bCs/>
                <w:color w:val="000000"/>
                <w:kern w:val="0"/>
                <w:szCs w:val="21"/>
                <w:lang w:val="en-US"/>
              </w:rPr>
            </w:pPr>
          </w:p>
        </w:tc>
      </w:tr>
    </w:tbl>
    <w:p>
      <w:pPr>
        <w:spacing w:line="360" w:lineRule="auto"/>
        <w:outlineLvl w:val="0"/>
        <w:rPr>
          <w:rFonts w:hint="default" w:ascii="Times New Roman" w:hAnsi="Times New Roman" w:eastAsia="黑体" w:cs="Times New Roman"/>
          <w:color w:val="00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360" w:lineRule="auto"/>
              <w:ind w:firstLine="482" w:firstLineChars="200"/>
              <w:rPr>
                <w:rFonts w:hint="default" w:ascii="Times New Roman" w:hAnsi="Times New Roman" w:eastAsia="宋体" w:cs="Times New Roman"/>
                <w:b/>
                <w:bCs/>
                <w:color w:val="000000"/>
                <w:sz w:val="24"/>
                <w:lang w:val="en-US" w:eastAsia="zh-CN"/>
              </w:rPr>
            </w:pPr>
            <w:r>
              <w:rPr>
                <w:rFonts w:hint="eastAsia" w:cs="Times New Roman"/>
                <w:b/>
                <w:bCs/>
                <w:color w:val="000000"/>
                <w:sz w:val="24"/>
                <w:lang w:val="en-US" w:eastAsia="zh-CN"/>
              </w:rPr>
              <w:t>8</w:t>
            </w:r>
            <w:r>
              <w:rPr>
                <w:rFonts w:hint="default" w:ascii="Times New Roman" w:hAnsi="Times New Roman" w:eastAsia="宋体" w:cs="Times New Roman"/>
                <w:b/>
                <w:bCs/>
                <w:color w:val="000000"/>
                <w:sz w:val="24"/>
                <w:lang w:val="en-US" w:eastAsia="zh-CN"/>
              </w:rPr>
              <w:t>、与《涂装行业清洁生产评价指标体系》的相符性分析</w:t>
            </w:r>
          </w:p>
          <w:p>
            <w:pPr>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表1-1</w:t>
            </w:r>
            <w:r>
              <w:rPr>
                <w:rFonts w:hint="eastAsia" w:cs="Times New Roman"/>
                <w:b/>
                <w:bCs/>
                <w:sz w:val="24"/>
                <w:lang w:val="en-US" w:eastAsia="zh-CN"/>
              </w:rPr>
              <w:t>7</w:t>
            </w:r>
            <w:r>
              <w:rPr>
                <w:rFonts w:hint="default" w:ascii="Times New Roman" w:hAnsi="Times New Roman" w:eastAsia="宋体" w:cs="Times New Roman"/>
                <w:b/>
                <w:bCs/>
                <w:sz w:val="24"/>
                <w:lang w:val="en-US" w:eastAsia="zh-CN"/>
              </w:rPr>
              <w:t>《涂装行业清洁生产评价指标体系》</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95"/>
              <w:gridCol w:w="593"/>
              <w:gridCol w:w="1198"/>
              <w:gridCol w:w="430"/>
              <w:gridCol w:w="196"/>
              <w:gridCol w:w="94"/>
              <w:gridCol w:w="512"/>
              <w:gridCol w:w="878"/>
              <w:gridCol w:w="1907"/>
              <w:gridCol w:w="1907"/>
              <w:gridCol w:w="1848"/>
              <w:gridCol w:w="1920"/>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226"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一级</w:t>
                  </w:r>
                </w:p>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指标</w:t>
                  </w:r>
                </w:p>
              </w:tc>
              <w:tc>
                <w:tcPr>
                  <w:tcW w:w="452"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一级指标权重</w:t>
                  </w:r>
                </w:p>
              </w:tc>
              <w:tc>
                <w:tcPr>
                  <w:tcW w:w="473" w:type="pct"/>
                  <w:gridSpan w:val="4"/>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二级指标</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二级指标权重</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I级基准值</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II级基准值</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III级基准值</w:t>
                  </w:r>
                </w:p>
              </w:tc>
              <w:tc>
                <w:tcPr>
                  <w:tcW w:w="606"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74" w:hRule="atLeast"/>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2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生产工艺及设备要求</w:t>
                  </w:r>
                </w:p>
              </w:tc>
              <w:tc>
                <w:tcPr>
                  <w:tcW w:w="452"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59"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底漆</w:t>
                  </w:r>
                </w:p>
              </w:tc>
              <w:tc>
                <w:tcPr>
                  <w:tcW w:w="314" w:type="pct"/>
                  <w:gridSpan w:val="3"/>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电泳漆</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自泳漆</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喷漆（涂覆）</w:t>
                  </w:r>
                </w:p>
              </w:tc>
              <w:tc>
                <w:tcPr>
                  <w:tcW w:w="278"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12</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应满足以下条件之一</w:t>
                  </w:r>
                  <w:r>
                    <w:rPr>
                      <w:rFonts w:hint="default" w:ascii="Times New Roman" w:hAnsi="Times New Roman" w:eastAsia="宋体" w:cs="Times New Roman"/>
                      <w:spacing w:val="-24"/>
                      <w:sz w:val="21"/>
                      <w:szCs w:val="21"/>
                    </w:rPr>
                    <w:t>：</w:t>
                  </w:r>
                  <w:r>
                    <w:rPr>
                      <w:rFonts w:hint="default" w:ascii="Times New Roman" w:hAnsi="Times New Roman" w:eastAsia="宋体" w:cs="Times New Roman"/>
                      <w:spacing w:val="2"/>
                      <w:sz w:val="21"/>
                      <w:szCs w:val="21"/>
                    </w:rPr>
                    <w:t>①</w:t>
                  </w:r>
                  <w:r>
                    <w:rPr>
                      <w:rFonts w:hint="default" w:ascii="Times New Roman" w:hAnsi="Times New Roman" w:eastAsia="宋体" w:cs="Times New Roman"/>
                      <w:sz w:val="21"/>
                      <w:szCs w:val="21"/>
                    </w:rPr>
                    <w:t>电</w:t>
                  </w:r>
                  <w:r>
                    <w:rPr>
                      <w:rFonts w:hint="default" w:ascii="Times New Roman" w:hAnsi="Times New Roman" w:eastAsia="宋体" w:cs="Times New Roman"/>
                      <w:spacing w:val="-3"/>
                      <w:sz w:val="21"/>
                      <w:szCs w:val="21"/>
                    </w:rPr>
                    <w:t>泳</w:t>
                  </w:r>
                  <w:r>
                    <w:rPr>
                      <w:rFonts w:hint="default" w:ascii="Times New Roman" w:hAnsi="Times New Roman" w:eastAsia="宋体" w:cs="Times New Roman"/>
                      <w:sz w:val="21"/>
                      <w:szCs w:val="21"/>
                    </w:rPr>
                    <w:t>漆工艺</w:t>
                  </w:r>
                  <w:r>
                    <w:rPr>
                      <w:rFonts w:hint="default" w:ascii="Times New Roman" w:hAnsi="Times New Roman" w:eastAsia="宋体" w:cs="Times New Roman"/>
                      <w:spacing w:val="-12"/>
                      <w:sz w:val="21"/>
                      <w:szCs w:val="21"/>
                    </w:rPr>
                    <w:t>；</w:t>
                  </w:r>
                  <w:r>
                    <w:rPr>
                      <w:rFonts w:hint="default" w:ascii="Times New Roman" w:hAnsi="Times New Roman" w:eastAsia="宋体" w:cs="Times New Roman"/>
                      <w:spacing w:val="2"/>
                      <w:sz w:val="21"/>
                      <w:szCs w:val="21"/>
                    </w:rPr>
                    <w:t>②</w:t>
                  </w:r>
                  <w:r>
                    <w:rPr>
                      <w:rFonts w:hint="default" w:ascii="Times New Roman" w:hAnsi="Times New Roman" w:eastAsia="宋体" w:cs="Times New Roman"/>
                      <w:sz w:val="21"/>
                      <w:szCs w:val="21"/>
                    </w:rPr>
                    <w:t>自泳漆工艺</w:t>
                  </w:r>
                  <w:r>
                    <w:rPr>
                      <w:rFonts w:hint="default" w:ascii="Times New Roman" w:hAnsi="Times New Roman" w:eastAsia="宋体" w:cs="Times New Roman"/>
                      <w:spacing w:val="-15"/>
                      <w:sz w:val="21"/>
                      <w:szCs w:val="21"/>
                    </w:rPr>
                    <w:t>；</w:t>
                  </w:r>
                  <w:r>
                    <w:rPr>
                      <w:rFonts w:hint="default" w:ascii="Times New Roman" w:hAnsi="Times New Roman" w:eastAsia="宋体" w:cs="Times New Roman"/>
                      <w:spacing w:val="2"/>
                      <w:sz w:val="21"/>
                      <w:szCs w:val="21"/>
                    </w:rPr>
                    <w:t>③</w:t>
                  </w:r>
                  <w:r>
                    <w:rPr>
                      <w:rFonts w:hint="default" w:ascii="Times New Roman" w:hAnsi="Times New Roman" w:eastAsia="宋体" w:cs="Times New Roman"/>
                      <w:sz w:val="21"/>
                      <w:szCs w:val="21"/>
                    </w:rPr>
                    <w:t>使用</w:t>
                  </w:r>
                  <w:r>
                    <w:rPr>
                      <w:rFonts w:hint="default" w:ascii="Times New Roman" w:hAnsi="Times New Roman" w:eastAsia="宋体" w:cs="Times New Roman"/>
                      <w:spacing w:val="-3"/>
                      <w:sz w:val="21"/>
                      <w:szCs w:val="21"/>
                      <w:lang w:eastAsia="zh-CN"/>
                    </w:rPr>
                    <w:t>高固份漆</w:t>
                  </w:r>
                  <w:r>
                    <w:rPr>
                      <w:rFonts w:hint="default" w:ascii="Times New Roman" w:hAnsi="Times New Roman" w:eastAsia="宋体" w:cs="Times New Roman"/>
                      <w:sz w:val="21"/>
                      <w:szCs w:val="21"/>
                    </w:rPr>
                    <w:t>喷涂；</w:t>
                  </w:r>
                  <w:r>
                    <w:rPr>
                      <w:rFonts w:hint="default" w:ascii="Times New Roman" w:hAnsi="Times New Roman" w:eastAsia="宋体" w:cs="Times New Roman"/>
                      <w:spacing w:val="2"/>
                      <w:sz w:val="21"/>
                      <w:szCs w:val="21"/>
                    </w:rPr>
                    <w:t>④</w:t>
                  </w:r>
                  <w:r>
                    <w:rPr>
                      <w:rFonts w:hint="default" w:ascii="Times New Roman" w:hAnsi="Times New Roman" w:eastAsia="宋体" w:cs="Times New Roman"/>
                      <w:sz w:val="21"/>
                      <w:szCs w:val="21"/>
                    </w:rPr>
                    <w:t>使用粉末涂料</w:t>
                  </w:r>
                </w:p>
              </w:tc>
              <w:tc>
                <w:tcPr>
                  <w:tcW w:w="1415"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节水</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、技术应用</w:t>
                  </w:r>
                </w:p>
              </w:tc>
              <w:tc>
                <w:tcPr>
                  <w:tcW w:w="60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kern w:val="0"/>
                      <w:sz w:val="21"/>
                      <w:szCs w:val="21"/>
                      <w:lang w:val="en-US" w:eastAsia="zh-CN"/>
                    </w:rPr>
                    <w:t>本项目使用</w:t>
                  </w:r>
                  <w:r>
                    <w:rPr>
                      <w:rFonts w:hint="default" w:ascii="Times New Roman" w:hAnsi="Times New Roman" w:cs="Times New Roman"/>
                      <w:b w:val="0"/>
                      <w:bCs/>
                      <w:color w:val="auto"/>
                      <w:kern w:val="0"/>
                      <w:sz w:val="21"/>
                      <w:szCs w:val="21"/>
                      <w:lang w:val="en-US" w:eastAsia="zh-CN"/>
                    </w:rPr>
                    <w:t>油漆及塑粉</w:t>
                  </w:r>
                  <w:r>
                    <w:rPr>
                      <w:rFonts w:hint="default" w:ascii="Times New Roman" w:hAnsi="Times New Roman" w:eastAsia="宋体" w:cs="Times New Roman"/>
                      <w:b w:val="0"/>
                      <w:bCs/>
                      <w:color w:val="auto"/>
                      <w:kern w:val="0"/>
                      <w:sz w:val="21"/>
                      <w:szCs w:val="21"/>
                      <w:lang w:val="en-US" w:eastAsia="zh-CN"/>
                    </w:rPr>
                    <w:t>，喷漆设置漆雾处理，本项目喷漆后为晾干，</w:t>
                  </w:r>
                  <w:r>
                    <w:rPr>
                      <w:rFonts w:hint="default" w:ascii="Times New Roman" w:hAnsi="Times New Roman" w:eastAsia="宋体" w:cs="Times New Roman"/>
                      <w:b w:val="0"/>
                      <w:bCs/>
                      <w:color w:val="auto"/>
                      <w:kern w:val="0"/>
                      <w:sz w:val="21"/>
                      <w:szCs w:val="21"/>
                    </w:rPr>
                    <w:t>漆雾</w:t>
                  </w:r>
                  <w:r>
                    <w:rPr>
                      <w:rFonts w:hint="default" w:ascii="Times New Roman" w:hAnsi="Times New Roman" w:eastAsia="宋体" w:cs="Times New Roman"/>
                      <w:b w:val="0"/>
                      <w:bCs/>
                      <w:color w:val="auto"/>
                      <w:kern w:val="0"/>
                      <w:sz w:val="21"/>
                      <w:szCs w:val="21"/>
                      <w:lang w:val="en-US" w:eastAsia="zh-CN"/>
                    </w:rPr>
                    <w:t>采用多级过滤器处理，</w:t>
                  </w:r>
                  <w:r>
                    <w:rPr>
                      <w:rFonts w:hint="default" w:ascii="Times New Roman" w:hAnsi="Times New Roman" w:eastAsia="宋体" w:cs="Times New Roman"/>
                      <w:b w:val="0"/>
                      <w:bCs/>
                      <w:color w:val="auto"/>
                      <w:kern w:val="0"/>
                      <w:sz w:val="21"/>
                      <w:szCs w:val="21"/>
                    </w:rPr>
                    <w:t>处理效率≥95%</w:t>
                  </w:r>
                  <w:r>
                    <w:rPr>
                      <w:rFonts w:hint="default" w:ascii="Times New Roman" w:hAnsi="Times New Roman" w:eastAsia="宋体" w:cs="Times New Roman"/>
                      <w:b w:val="0"/>
                      <w:bCs/>
                      <w:color w:val="auto"/>
                      <w:kern w:val="0"/>
                      <w:sz w:val="21"/>
                      <w:szCs w:val="21"/>
                      <w:lang w:eastAsia="zh-CN"/>
                    </w:rPr>
                    <w:t>；</w:t>
                  </w:r>
                  <w:r>
                    <w:rPr>
                      <w:rFonts w:hint="default" w:ascii="Times New Roman" w:hAnsi="Times New Roman" w:eastAsia="宋体" w:cs="Times New Roman"/>
                      <w:b w:val="0"/>
                      <w:bCs/>
                      <w:color w:val="auto"/>
                      <w:kern w:val="0"/>
                      <w:sz w:val="21"/>
                      <w:szCs w:val="21"/>
                      <w:lang w:val="en-US" w:eastAsia="zh-CN"/>
                    </w:rPr>
                    <w:t>本项目免中涂工艺；喷漆晾干废气密闭收集后</w:t>
                  </w:r>
                  <w:r>
                    <w:rPr>
                      <w:rFonts w:hint="default" w:ascii="Times New Roman" w:hAnsi="Times New Roman" w:eastAsia="宋体" w:cs="Times New Roman"/>
                      <w:caps w:val="0"/>
                      <w:color w:val="auto"/>
                      <w:sz w:val="21"/>
                      <w:szCs w:val="21"/>
                    </w:rPr>
                    <w:t>由</w:t>
                  </w:r>
                  <w:r>
                    <w:rPr>
                      <w:rFonts w:hint="default" w:ascii="Times New Roman" w:hAnsi="Times New Roman" w:eastAsia="宋体" w:cs="Times New Roman"/>
                      <w:caps w:val="0"/>
                      <w:color w:val="auto"/>
                      <w:sz w:val="21"/>
                      <w:szCs w:val="21"/>
                      <w:lang w:val="en-US" w:eastAsia="zh-CN"/>
                    </w:rPr>
                    <w:t>多级过滤器+</w:t>
                  </w:r>
                  <w:r>
                    <w:rPr>
                      <w:rFonts w:hint="default" w:ascii="Times New Roman" w:hAnsi="Times New Roman" w:cs="Times New Roman"/>
                      <w:caps w:val="0"/>
                      <w:color w:val="auto"/>
                      <w:sz w:val="21"/>
                      <w:szCs w:val="21"/>
                      <w:lang w:val="en-US" w:eastAsia="zh-CN"/>
                    </w:rPr>
                    <w:t>二</w:t>
                  </w:r>
                  <w:r>
                    <w:rPr>
                      <w:rFonts w:hint="default" w:ascii="Times New Roman" w:hAnsi="Times New Roman" w:eastAsia="宋体" w:cs="Times New Roman"/>
                      <w:caps w:val="0"/>
                      <w:color w:val="auto"/>
                      <w:sz w:val="21"/>
                      <w:szCs w:val="21"/>
                      <w:lang w:val="en-US" w:eastAsia="zh-CN"/>
                    </w:rPr>
                    <w:t>级活性炭</w:t>
                  </w:r>
                  <w:r>
                    <w:rPr>
                      <w:rFonts w:hint="default" w:ascii="Times New Roman" w:hAnsi="Times New Roman" w:eastAsia="宋体" w:cs="Times New Roman"/>
                      <w:caps w:val="0"/>
                      <w:color w:val="auto"/>
                      <w:sz w:val="21"/>
                      <w:szCs w:val="21"/>
                    </w:rPr>
                    <w:t>吸附装置处理后通过</w:t>
                  </w:r>
                  <w:r>
                    <w:rPr>
                      <w:rFonts w:hint="default" w:ascii="Times New Roman" w:hAnsi="Times New Roman" w:cs="Times New Roman"/>
                      <w:caps w:val="0"/>
                      <w:color w:val="auto"/>
                      <w:sz w:val="21"/>
                      <w:szCs w:val="21"/>
                      <w:lang w:val="en-US" w:eastAsia="zh-CN"/>
                    </w:rPr>
                    <w:t>20</w:t>
                  </w:r>
                  <w:r>
                    <w:rPr>
                      <w:rFonts w:hint="default" w:ascii="Times New Roman" w:hAnsi="Times New Roman" w:eastAsia="宋体" w:cs="Times New Roman"/>
                      <w:caps w:val="0"/>
                      <w:color w:val="auto"/>
                      <w:sz w:val="21"/>
                      <w:szCs w:val="21"/>
                    </w:rPr>
                    <w:t xml:space="preserve"> m排气筒排放</w:t>
                  </w:r>
                  <w:r>
                    <w:rPr>
                      <w:rFonts w:hint="default" w:ascii="Times New Roman" w:hAnsi="Times New Roman" w:eastAsia="宋体" w:cs="Times New Roman"/>
                      <w:caps w:val="0"/>
                      <w:color w:val="auto"/>
                      <w:sz w:val="21"/>
                      <w:szCs w:val="21"/>
                      <w:lang w:eastAsia="zh-CN"/>
                    </w:rPr>
                    <w:t>，</w:t>
                  </w:r>
                  <w:r>
                    <w:rPr>
                      <w:rFonts w:hint="default" w:ascii="Times New Roman" w:hAnsi="Times New Roman" w:cs="Times New Roman"/>
                      <w:caps w:val="0"/>
                      <w:color w:val="auto"/>
                      <w:sz w:val="21"/>
                      <w:szCs w:val="21"/>
                      <w:lang w:val="en-US" w:eastAsia="zh-CN"/>
                    </w:rPr>
                    <w:t>二</w:t>
                  </w:r>
                  <w:r>
                    <w:rPr>
                      <w:rFonts w:hint="default" w:ascii="Times New Roman" w:hAnsi="Times New Roman" w:eastAsia="宋体" w:cs="Times New Roman"/>
                      <w:caps w:val="0"/>
                      <w:color w:val="auto"/>
                      <w:sz w:val="21"/>
                      <w:szCs w:val="21"/>
                      <w:lang w:val="en-US" w:eastAsia="zh-CN"/>
                    </w:rPr>
                    <w:t>级活性炭处理效率为</w:t>
                  </w:r>
                  <w:r>
                    <w:rPr>
                      <w:rFonts w:hint="default" w:ascii="Times New Roman" w:hAnsi="Times New Roman" w:cs="Times New Roman"/>
                      <w:caps w:val="0"/>
                      <w:color w:val="auto"/>
                      <w:sz w:val="21"/>
                      <w:szCs w:val="21"/>
                      <w:lang w:val="en-US" w:eastAsia="zh-CN"/>
                    </w:rPr>
                    <w:t>90</w:t>
                  </w:r>
                  <w:r>
                    <w:rPr>
                      <w:rFonts w:hint="default" w:ascii="Times New Roman" w:hAnsi="Times New Roman" w:eastAsia="宋体" w:cs="Times New Roman"/>
                      <w:cap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278"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节能技术应用</w:t>
                  </w:r>
                  <w:r>
                    <w:rPr>
                      <w:rFonts w:hint="default" w:ascii="Times New Roman" w:hAnsi="Times New Roman" w:eastAsia="宋体" w:cs="Times New Roman"/>
                      <w:sz w:val="21"/>
                      <w:szCs w:val="21"/>
                      <w:vertAlign w:val="superscript"/>
                    </w:rPr>
                    <w:t>c</w:t>
                  </w:r>
                  <w:r>
                    <w:rPr>
                      <w:rFonts w:hint="default" w:ascii="Times New Roman" w:hAnsi="Times New Roman" w:eastAsia="宋体" w:cs="Times New Roman"/>
                      <w:sz w:val="21"/>
                      <w:szCs w:val="21"/>
                    </w:rPr>
                    <w:t>；电泳漆、自泳漆设置备用槽；喷漆设置漆雾处理</w:t>
                  </w:r>
                </w:p>
              </w:tc>
              <w:tc>
                <w:tcPr>
                  <w:tcW w:w="1415"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节能技术应用；喷漆设置漆雾处理</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烘干</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1410"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节能技术应用</w:t>
                  </w:r>
                  <w:r>
                    <w:rPr>
                      <w:rFonts w:hint="default" w:ascii="Times New Roman" w:hAnsi="Times New Roman" w:eastAsia="宋体" w:cs="Times New Roman"/>
                      <w:sz w:val="21"/>
                      <w:szCs w:val="21"/>
                      <w:vertAlign w:val="superscript"/>
                    </w:rPr>
                    <w:t>c</w:t>
                  </w:r>
                  <w:r>
                    <w:rPr>
                      <w:rFonts w:hint="default" w:ascii="Times New Roman" w:hAnsi="Times New Roman" w:eastAsia="宋体" w:cs="Times New Roman"/>
                      <w:sz w:val="21"/>
                      <w:szCs w:val="21"/>
                    </w:rPr>
                    <w:t>；加热装置多级调节</w:t>
                  </w:r>
                  <w:r>
                    <w:rPr>
                      <w:rFonts w:hint="default" w:ascii="Times New Roman" w:hAnsi="Times New Roman" w:eastAsia="宋体" w:cs="Times New Roman"/>
                      <w:sz w:val="21"/>
                      <w:szCs w:val="21"/>
                      <w:vertAlign w:val="superscript"/>
                    </w:rPr>
                    <w:t>j</w:t>
                  </w:r>
                  <w:r>
                    <w:rPr>
                      <w:rFonts w:hint="default" w:ascii="Times New Roman" w:hAnsi="Times New Roman" w:eastAsia="宋体" w:cs="Times New Roman"/>
                      <w:sz w:val="21"/>
                      <w:szCs w:val="21"/>
                    </w:rPr>
                    <w:t>，使用清洁能源</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加热装置多级调节</w:t>
                  </w:r>
                  <w:r>
                    <w:rPr>
                      <w:rFonts w:hint="default" w:ascii="Times New Roman" w:hAnsi="Times New Roman" w:eastAsia="宋体" w:cs="Times New Roman"/>
                      <w:sz w:val="21"/>
                      <w:szCs w:val="21"/>
                      <w:vertAlign w:val="superscript"/>
                    </w:rPr>
                    <w:t>f</w:t>
                  </w:r>
                  <w:r>
                    <w:rPr>
                      <w:rFonts w:hint="default" w:ascii="Times New Roman" w:hAnsi="Times New Roman" w:eastAsia="宋体" w:cs="Times New Roman"/>
                      <w:sz w:val="21"/>
                      <w:szCs w:val="21"/>
                    </w:rPr>
                    <w:t>，使用清洁能源</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中涂、面漆</w:t>
                  </w: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漆雾处理</w:t>
                  </w:r>
                </w:p>
              </w:tc>
              <w:tc>
                <w:tcPr>
                  <w:tcW w:w="278"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有自动漆雾处理系统，漆雾处理效率≥95%</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有自动漆雾处理系统，漆雾处理效率≥85%</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有自动漆雾处理系统，漆雾处理效率≥80%</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喷漆（涂覆）（包括流平）</w:t>
                  </w:r>
                </w:p>
              </w:tc>
              <w:tc>
                <w:tcPr>
                  <w:tcW w:w="278"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应满足以下条件之一</w:t>
                  </w:r>
                  <w:r>
                    <w:rPr>
                      <w:rFonts w:hint="default" w:ascii="Times New Roman" w:hAnsi="Times New Roman" w:eastAsia="宋体" w:cs="Times New Roman"/>
                      <w:spacing w:val="-24"/>
                      <w:sz w:val="21"/>
                      <w:szCs w:val="21"/>
                    </w:rPr>
                    <w:t>：</w:t>
                  </w:r>
                  <w:r>
                    <w:rPr>
                      <w:rFonts w:hint="default" w:ascii="Times New Roman" w:hAnsi="Times New Roman" w:eastAsia="宋体" w:cs="Times New Roman"/>
                      <w:spacing w:val="2"/>
                      <w:sz w:val="21"/>
                      <w:szCs w:val="21"/>
                    </w:rPr>
                    <w:t>①</w:t>
                  </w:r>
                  <w:r>
                    <w:rPr>
                      <w:rFonts w:hint="default" w:ascii="Times New Roman" w:hAnsi="Times New Roman" w:eastAsia="宋体" w:cs="Times New Roman"/>
                      <w:sz w:val="21"/>
                      <w:szCs w:val="21"/>
                    </w:rPr>
                    <w:t>使</w:t>
                  </w:r>
                  <w:r>
                    <w:rPr>
                      <w:rFonts w:hint="default" w:ascii="Times New Roman" w:hAnsi="Times New Roman" w:eastAsia="宋体" w:cs="Times New Roman"/>
                      <w:spacing w:val="-3"/>
                      <w:sz w:val="21"/>
                      <w:szCs w:val="21"/>
                    </w:rPr>
                    <w:t>用</w:t>
                  </w:r>
                  <w:r>
                    <w:rPr>
                      <w:rFonts w:hint="default" w:ascii="Times New Roman" w:hAnsi="Times New Roman" w:eastAsia="宋体" w:cs="Times New Roman"/>
                      <w:sz w:val="21"/>
                      <w:szCs w:val="21"/>
                      <w:lang w:eastAsia="zh-CN"/>
                    </w:rPr>
                    <w:t>高固份漆</w:t>
                  </w:r>
                  <w:r>
                    <w:rPr>
                      <w:rFonts w:hint="default" w:ascii="Times New Roman" w:hAnsi="Times New Roman" w:eastAsia="宋体" w:cs="Times New Roman"/>
                      <w:sz w:val="21"/>
                      <w:szCs w:val="21"/>
                    </w:rPr>
                    <w:t>；</w:t>
                  </w:r>
                  <w:r>
                    <w:rPr>
                      <w:rFonts w:hint="default" w:ascii="Times New Roman" w:hAnsi="Times New Roman" w:eastAsia="宋体" w:cs="Times New Roman"/>
                      <w:spacing w:val="2"/>
                      <w:sz w:val="21"/>
                      <w:szCs w:val="21"/>
                    </w:rPr>
                    <w:t>②</w:t>
                  </w:r>
                  <w:r>
                    <w:rPr>
                      <w:rFonts w:hint="default" w:ascii="Times New Roman" w:hAnsi="Times New Roman" w:eastAsia="宋体" w:cs="Times New Roman"/>
                      <w:sz w:val="21"/>
                      <w:szCs w:val="21"/>
                    </w:rPr>
                    <w:t>使用光固化（</w:t>
                  </w:r>
                  <w:r>
                    <w:rPr>
                      <w:rFonts w:hint="default" w:ascii="Times New Roman" w:hAnsi="Times New Roman" w:eastAsia="宋体" w:cs="Times New Roman"/>
                      <w:spacing w:val="-3"/>
                      <w:sz w:val="21"/>
                      <w:szCs w:val="21"/>
                    </w:rPr>
                    <w:t>U</w:t>
                  </w:r>
                  <w:r>
                    <w:rPr>
                      <w:rFonts w:hint="default" w:ascii="Times New Roman" w:hAnsi="Times New Roman" w:eastAsia="宋体" w:cs="Times New Roman"/>
                      <w:spacing w:val="2"/>
                      <w:sz w:val="21"/>
                      <w:szCs w:val="21"/>
                    </w:rPr>
                    <w:t>V</w:t>
                  </w:r>
                  <w:r>
                    <w:rPr>
                      <w:rFonts w:hint="default" w:ascii="Times New Roman" w:hAnsi="Times New Roman" w:eastAsia="宋体" w:cs="Times New Roman"/>
                      <w:sz w:val="21"/>
                      <w:szCs w:val="21"/>
                    </w:rPr>
                    <w:t>）漆</w:t>
                  </w:r>
                  <w:r>
                    <w:rPr>
                      <w:rFonts w:hint="default" w:ascii="Times New Roman" w:hAnsi="Times New Roman" w:eastAsia="宋体" w:cs="Times New Roman"/>
                      <w:spacing w:val="-3"/>
                      <w:sz w:val="21"/>
                      <w:szCs w:val="21"/>
                    </w:rPr>
                    <w:t>；</w:t>
                  </w:r>
                  <w:r>
                    <w:rPr>
                      <w:rFonts w:hint="default" w:ascii="Times New Roman" w:hAnsi="Times New Roman" w:eastAsia="宋体" w:cs="Times New Roman"/>
                      <w:sz w:val="21"/>
                      <w:szCs w:val="21"/>
                    </w:rPr>
                    <w:t>③使用粉末涂料；④免中涂工艺</w:t>
                  </w:r>
                </w:p>
              </w:tc>
              <w:tc>
                <w:tcPr>
                  <w:tcW w:w="1415"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节水</w:t>
                  </w:r>
                  <w:r>
                    <w:rPr>
                      <w:rFonts w:hint="default" w:ascii="Times New Roman" w:hAnsi="Times New Roman" w:eastAsia="宋体" w:cs="Times New Roman"/>
                      <w:sz w:val="21"/>
                      <w:szCs w:val="21"/>
                      <w:vertAlign w:val="superscript"/>
                    </w:rPr>
                    <w:t>b</w:t>
                  </w:r>
                  <w:r>
                    <w:rPr>
                      <w:rFonts w:hint="default" w:ascii="Times New Roman" w:hAnsi="Times New Roman" w:eastAsia="宋体" w:cs="Times New Roman"/>
                      <w:sz w:val="21"/>
                      <w:szCs w:val="21"/>
                    </w:rPr>
                    <w:t>、节能</w:t>
                  </w:r>
                  <w:r>
                    <w:rPr>
                      <w:rFonts w:hint="default" w:ascii="Times New Roman" w:hAnsi="Times New Roman" w:eastAsia="宋体" w:cs="Times New Roman"/>
                      <w:sz w:val="21"/>
                      <w:szCs w:val="21"/>
                      <w:vertAlign w:val="superscript"/>
                    </w:rPr>
                    <w:t>c</w:t>
                  </w:r>
                  <w:r>
                    <w:rPr>
                      <w:rFonts w:hint="default" w:ascii="Times New Roman" w:hAnsi="Times New Roman" w:eastAsia="宋体" w:cs="Times New Roman"/>
                      <w:sz w:val="21"/>
                      <w:szCs w:val="21"/>
                    </w:rPr>
                    <w:t>技术应用</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278"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2131"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废溶剂收集、处理</w:t>
                  </w:r>
                  <w:r>
                    <w:rPr>
                      <w:rFonts w:hint="default" w:ascii="Times New Roman" w:hAnsi="Times New Roman" w:eastAsia="宋体" w:cs="Times New Roman"/>
                      <w:sz w:val="21"/>
                      <w:szCs w:val="21"/>
                      <w:vertAlign w:val="superscript"/>
                    </w:rPr>
                    <w:t>e</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烘干室</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1410"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节能技术应用</w:t>
                  </w:r>
                  <w:r>
                    <w:rPr>
                      <w:rFonts w:hint="default" w:ascii="Times New Roman" w:hAnsi="Times New Roman" w:eastAsia="宋体" w:cs="Times New Roman"/>
                      <w:sz w:val="21"/>
                      <w:szCs w:val="21"/>
                      <w:vertAlign w:val="superscript"/>
                    </w:rPr>
                    <w:t>c</w:t>
                  </w:r>
                  <w:r>
                    <w:rPr>
                      <w:rFonts w:hint="default" w:ascii="Times New Roman" w:hAnsi="Times New Roman" w:eastAsia="宋体" w:cs="Times New Roman"/>
                      <w:sz w:val="21"/>
                      <w:szCs w:val="21"/>
                    </w:rPr>
                    <w:t>；加热装置多级调节</w:t>
                  </w:r>
                  <w:r>
                    <w:rPr>
                      <w:rFonts w:hint="default" w:ascii="Times New Roman" w:hAnsi="Times New Roman" w:eastAsia="宋体" w:cs="Times New Roman"/>
                      <w:sz w:val="21"/>
                      <w:szCs w:val="21"/>
                      <w:vertAlign w:val="superscript"/>
                    </w:rPr>
                    <w:t>j</w:t>
                  </w:r>
                  <w:r>
                    <w:rPr>
                      <w:rFonts w:hint="default" w:ascii="Times New Roman" w:hAnsi="Times New Roman" w:eastAsia="宋体" w:cs="Times New Roman"/>
                      <w:sz w:val="21"/>
                      <w:szCs w:val="21"/>
                    </w:rPr>
                    <w:t>，使用清洁能源</w:t>
                  </w:r>
                </w:p>
              </w:tc>
              <w:tc>
                <w:tcPr>
                  <w:tcW w:w="721" w:type="pct"/>
                  <w:tcBorders>
                    <w:tl2br w:val="nil"/>
                    <w:tr2bl w:val="nil"/>
                  </w:tcBorders>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加热装置多级调节</w:t>
                  </w:r>
                  <w:r>
                    <w:rPr>
                      <w:rFonts w:hint="default" w:ascii="Times New Roman" w:hAnsi="Times New Roman" w:eastAsia="宋体" w:cs="Times New Roman"/>
                      <w:sz w:val="21"/>
                      <w:szCs w:val="21"/>
                      <w:vertAlign w:val="superscript"/>
                    </w:rPr>
                    <w:t>j</w:t>
                  </w:r>
                  <w:r>
                    <w:rPr>
                      <w:rFonts w:hint="default" w:ascii="Times New Roman" w:hAnsi="Times New Roman" w:eastAsia="宋体" w:cs="Times New Roman"/>
                      <w:sz w:val="21"/>
                      <w:szCs w:val="21"/>
                    </w:rPr>
                    <w:t>，使用清洁能源</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废气处理设施</w:t>
                  </w: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喷漆废气</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w:t>
                  </w:r>
                </w:p>
              </w:tc>
              <w:tc>
                <w:tcPr>
                  <w:tcW w:w="1410" w:type="pct"/>
                  <w:gridSpan w:val="2"/>
                  <w:tcBorders>
                    <w:tl2br w:val="nil"/>
                    <w:tr2bl w:val="nil"/>
                  </w:tcBorders>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溶剂工艺段有VOCs处理设施，处理效率≥85%；有VOCs处理设备运行监控装置</w:t>
                  </w:r>
                </w:p>
              </w:tc>
              <w:tc>
                <w:tcPr>
                  <w:tcW w:w="721" w:type="pct"/>
                  <w:tcBorders>
                    <w:tl2br w:val="nil"/>
                    <w:tr2bl w:val="nil"/>
                  </w:tcBorders>
                  <w:vAlign w:val="center"/>
                </w:tcPr>
                <w:p>
                  <w:pPr>
                    <w:autoSpaceDE w:val="0"/>
                    <w:autoSpaceDN w:val="0"/>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溶剂型喷漆有VOCs处理设施，处理效率≥75%；有VOCs处理设备运行监控装置</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涂层烘干废气</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w:t>
                  </w:r>
                  <w:r>
                    <w:rPr>
                      <w:rFonts w:hint="default" w:ascii="Times New Roman" w:hAnsi="Times New Roman" w:eastAsia="宋体" w:cs="Times New Roman"/>
                      <w:spacing w:val="1"/>
                      <w:sz w:val="21"/>
                      <w:szCs w:val="21"/>
                    </w:rPr>
                    <w:t>V</w:t>
                  </w:r>
                  <w:r>
                    <w:rPr>
                      <w:rFonts w:hint="default" w:ascii="Times New Roman" w:hAnsi="Times New Roman" w:eastAsia="宋体" w:cs="Times New Roman"/>
                      <w:sz w:val="21"/>
                      <w:szCs w:val="21"/>
                    </w:rPr>
                    <w:t>OCs处理设施，处理效率≥9</w:t>
                  </w:r>
                  <w:r>
                    <w:rPr>
                      <w:rFonts w:hint="default" w:ascii="Times New Roman" w:hAnsi="Times New Roman" w:eastAsia="宋体" w:cs="Times New Roman"/>
                      <w:spacing w:val="1"/>
                      <w:sz w:val="21"/>
                      <w:szCs w:val="21"/>
                    </w:rPr>
                    <w:t>8</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；有</w:t>
                  </w:r>
                  <w:r>
                    <w:rPr>
                      <w:rFonts w:hint="default" w:ascii="Times New Roman" w:hAnsi="Times New Roman" w:eastAsia="宋体" w:cs="Times New Roman"/>
                      <w:spacing w:val="1"/>
                      <w:sz w:val="21"/>
                      <w:szCs w:val="21"/>
                    </w:rPr>
                    <w:t>V</w:t>
                  </w:r>
                  <w:r>
                    <w:rPr>
                      <w:rFonts w:hint="default" w:ascii="Times New Roman" w:hAnsi="Times New Roman" w:eastAsia="宋体" w:cs="Times New Roman"/>
                      <w:sz w:val="21"/>
                      <w:szCs w:val="21"/>
                    </w:rPr>
                    <w:t>OCs处理设备运</w:t>
                  </w:r>
                  <w:r>
                    <w:rPr>
                      <w:rFonts w:hint="default" w:ascii="Times New Roman" w:hAnsi="Times New Roman" w:eastAsia="宋体" w:cs="Times New Roman"/>
                      <w:spacing w:val="-3"/>
                      <w:sz w:val="21"/>
                      <w:szCs w:val="21"/>
                    </w:rPr>
                    <w:t>行</w:t>
                  </w:r>
                  <w:r>
                    <w:rPr>
                      <w:rFonts w:hint="default" w:ascii="Times New Roman" w:hAnsi="Times New Roman" w:eastAsia="宋体" w:cs="Times New Roman"/>
                      <w:sz w:val="21"/>
                      <w:szCs w:val="21"/>
                    </w:rPr>
                    <w:t>监控装置</w:t>
                  </w:r>
                </w:p>
              </w:tc>
              <w:tc>
                <w:tcPr>
                  <w:tcW w:w="693"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w:t>
                  </w:r>
                  <w:r>
                    <w:rPr>
                      <w:rFonts w:hint="default" w:ascii="Times New Roman" w:hAnsi="Times New Roman" w:eastAsia="宋体" w:cs="Times New Roman"/>
                      <w:spacing w:val="1"/>
                      <w:sz w:val="21"/>
                      <w:szCs w:val="21"/>
                    </w:rPr>
                    <w:t>V</w:t>
                  </w:r>
                  <w:r>
                    <w:rPr>
                      <w:rFonts w:hint="default" w:ascii="Times New Roman" w:hAnsi="Times New Roman" w:eastAsia="宋体" w:cs="Times New Roman"/>
                      <w:sz w:val="21"/>
                      <w:szCs w:val="21"/>
                    </w:rPr>
                    <w:t>OCs处理设施</w:t>
                  </w:r>
                  <w:r>
                    <w:rPr>
                      <w:rFonts w:hint="default" w:ascii="Times New Roman" w:hAnsi="Times New Roman" w:eastAsia="宋体" w:cs="Times New Roman"/>
                      <w:spacing w:val="-58"/>
                      <w:sz w:val="21"/>
                      <w:szCs w:val="21"/>
                    </w:rPr>
                    <w:t>，</w:t>
                  </w:r>
                  <w:r>
                    <w:rPr>
                      <w:rFonts w:hint="default" w:ascii="Times New Roman" w:hAnsi="Times New Roman" w:eastAsia="宋体" w:cs="Times New Roman"/>
                      <w:sz w:val="21"/>
                      <w:szCs w:val="21"/>
                    </w:rPr>
                    <w:t>处理效率≥9</w:t>
                  </w:r>
                  <w:r>
                    <w:rPr>
                      <w:rFonts w:hint="default" w:ascii="Times New Roman" w:hAnsi="Times New Roman" w:eastAsia="宋体" w:cs="Times New Roman"/>
                      <w:spacing w:val="1"/>
                      <w:sz w:val="21"/>
                      <w:szCs w:val="21"/>
                    </w:rPr>
                    <w:t>5</w:t>
                  </w:r>
                  <w:r>
                    <w:rPr>
                      <w:rFonts w:hint="default" w:ascii="Times New Roman" w:hAnsi="Times New Roman" w:eastAsia="宋体" w:cs="Times New Roman"/>
                      <w:sz w:val="21"/>
                      <w:szCs w:val="21"/>
                    </w:rPr>
                    <w:t>%</w:t>
                  </w:r>
                  <w:r>
                    <w:rPr>
                      <w:rFonts w:hint="default" w:ascii="Times New Roman" w:hAnsi="Times New Roman" w:eastAsia="宋体" w:cs="Times New Roman"/>
                      <w:spacing w:val="-36"/>
                      <w:sz w:val="21"/>
                      <w:szCs w:val="21"/>
                    </w:rPr>
                    <w:t>；</w:t>
                  </w:r>
                  <w:r>
                    <w:rPr>
                      <w:rFonts w:hint="default" w:ascii="Times New Roman" w:hAnsi="Times New Roman" w:eastAsia="宋体" w:cs="Times New Roman"/>
                      <w:sz w:val="21"/>
                      <w:szCs w:val="21"/>
                    </w:rPr>
                    <w:t>有</w:t>
                  </w:r>
                  <w:r>
                    <w:rPr>
                      <w:rFonts w:hint="default" w:ascii="Times New Roman" w:hAnsi="Times New Roman" w:eastAsia="宋体" w:cs="Times New Roman"/>
                      <w:spacing w:val="1"/>
                      <w:sz w:val="21"/>
                      <w:szCs w:val="21"/>
                    </w:rPr>
                    <w:t>V</w:t>
                  </w:r>
                  <w:r>
                    <w:rPr>
                      <w:rFonts w:hint="default" w:ascii="Times New Roman" w:hAnsi="Times New Roman" w:eastAsia="宋体" w:cs="Times New Roman"/>
                      <w:sz w:val="21"/>
                      <w:szCs w:val="21"/>
                    </w:rPr>
                    <w:t>OCs处理设备运行监控装置</w:t>
                  </w:r>
                </w:p>
              </w:tc>
              <w:tc>
                <w:tcPr>
                  <w:tcW w:w="721"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w:t>
                  </w:r>
                  <w:r>
                    <w:rPr>
                      <w:rFonts w:hint="default" w:ascii="Times New Roman" w:hAnsi="Times New Roman" w:eastAsia="宋体" w:cs="Times New Roman"/>
                      <w:spacing w:val="1"/>
                      <w:sz w:val="21"/>
                      <w:szCs w:val="21"/>
                    </w:rPr>
                    <w:t>V</w:t>
                  </w:r>
                  <w:r>
                    <w:rPr>
                      <w:rFonts w:hint="default" w:ascii="Times New Roman" w:hAnsi="Times New Roman" w:eastAsia="宋体" w:cs="Times New Roman"/>
                      <w:sz w:val="21"/>
                      <w:szCs w:val="21"/>
                    </w:rPr>
                    <w:t>OCs处理设施</w:t>
                  </w:r>
                  <w:r>
                    <w:rPr>
                      <w:rFonts w:hint="default" w:ascii="Times New Roman" w:hAnsi="Times New Roman" w:eastAsia="宋体" w:cs="Times New Roman"/>
                      <w:spacing w:val="-68"/>
                      <w:sz w:val="21"/>
                      <w:szCs w:val="21"/>
                    </w:rPr>
                    <w:t>，</w:t>
                  </w:r>
                  <w:r>
                    <w:rPr>
                      <w:rFonts w:hint="default" w:ascii="Times New Roman" w:hAnsi="Times New Roman" w:eastAsia="宋体" w:cs="Times New Roman"/>
                      <w:sz w:val="21"/>
                      <w:szCs w:val="21"/>
                    </w:rPr>
                    <w:t>处理效率≥9</w:t>
                  </w:r>
                  <w:r>
                    <w:rPr>
                      <w:rFonts w:hint="default" w:ascii="Times New Roman" w:hAnsi="Times New Roman" w:eastAsia="宋体" w:cs="Times New Roman"/>
                      <w:spacing w:val="1"/>
                      <w:sz w:val="21"/>
                      <w:szCs w:val="21"/>
                    </w:rPr>
                    <w:t>0</w:t>
                  </w:r>
                  <w:r>
                    <w:rPr>
                      <w:rFonts w:hint="default" w:ascii="Times New Roman" w:hAnsi="Times New Roman" w:eastAsia="宋体" w:cs="Times New Roman"/>
                      <w:sz w:val="21"/>
                      <w:szCs w:val="21"/>
                    </w:rPr>
                    <w:t>%</w:t>
                  </w:r>
                  <w:r>
                    <w:rPr>
                      <w:rFonts w:hint="default" w:ascii="Times New Roman" w:hAnsi="Times New Roman" w:eastAsia="宋体" w:cs="Times New Roman"/>
                      <w:spacing w:val="-46"/>
                      <w:sz w:val="21"/>
                      <w:szCs w:val="21"/>
                    </w:rPr>
                    <w:t>；</w:t>
                  </w:r>
                  <w:r>
                    <w:rPr>
                      <w:rFonts w:hint="default" w:ascii="Times New Roman" w:hAnsi="Times New Roman" w:eastAsia="宋体" w:cs="Times New Roman"/>
                      <w:sz w:val="21"/>
                      <w:szCs w:val="21"/>
                    </w:rPr>
                    <w:t>有</w:t>
                  </w:r>
                  <w:r>
                    <w:rPr>
                      <w:rFonts w:hint="default" w:ascii="Times New Roman" w:hAnsi="Times New Roman" w:eastAsia="宋体" w:cs="Times New Roman"/>
                      <w:spacing w:val="1"/>
                      <w:sz w:val="21"/>
                      <w:szCs w:val="21"/>
                    </w:rPr>
                    <w:t>V</w:t>
                  </w:r>
                  <w:r>
                    <w:rPr>
                      <w:rFonts w:hint="default" w:ascii="Times New Roman" w:hAnsi="Times New Roman" w:eastAsia="宋体" w:cs="Times New Roman"/>
                      <w:sz w:val="21"/>
                      <w:szCs w:val="21"/>
                    </w:rPr>
                    <w:t>OCs处理设备运行监控装置</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原辅材料</w:t>
                  </w: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底漆</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VOCs≤30%</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VOCs≤35%</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VOCs≤45%</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中漆</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VOCs≤30%</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VOCs≤40%</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VOCs≤55%</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314" w:type="pct"/>
                  <w:gridSpan w:val="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面漆</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VOCs≤50%</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VOCs≤60%</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VOCs≤70%</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5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18"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喷枪清洗液</w:t>
                  </w:r>
                </w:p>
              </w:tc>
              <w:tc>
                <w:tcPr>
                  <w:tcW w:w="19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高固份漆</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VOCs含量≤5%</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VOCs含量≤20%</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VOCs含量≤30%</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22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资源和能耗消耗指标</w:t>
                  </w:r>
                </w:p>
              </w:tc>
              <w:tc>
                <w:tcPr>
                  <w:tcW w:w="452"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473" w:type="pct"/>
                  <w:gridSpan w:val="4"/>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单位面积取水量*</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L/m</w:t>
                  </w:r>
                  <w:r>
                    <w:rPr>
                      <w:rFonts w:hint="default" w:ascii="Times New Roman" w:hAnsi="Times New Roman" w:eastAsia="宋体" w:cs="Times New Roman"/>
                      <w:sz w:val="21"/>
                      <w:szCs w:val="21"/>
                      <w:vertAlign w:val="superscript"/>
                    </w:rPr>
                    <w:t>2</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0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本项目不涉及单位面积取水量，单位面积综合能耗</w:t>
                  </w:r>
                  <w:r>
                    <w:rPr>
                      <w:rFonts w:hint="default" w:ascii="Times New Roman" w:hAnsi="Times New Roman" w:cs="Times New Roman"/>
                      <w:sz w:val="21"/>
                      <w:szCs w:val="21"/>
                      <w:lang w:val="en-US" w:eastAsia="zh-CN"/>
                    </w:rPr>
                    <w:t>1.23</w:t>
                  </w:r>
                  <w:r>
                    <w:rPr>
                      <w:rFonts w:hint="default" w:ascii="Times New Roman" w:hAnsi="Times New Roman" w:eastAsia="宋体" w:cs="Times New Roman"/>
                      <w:sz w:val="21"/>
                      <w:szCs w:val="21"/>
                    </w:rPr>
                    <w:t>kgce/m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lang w:val="en-US" w:eastAsia="zh-CN"/>
                    </w:rPr>
                    <w:t>，单位重量综合能耗0.0</w:t>
                  </w:r>
                  <w:r>
                    <w:rPr>
                      <w:rFonts w:hint="default" w:ascii="Times New Roman" w:hAnsi="Times New Roman" w:cs="Times New Roman"/>
                      <w:sz w:val="21"/>
                      <w:szCs w:val="21"/>
                      <w:lang w:val="en-US" w:eastAsia="zh-CN"/>
                    </w:rPr>
                    <w:t>61</w:t>
                  </w:r>
                  <w:r>
                    <w:rPr>
                      <w:rFonts w:hint="default" w:ascii="Times New Roman" w:hAnsi="Times New Roman" w:eastAsia="宋体" w:cs="Times New Roman"/>
                      <w:sz w:val="21"/>
                      <w:szCs w:val="21"/>
                    </w:rPr>
                    <w:t>kgce/kg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73" w:type="pct"/>
                  <w:gridSpan w:val="4"/>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单位面积综合能耗*</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kgce/m</w:t>
                  </w:r>
                  <w:r>
                    <w:rPr>
                      <w:rFonts w:hint="default" w:ascii="Times New Roman" w:hAnsi="Times New Roman" w:eastAsia="宋体" w:cs="Times New Roman"/>
                      <w:sz w:val="21"/>
                      <w:szCs w:val="21"/>
                      <w:vertAlign w:val="superscript"/>
                    </w:rPr>
                    <w:t>2</w:t>
                  </w:r>
                </w:p>
              </w:tc>
              <w:tc>
                <w:tcPr>
                  <w:tcW w:w="71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≤1.26</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≤1.43</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73" w:type="pct"/>
                  <w:gridSpan w:val="4"/>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单位重量综合能耗*</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kgce/kg</w:t>
                  </w:r>
                </w:p>
              </w:tc>
              <w:tc>
                <w:tcPr>
                  <w:tcW w:w="71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≤0.23</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≤0.26</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≤0.31</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22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污染物产生指标</w:t>
                  </w:r>
                </w:p>
              </w:tc>
              <w:tc>
                <w:tcPr>
                  <w:tcW w:w="452"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237" w:type="pct"/>
                  <w:gridSpan w:val="2"/>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单位面积VOCs产生量*</w:t>
                  </w:r>
                </w:p>
              </w:tc>
              <w:tc>
                <w:tcPr>
                  <w:tcW w:w="236"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客车、大型机械</w:t>
                  </w:r>
                </w:p>
              </w:tc>
              <w:tc>
                <w:tcPr>
                  <w:tcW w:w="278"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2</w:t>
                  </w:r>
                </w:p>
              </w:tc>
              <w:tc>
                <w:tcPr>
                  <w:tcW w:w="71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≤210</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≤280</w:t>
                  </w:r>
                </w:p>
              </w:tc>
              <w:tc>
                <w:tcPr>
                  <w:tcW w:w="606"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本项目单位面积</w:t>
                  </w:r>
                  <w:r>
                    <w:rPr>
                      <w:rFonts w:hint="default" w:ascii="Times New Roman" w:hAnsi="Times New Roman" w:eastAsia="宋体" w:cs="Times New Roman"/>
                      <w:sz w:val="21"/>
                      <w:szCs w:val="21"/>
                    </w:rPr>
                    <w:t>VOCs</w:t>
                  </w:r>
                  <w:r>
                    <w:rPr>
                      <w:rFonts w:hint="default" w:ascii="Times New Roman" w:hAnsi="Times New Roman" w:eastAsia="宋体" w:cs="Times New Roman"/>
                      <w:sz w:val="21"/>
                      <w:szCs w:val="21"/>
                      <w:lang w:val="en-US" w:eastAsia="zh-CN"/>
                    </w:rPr>
                    <w:t>产生量</w:t>
                  </w:r>
                  <w:r>
                    <w:rPr>
                      <w:rFonts w:hint="eastAsia" w:cs="Times New Roman"/>
                      <w:sz w:val="21"/>
                      <w:szCs w:val="21"/>
                      <w:lang w:val="en-US" w:eastAsia="zh-CN"/>
                    </w:rPr>
                    <w:t>67.91</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lang w:val="en-US" w:eastAsia="zh-CN"/>
                    </w:rPr>
                    <w:t>＜150，</w:t>
                  </w:r>
                  <w:r>
                    <w:rPr>
                      <w:rFonts w:hint="default" w:ascii="Times New Roman" w:hAnsi="Times New Roman" w:eastAsia="宋体" w:cs="Times New Roman"/>
                      <w:sz w:val="21"/>
                      <w:szCs w:val="21"/>
                    </w:rPr>
                    <w:t>单位面积CODcr产生量</w:t>
                  </w:r>
                  <w:r>
                    <w:rPr>
                      <w:rFonts w:hint="default" w:ascii="Times New Roman" w:hAnsi="Times New Roman" w:eastAsia="宋体" w:cs="Times New Roman"/>
                      <w:sz w:val="21"/>
                      <w:szCs w:val="21"/>
                      <w:lang w:val="en-US" w:eastAsia="zh-CN"/>
                    </w:rPr>
                    <w:t>为0，</w:t>
                  </w:r>
                  <w:r>
                    <w:rPr>
                      <w:rFonts w:hint="default" w:ascii="Times New Roman" w:hAnsi="Times New Roman" w:eastAsia="宋体" w:cs="Times New Roman"/>
                      <w:sz w:val="21"/>
                      <w:szCs w:val="21"/>
                    </w:rPr>
                    <w:t>单位面积的危险废物产生量</w:t>
                  </w:r>
                  <w:r>
                    <w:rPr>
                      <w:rFonts w:hint="eastAsia" w:cs="Times New Roman"/>
                      <w:sz w:val="21"/>
                      <w:szCs w:val="21"/>
                      <w:lang w:val="en-US" w:eastAsia="zh-CN"/>
                    </w:rPr>
                    <w:t>34.91</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237" w:type="pct"/>
                  <w:gridSpan w:val="2"/>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236" w:type="pct"/>
                  <w:gridSpan w:val="2"/>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278"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71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73" w:type="pct"/>
                  <w:gridSpan w:val="4"/>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单位面积CODcr产生量*</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2</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5"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22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52"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473" w:type="pct"/>
                  <w:gridSpan w:val="4"/>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单位面积的危险废物产生量*</w:t>
                  </w:r>
                </w:p>
              </w:tc>
              <w:tc>
                <w:tcPr>
                  <w:tcW w:w="278"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2</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c>
                <w:tcPr>
                  <w:tcW w:w="716"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693"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c>
                <w:tcPr>
                  <w:tcW w:w="721"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606" w:type="pct"/>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13"/>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综上所述，本项目限定性指标全部满足I级基准值要求及以上，故</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喷涂工序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清洁生产水平为国内清洁生产先进水平。</w:t>
                  </w:r>
                </w:p>
              </w:tc>
            </w:tr>
          </w:tbl>
          <w:p>
            <w:pPr>
              <w:rPr>
                <w:rFonts w:hint="default" w:ascii="Times New Roman" w:hAnsi="Times New Roman" w:eastAsia="宋体" w:cs="Times New Roman"/>
                <w:sz w:val="24"/>
                <w:vertAlign w:val="baseline"/>
                <w:lang w:val="en-US" w:eastAsia="zh-CN"/>
              </w:rPr>
            </w:pPr>
          </w:p>
        </w:tc>
      </w:tr>
    </w:tbl>
    <w:p>
      <w:pPr>
        <w:pStyle w:val="11"/>
        <w:rPr>
          <w:rFonts w:hint="default" w:ascii="Times New Roman" w:hAnsi="Times New Roman" w:cs="Times New Roman"/>
        </w:rPr>
        <w:sectPr>
          <w:footerReference r:id="rId6"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start="42"/>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二、建设项目工程分析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5" w:hRule="atLeast"/>
          <w:jc w:val="center"/>
        </w:trPr>
        <w:tc>
          <w:tcPr>
            <w:tcW w:w="822" w:type="dxa"/>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
                <w:bCs/>
                <w:sz w:val="21"/>
                <w:szCs w:val="21"/>
              </w:rPr>
              <w:t>建设内容</w:t>
            </w:r>
          </w:p>
        </w:tc>
        <w:tc>
          <w:tcPr>
            <w:tcW w:w="7891" w:type="dxa"/>
          </w:tcPr>
          <w:p>
            <w:pPr>
              <w:spacing w:line="360" w:lineRule="auto"/>
              <w:ind w:left="420" w:leftChars="200"/>
              <w:rPr>
                <w:rFonts w:hint="default" w:ascii="Times New Roman" w:hAnsi="Times New Roman" w:cs="Times New Roman"/>
                <w:b/>
                <w:bCs/>
                <w:sz w:val="24"/>
              </w:rPr>
            </w:pPr>
            <w:r>
              <w:rPr>
                <w:rFonts w:hint="default" w:ascii="Times New Roman" w:hAnsi="Times New Roman" w:cs="Times New Roman"/>
                <w:b/>
                <w:bCs/>
                <w:sz w:val="24"/>
              </w:rPr>
              <w:t>1、任务由来</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江苏斯伯特智能装备有限公司成立于2024年10月，</w:t>
            </w:r>
            <w:r>
              <w:rPr>
                <w:rFonts w:hint="eastAsia" w:ascii="Times New Roman" w:hAnsi="Times New Roman" w:cs="Times New Roman"/>
                <w:sz w:val="24"/>
                <w:szCs w:val="24"/>
                <w:lang w:val="en-US" w:eastAsia="zh-CN"/>
              </w:rPr>
              <w:t>拟在</w:t>
            </w:r>
            <w:r>
              <w:rPr>
                <w:rFonts w:hint="default" w:ascii="Times New Roman" w:hAnsi="Times New Roman" w:cs="Times New Roman"/>
                <w:sz w:val="24"/>
                <w:szCs w:val="24"/>
              </w:rPr>
              <w:t>如皋市搬经镇搬经社区10组、19组、村集体</w:t>
            </w:r>
            <w:r>
              <w:rPr>
                <w:rFonts w:hint="eastAsia" w:ascii="Times New Roman" w:hAnsi="Times New Roman" w:cs="Times New Roman"/>
                <w:sz w:val="24"/>
                <w:szCs w:val="24"/>
                <w:lang w:val="en-US" w:eastAsia="zh-CN"/>
              </w:rPr>
              <w:t>土地建设厂房及配套设施</w:t>
            </w:r>
            <w:r>
              <w:rPr>
                <w:rFonts w:hint="default" w:ascii="Times New Roman" w:hAnsi="Times New Roman" w:cs="Times New Roman"/>
                <w:sz w:val="24"/>
                <w:szCs w:val="24"/>
              </w:rPr>
              <w:t xml:space="preserve">，拟从事数控机床设备的生产制造。  </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数控机床作为现代制造业的</w:t>
            </w:r>
            <w:r>
              <w:rPr>
                <w:rFonts w:hint="default" w:ascii="Times New Roman" w:hAnsi="Times New Roman" w:cs="Times New Roman"/>
                <w:sz w:val="24"/>
                <w:szCs w:val="24"/>
                <w:lang w:eastAsia="zh-CN"/>
              </w:rPr>
              <w:t>“</w:t>
            </w:r>
            <w:r>
              <w:rPr>
                <w:rFonts w:hint="default" w:ascii="Times New Roman" w:hAnsi="Times New Roman" w:cs="Times New Roman"/>
                <w:sz w:val="24"/>
                <w:szCs w:val="24"/>
              </w:rPr>
              <w:t>工作母机</w:t>
            </w:r>
            <w:r>
              <w:rPr>
                <w:rFonts w:hint="default" w:ascii="Times New Roman" w:hAnsi="Times New Roman" w:cs="Times New Roman"/>
                <w:sz w:val="24"/>
                <w:szCs w:val="24"/>
                <w:lang w:eastAsia="zh-CN"/>
              </w:rPr>
              <w:t>”</w:t>
            </w:r>
            <w:r>
              <w:rPr>
                <w:rFonts w:hint="default" w:ascii="Times New Roman" w:hAnsi="Times New Roman" w:cs="Times New Roman"/>
                <w:sz w:val="24"/>
                <w:szCs w:val="24"/>
              </w:rPr>
              <w:t>，是衡量一个国家制造业水平的重要标志。中国政府高度重视数控机床产业的发展，近年来出台了一系列政策措施，推动产业转型升级和高质量发展。未来，随着政策的持续加码和产业自身的不断努力，数控机床产业将迎来更加广阔的发展空间，为实现制造强国目标提供有力支撑。江苏斯伯特智能装备有限公司在此背景下，拟新建建筑面积约29779平方米（计容面积约48837平方米），购置先进数控加工中心TV1160、镗床1200、磨床12040、激光切割机GX-M、折弯机WC67K等设备约120台（套）。 项目实施过程中不使用国家限制、淘汰类工艺设备，不生产国家限制、淘汰类产品，同步落实节能、环保、安全、消防、职业病危害防治措施，并办理相关手续，达到国家相关标准。项目建成投产后，预计年产5000套数控机床设备。</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中华人民共和国环境保护法》（2014年）、《建设项目环境保护管理条例》（国务院第682号令），建设过程中或者建成投产后可能对环境产生影响的新建、扩建、改建、迁建、技术改造项目及区域开发建设项目，必须进行环境影响评价。根据《建设项目环境影响评价分类管理名录》（2021版），本项目为</w:t>
            </w:r>
            <w:r>
              <w:rPr>
                <w:rFonts w:hint="default" w:ascii="Times New Roman" w:hAnsi="Times New Roman" w:cs="Times New Roman"/>
                <w:color w:val="000000"/>
                <w:sz w:val="24"/>
                <w:szCs w:val="24"/>
              </w:rPr>
              <w:t>〔C3421〕金属切削机床制造，</w:t>
            </w:r>
            <w:r>
              <w:rPr>
                <w:rFonts w:hint="eastAsia" w:cs="Times New Roman"/>
                <w:color w:val="000000"/>
                <w:sz w:val="24"/>
                <w:szCs w:val="24"/>
                <w:lang w:val="en-US" w:eastAsia="zh-CN"/>
              </w:rPr>
              <w:t>项目年用</w:t>
            </w:r>
            <w:r>
              <w:rPr>
                <w:rFonts w:hint="default" w:ascii="Times New Roman" w:hAnsi="Times New Roman" w:cs="Times New Roman"/>
                <w:color w:val="000000"/>
                <w:sz w:val="24"/>
                <w:szCs w:val="24"/>
              </w:rPr>
              <w:t>溶剂型涂料（含稀释剂）</w:t>
            </w:r>
            <w:r>
              <w:rPr>
                <w:rFonts w:hint="eastAsia" w:ascii="Times New Roman" w:hAnsi="Times New Roman" w:cs="Times New Roman"/>
                <w:color w:val="000000"/>
                <w:sz w:val="24"/>
                <w:szCs w:val="24"/>
                <w:lang w:val="en-US" w:eastAsia="zh-CN"/>
              </w:rPr>
              <w:t>10吨以下</w:t>
            </w:r>
            <w:r>
              <w:rPr>
                <w:rFonts w:hint="default" w:ascii="Times New Roman" w:hAnsi="Times New Roman" w:cs="Times New Roman"/>
                <w:color w:val="000000"/>
                <w:sz w:val="24"/>
                <w:szCs w:val="24"/>
              </w:rPr>
              <w:t>，同时本项目不涉及电镀工艺，属于</w:t>
            </w:r>
            <w:r>
              <w:rPr>
                <w:rFonts w:hint="default" w:ascii="Times New Roman" w:hAnsi="Times New Roman" w:cs="Times New Roman"/>
                <w:sz w:val="24"/>
                <w:szCs w:val="24"/>
                <w:u w:val="single"/>
              </w:rPr>
              <w:t>三十一、通用设备制造业34金属加工机械制造342中“其他（仅分割、焊接、组装的除外；年用非溶剂型低VOCs含量涂料10吨以下的除外）”</w:t>
            </w:r>
            <w:r>
              <w:rPr>
                <w:rFonts w:hint="default" w:ascii="Times New Roman" w:hAnsi="Times New Roman" w:cs="Times New Roman"/>
                <w:sz w:val="24"/>
                <w:szCs w:val="24"/>
              </w:rPr>
              <w:t>，应编制环境影响报告表。</w:t>
            </w:r>
          </w:p>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2、项目组成</w:t>
            </w:r>
          </w:p>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（1）主体工程</w:t>
            </w:r>
          </w:p>
          <w:p>
            <w:pPr>
              <w:pStyle w:val="11"/>
              <w:spacing w:before="0" w:after="0" w:line="360" w:lineRule="auto"/>
              <w:ind w:right="0" w:firstLine="480" w:firstLineChars="200"/>
              <w:rPr>
                <w:rFonts w:hint="default" w:ascii="Times New Roman" w:hAnsi="Times New Roman" w:cs="Times New Roman"/>
                <w:b/>
                <w:bCs/>
                <w:sz w:val="24"/>
                <w:szCs w:val="24"/>
              </w:rPr>
            </w:pPr>
            <w:r>
              <w:rPr>
                <w:rFonts w:hint="default" w:ascii="Times New Roman" w:hAnsi="Times New Roman" w:cs="Times New Roman"/>
                <w:sz w:val="24"/>
                <w:szCs w:val="24"/>
              </w:rPr>
              <w:t>本项目新建厂房，设有车间一、研发楼1、研发楼2、门卫等。本项目厂区</w:t>
            </w:r>
            <w:r>
              <w:rPr>
                <w:rFonts w:hint="default" w:ascii="Times New Roman" w:hAnsi="Times New Roman" w:cs="Times New Roman"/>
                <w:sz w:val="24"/>
                <w:szCs w:val="24"/>
                <w:lang w:val="en-US" w:eastAsia="zh-CN"/>
              </w:rPr>
              <w:t>总</w:t>
            </w:r>
            <w:r>
              <w:rPr>
                <w:rFonts w:hint="default" w:ascii="Times New Roman" w:hAnsi="Times New Roman" w:cs="Times New Roman"/>
                <w:sz w:val="24"/>
                <w:szCs w:val="24"/>
              </w:rPr>
              <w:t>平图见附图4。本项目主要经济技术指标见表2-1。</w:t>
            </w:r>
          </w:p>
          <w:p>
            <w:pPr>
              <w:adjustRightInd w:val="0"/>
              <w:snapToGrid w:val="0"/>
              <w:jc w:val="center"/>
              <w:rPr>
                <w:rFonts w:hint="default" w:ascii="Times New Roman" w:hAnsi="Times New Roman" w:cs="Times New Roman"/>
                <w:b/>
                <w:bCs/>
                <w:sz w:val="24"/>
              </w:rPr>
            </w:pPr>
            <w:r>
              <w:rPr>
                <w:rFonts w:hint="default" w:ascii="Times New Roman" w:hAnsi="Times New Roman" w:cs="Times New Roman"/>
                <w:b/>
                <w:bCs/>
                <w:sz w:val="24"/>
              </w:rPr>
              <w:t>表2-1  技术经济指标一览表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541"/>
              <w:gridCol w:w="1263"/>
              <w:gridCol w:w="1402"/>
              <w:gridCol w:w="1286"/>
              <w:gridCol w:w="816"/>
              <w:gridCol w:w="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序号</w:t>
                  </w:r>
                </w:p>
              </w:tc>
              <w:tc>
                <w:tcPr>
                  <w:tcW w:w="1007"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名称</w:t>
                  </w:r>
                </w:p>
              </w:tc>
              <w:tc>
                <w:tcPr>
                  <w:tcW w:w="825"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层数（层）</w:t>
                  </w:r>
                </w:p>
              </w:tc>
              <w:tc>
                <w:tcPr>
                  <w:tcW w:w="916"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占地面积（m</w:t>
                  </w:r>
                  <w:r>
                    <w:rPr>
                      <w:rFonts w:hint="default" w:ascii="Times New Roman" w:hAnsi="Times New Roman" w:eastAsia="宋体" w:cs="Times New Roman"/>
                      <w:b/>
                      <w:vertAlign w:val="superscript"/>
                      <w:lang w:eastAsia="zh-CN"/>
                    </w:rPr>
                    <w:t>2</w:t>
                  </w:r>
                  <w:r>
                    <w:rPr>
                      <w:rFonts w:hint="default" w:ascii="Times New Roman" w:hAnsi="Times New Roman" w:eastAsia="宋体" w:cs="Times New Roman"/>
                      <w:b/>
                      <w:lang w:eastAsia="zh-CN"/>
                    </w:rPr>
                    <w:t>）</w:t>
                  </w:r>
                </w:p>
              </w:tc>
              <w:tc>
                <w:tcPr>
                  <w:tcW w:w="840"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建筑面积（m</w:t>
                  </w:r>
                  <w:r>
                    <w:rPr>
                      <w:rFonts w:hint="default" w:ascii="Times New Roman" w:hAnsi="Times New Roman" w:eastAsia="宋体" w:cs="Times New Roman"/>
                      <w:b/>
                      <w:vertAlign w:val="superscript"/>
                      <w:lang w:eastAsia="zh-CN"/>
                    </w:rPr>
                    <w:t>2</w:t>
                  </w:r>
                  <w:r>
                    <w:rPr>
                      <w:rFonts w:hint="default" w:ascii="Times New Roman" w:hAnsi="Times New Roman" w:eastAsia="宋体" w:cs="Times New Roman"/>
                      <w:b/>
                      <w:lang w:eastAsia="zh-CN"/>
                    </w:rPr>
                    <w:t>）</w:t>
                  </w:r>
                </w:p>
              </w:tc>
              <w:tc>
                <w:tcPr>
                  <w:tcW w:w="534"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高度（m）</w:t>
                  </w:r>
                </w:p>
              </w:tc>
              <w:tc>
                <w:tcPr>
                  <w:tcW w:w="458"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防火等级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1</w:t>
                  </w:r>
                </w:p>
              </w:tc>
              <w:tc>
                <w:tcPr>
                  <w:tcW w:w="1007"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车间一</w:t>
                  </w:r>
                </w:p>
              </w:tc>
              <w:tc>
                <w:tcPr>
                  <w:tcW w:w="825"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1F</w:t>
                  </w:r>
                </w:p>
              </w:tc>
              <w:tc>
                <w:tcPr>
                  <w:tcW w:w="916"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21476.1</w:t>
                  </w:r>
                </w:p>
              </w:tc>
              <w:tc>
                <w:tcPr>
                  <w:tcW w:w="840"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23868.4</w:t>
                  </w:r>
                </w:p>
              </w:tc>
              <w:tc>
                <w:tcPr>
                  <w:tcW w:w="534"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16.6</w:t>
                  </w:r>
                </w:p>
              </w:tc>
              <w:tc>
                <w:tcPr>
                  <w:tcW w:w="458"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2</w:t>
                  </w:r>
                </w:p>
              </w:tc>
              <w:tc>
                <w:tcPr>
                  <w:tcW w:w="1007" w:type="pct"/>
                  <w:tcBorders>
                    <w:tl2br w:val="nil"/>
                    <w:tr2bl w:val="nil"/>
                  </w:tcBorders>
                  <w:vAlign w:val="center"/>
                </w:tcPr>
                <w:p>
                  <w:pPr>
                    <w:jc w:val="center"/>
                    <w:rPr>
                      <w:rFonts w:hint="default" w:ascii="Times New Roman" w:hAnsi="Times New Roman" w:cs="Times New Roman"/>
                      <w:bCs/>
                    </w:rPr>
                  </w:pPr>
                  <w:r>
                    <w:rPr>
                      <w:rFonts w:hint="default" w:ascii="Times New Roman" w:hAnsi="Times New Roman" w:cs="Times New Roman"/>
                      <w:bCs/>
                    </w:rPr>
                    <w:t>门卫</w:t>
                  </w:r>
                </w:p>
              </w:tc>
              <w:tc>
                <w:tcPr>
                  <w:tcW w:w="825" w:type="pct"/>
                  <w:tcBorders>
                    <w:tl2br w:val="nil"/>
                    <w:tr2bl w:val="nil"/>
                  </w:tcBorders>
                  <w:vAlign w:val="center"/>
                </w:tcPr>
                <w:p>
                  <w:pPr>
                    <w:jc w:val="center"/>
                    <w:rPr>
                      <w:rFonts w:hint="default" w:ascii="Times New Roman" w:hAnsi="Times New Roman" w:cs="Times New Roman"/>
                      <w:bCs/>
                    </w:rPr>
                  </w:pPr>
                  <w:r>
                    <w:rPr>
                      <w:rFonts w:hint="default" w:ascii="Times New Roman" w:hAnsi="Times New Roman" w:cs="Times New Roman"/>
                      <w:bCs/>
                    </w:rPr>
                    <w:t>1F</w:t>
                  </w:r>
                </w:p>
              </w:tc>
              <w:tc>
                <w:tcPr>
                  <w:tcW w:w="916" w:type="pct"/>
                  <w:tcBorders>
                    <w:tl2br w:val="nil"/>
                    <w:tr2bl w:val="nil"/>
                  </w:tcBorders>
                  <w:vAlign w:val="center"/>
                </w:tcPr>
                <w:p>
                  <w:pPr>
                    <w:jc w:val="center"/>
                    <w:rPr>
                      <w:rFonts w:hint="default" w:ascii="Times New Roman" w:hAnsi="Times New Roman" w:cs="Times New Roman"/>
                      <w:bCs/>
                    </w:rPr>
                  </w:pPr>
                  <w:r>
                    <w:rPr>
                      <w:rFonts w:hint="default" w:ascii="Times New Roman" w:hAnsi="Times New Roman" w:cs="Times New Roman"/>
                      <w:bCs/>
                    </w:rPr>
                    <w:t>34.9</w:t>
                  </w:r>
                </w:p>
              </w:tc>
              <w:tc>
                <w:tcPr>
                  <w:tcW w:w="840" w:type="pct"/>
                  <w:tcBorders>
                    <w:tl2br w:val="nil"/>
                    <w:tr2bl w:val="nil"/>
                  </w:tcBorders>
                  <w:vAlign w:val="center"/>
                </w:tcPr>
                <w:p>
                  <w:pPr>
                    <w:jc w:val="center"/>
                    <w:rPr>
                      <w:rFonts w:hint="default" w:ascii="Times New Roman" w:hAnsi="Times New Roman" w:cs="Times New Roman"/>
                      <w:bCs/>
                    </w:rPr>
                  </w:pPr>
                  <w:r>
                    <w:rPr>
                      <w:rFonts w:hint="default" w:ascii="Times New Roman" w:hAnsi="Times New Roman" w:cs="Times New Roman"/>
                      <w:bCs/>
                    </w:rPr>
                    <w:t>34.9</w:t>
                  </w:r>
                </w:p>
              </w:tc>
              <w:tc>
                <w:tcPr>
                  <w:tcW w:w="534" w:type="pct"/>
                  <w:tcBorders>
                    <w:tl2br w:val="nil"/>
                    <w:tr2bl w:val="nil"/>
                  </w:tcBorders>
                  <w:vAlign w:val="center"/>
                </w:tcPr>
                <w:p>
                  <w:pPr>
                    <w:jc w:val="center"/>
                    <w:rPr>
                      <w:rFonts w:hint="default" w:ascii="Times New Roman" w:hAnsi="Times New Roman" w:cs="Times New Roman"/>
                      <w:bCs/>
                    </w:rPr>
                  </w:pPr>
                  <w:r>
                    <w:rPr>
                      <w:rFonts w:hint="default" w:ascii="Times New Roman" w:hAnsi="Times New Roman" w:cs="Times New Roman"/>
                      <w:bCs/>
                    </w:rPr>
                    <w:t>4.15</w:t>
                  </w:r>
                </w:p>
              </w:tc>
              <w:tc>
                <w:tcPr>
                  <w:tcW w:w="458" w:type="pct"/>
                  <w:tcBorders>
                    <w:tl2br w:val="nil"/>
                    <w:tr2bl w:val="nil"/>
                  </w:tcBorders>
                  <w:vAlign w:val="center"/>
                </w:tcPr>
                <w:p>
                  <w:pPr>
                    <w:jc w:val="center"/>
                    <w:rPr>
                      <w:rFonts w:hint="default" w:ascii="Times New Roman" w:hAnsi="Times New Roman" w:cs="Times New Roman"/>
                      <w:bCs/>
                    </w:rPr>
                  </w:pPr>
                  <w:r>
                    <w:rPr>
                      <w:rFonts w:hint="default" w:ascii="Times New Roman" w:hAnsi="Times New Roman" w:cs="Times New Roman"/>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3</w:t>
                  </w:r>
                </w:p>
              </w:tc>
              <w:tc>
                <w:tcPr>
                  <w:tcW w:w="1007"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研发楼1（二期）</w:t>
                  </w:r>
                </w:p>
              </w:tc>
              <w:tc>
                <w:tcPr>
                  <w:tcW w:w="825"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5F</w:t>
                  </w:r>
                </w:p>
              </w:tc>
              <w:tc>
                <w:tcPr>
                  <w:tcW w:w="916"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1062.7</w:t>
                  </w:r>
                </w:p>
              </w:tc>
              <w:tc>
                <w:tcPr>
                  <w:tcW w:w="840"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5391.6</w:t>
                  </w:r>
                </w:p>
              </w:tc>
              <w:tc>
                <w:tcPr>
                  <w:tcW w:w="534"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19.5</w:t>
                  </w:r>
                </w:p>
              </w:tc>
              <w:tc>
                <w:tcPr>
                  <w:tcW w:w="458"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4</w:t>
                  </w:r>
                </w:p>
              </w:tc>
              <w:tc>
                <w:tcPr>
                  <w:tcW w:w="1007"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研发楼2（二期）</w:t>
                  </w:r>
                </w:p>
              </w:tc>
              <w:tc>
                <w:tcPr>
                  <w:tcW w:w="825"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2F</w:t>
                  </w:r>
                </w:p>
              </w:tc>
              <w:tc>
                <w:tcPr>
                  <w:tcW w:w="916"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1129.8</w:t>
                  </w:r>
                </w:p>
              </w:tc>
              <w:tc>
                <w:tcPr>
                  <w:tcW w:w="840"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2259.6</w:t>
                  </w:r>
                </w:p>
              </w:tc>
              <w:tc>
                <w:tcPr>
                  <w:tcW w:w="534"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9</w:t>
                  </w:r>
                </w:p>
              </w:tc>
              <w:tc>
                <w:tcPr>
                  <w:tcW w:w="458" w:type="pct"/>
                  <w:tcBorders>
                    <w:tl2br w:val="nil"/>
                    <w:tr2bl w:val="nil"/>
                  </w:tcBorders>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w:t>
                  </w:r>
                </w:p>
              </w:tc>
            </w:tr>
          </w:tbl>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（2）公用及辅助工程</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①供水</w:t>
            </w:r>
          </w:p>
          <w:p>
            <w:pPr>
              <w:pStyle w:val="9"/>
              <w:adjustRightInd w:val="0"/>
              <w:snapToGrid w:val="0"/>
              <w:spacing w:line="360" w:lineRule="auto"/>
              <w:ind w:firstLine="480"/>
              <w:rPr>
                <w:rFonts w:hint="default" w:ascii="Times New Roman" w:hAnsi="Times New Roman" w:cs="Times New Roman"/>
                <w:kern w:val="2"/>
                <w:szCs w:val="24"/>
              </w:rPr>
            </w:pPr>
            <w:r>
              <w:rPr>
                <w:rFonts w:hint="default" w:ascii="Times New Roman" w:hAnsi="Times New Roman" w:cs="Times New Roman"/>
                <w:kern w:val="2"/>
                <w:szCs w:val="24"/>
              </w:rPr>
              <w:t>项目所在厂区供水来自如皋市市政给水管网，本项目用新鲜水量约</w:t>
            </w:r>
            <w:r>
              <w:rPr>
                <w:rFonts w:hint="default" w:ascii="Times New Roman" w:hAnsi="Times New Roman" w:cs="Times New Roman"/>
                <w:kern w:val="2"/>
                <w:szCs w:val="24"/>
                <w:lang w:eastAsia="zh-CN"/>
              </w:rPr>
              <w:t>3124.28</w:t>
            </w:r>
            <w:r>
              <w:rPr>
                <w:rFonts w:hint="default" w:ascii="Times New Roman" w:hAnsi="Times New Roman" w:cs="Times New Roman"/>
                <w:kern w:val="2"/>
                <w:szCs w:val="24"/>
              </w:rPr>
              <w:t>t/a，主要为生活用水、锅炉用水、</w:t>
            </w:r>
            <w:r>
              <w:rPr>
                <w:rFonts w:hint="default" w:ascii="Times New Roman" w:hAnsi="Times New Roman" w:cs="Times New Roman"/>
                <w:kern w:val="2"/>
                <w:szCs w:val="24"/>
                <w:lang w:val="en-US" w:eastAsia="zh-CN"/>
              </w:rPr>
              <w:t>冷却用水、</w:t>
            </w:r>
            <w:r>
              <w:rPr>
                <w:rFonts w:hint="default" w:ascii="Times New Roman" w:hAnsi="Times New Roman" w:cs="Times New Roman"/>
                <w:kern w:val="2"/>
                <w:szCs w:val="24"/>
              </w:rPr>
              <w:t>喷淋塔用水、喷枪头清洗用水。</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②排水</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项目所在厂区排水实行</w:t>
            </w:r>
            <w:r>
              <w:rPr>
                <w:rFonts w:hint="default" w:ascii="Times New Roman" w:hAnsi="Times New Roman" w:cs="Times New Roman"/>
                <w:sz w:val="24"/>
                <w:lang w:eastAsia="zh-CN"/>
              </w:rPr>
              <w:t>“</w:t>
            </w:r>
            <w:r>
              <w:rPr>
                <w:rFonts w:hint="default" w:ascii="Times New Roman" w:hAnsi="Times New Roman" w:cs="Times New Roman"/>
                <w:sz w:val="24"/>
              </w:rPr>
              <w:t>雨污分流</w:t>
            </w:r>
            <w:r>
              <w:rPr>
                <w:rFonts w:hint="default" w:ascii="Times New Roman" w:hAnsi="Times New Roman" w:cs="Times New Roman"/>
                <w:sz w:val="24"/>
                <w:lang w:eastAsia="zh-CN"/>
              </w:rPr>
              <w:t>”</w:t>
            </w:r>
            <w:r>
              <w:rPr>
                <w:rFonts w:hint="default" w:ascii="Times New Roman" w:hAnsi="Times New Roman" w:cs="Times New Roman"/>
                <w:sz w:val="24"/>
              </w:rPr>
              <w:t>制，项目设置1个雨水排放口和1个污水排放口。</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③供电</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本项目年用电量</w:t>
            </w:r>
            <w:r>
              <w:rPr>
                <w:rFonts w:hint="default" w:ascii="Times New Roman" w:hAnsi="Times New Roman" w:cs="Times New Roman"/>
                <w:sz w:val="24"/>
                <w:lang w:val="en-US" w:eastAsia="zh-CN"/>
              </w:rPr>
              <w:t>150</w:t>
            </w:r>
            <w:r>
              <w:rPr>
                <w:rFonts w:hint="default" w:ascii="Times New Roman" w:hAnsi="Times New Roman" w:cs="Times New Roman"/>
                <w:sz w:val="24"/>
              </w:rPr>
              <w:t>万kW·h，用电由如皋市政电网提供，供电可靠，可以满足本项目的需求。</w:t>
            </w:r>
          </w:p>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（3）储运工程</w:t>
            </w:r>
          </w:p>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本项目原料、产品储存于厂房内划分的仓库，原料及成品进出厂均采用汽车运输。</w:t>
            </w:r>
          </w:p>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（4）环保工程</w:t>
            </w:r>
          </w:p>
          <w:p>
            <w:pPr>
              <w:pStyle w:val="11"/>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sz w:val="24"/>
                <w:szCs w:val="24"/>
              </w:rPr>
              <w:t>废气：本项目发泡废气经集气罩收集后通过二级活性炭处理，达标尾气通过20m高排气筒（DA001）排放；</w:t>
            </w:r>
            <w:r>
              <w:rPr>
                <w:rFonts w:hint="eastAsia" w:cs="Times New Roman"/>
                <w:sz w:val="24"/>
                <w:szCs w:val="24"/>
                <w:lang w:val="en-US" w:eastAsia="zh-CN"/>
              </w:rPr>
              <w:t>混砂、</w:t>
            </w:r>
            <w:r>
              <w:rPr>
                <w:rFonts w:hint="default" w:ascii="Times New Roman" w:hAnsi="Times New Roman" w:cs="Times New Roman"/>
                <w:sz w:val="24"/>
                <w:szCs w:val="24"/>
              </w:rPr>
              <w:t>冷芯制模废气经集气罩收集后通过布袋除尘器+磷酸喷淋</w:t>
            </w:r>
            <w:r>
              <w:rPr>
                <w:rFonts w:hint="default" w:ascii="Times New Roman" w:hAnsi="Times New Roman" w:cs="Times New Roman"/>
                <w:color w:val="auto"/>
                <w:sz w:val="24"/>
                <w:szCs w:val="24"/>
              </w:rPr>
              <w:t>塔</w:t>
            </w:r>
            <w:r>
              <w:rPr>
                <w:rFonts w:hint="default" w:ascii="Times New Roman" w:hAnsi="Times New Roman" w:cs="Times New Roman"/>
                <w:color w:val="auto"/>
                <w:sz w:val="24"/>
                <w:szCs w:val="24"/>
                <w:lang w:val="en-US" w:eastAsia="zh-CN"/>
              </w:rPr>
              <w:t>+除雾器+二级活性炭</w:t>
            </w:r>
            <w:r>
              <w:rPr>
                <w:rFonts w:hint="default" w:ascii="Times New Roman" w:hAnsi="Times New Roman" w:cs="Times New Roman"/>
                <w:sz w:val="24"/>
                <w:szCs w:val="24"/>
              </w:rPr>
              <w:t>处理，达标尾气通过20m高排气筒（DA002）排放；</w:t>
            </w:r>
            <w:r>
              <w:rPr>
                <w:rFonts w:hint="default" w:ascii="Times New Roman" w:hAnsi="Times New Roman" w:cs="Times New Roman"/>
                <w:sz w:val="24"/>
                <w:szCs w:val="24"/>
                <w:lang w:val="en-US" w:eastAsia="zh-CN"/>
              </w:rPr>
              <w:t>刮腻子（含电烘干）废气经密闭收集后通过冷却器+二级活性炭处理，达标尾气通过20m高排气筒（DA003）排放；</w:t>
            </w:r>
            <w:r>
              <w:rPr>
                <w:rFonts w:hint="default" w:ascii="Times New Roman" w:hAnsi="Times New Roman" w:cs="Times New Roman"/>
                <w:sz w:val="24"/>
                <w:szCs w:val="24"/>
              </w:rPr>
              <w:t>喷漆、晾干废气经密闭收集后通过多级过滤器+二级活性炭处理，达标尾气通过20m高排气筒（DA00</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）排放；抛丸废气经密闭收集后通过布袋除尘器处理，达标尾气通过20m高排气筒（DA00</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）排放；喷塑废气经密闭收集后通过</w:t>
            </w:r>
            <w:r>
              <w:rPr>
                <w:rFonts w:hint="default" w:ascii="Times New Roman" w:hAnsi="Times New Roman" w:cs="Times New Roman"/>
                <w:sz w:val="24"/>
                <w:szCs w:val="24"/>
                <w:lang w:val="en-US" w:eastAsia="zh-CN"/>
              </w:rPr>
              <w:t>管式滤筒除尘器处理</w:t>
            </w:r>
            <w:r>
              <w:rPr>
                <w:rFonts w:hint="default" w:ascii="Times New Roman" w:hAnsi="Times New Roman" w:cs="Times New Roman"/>
                <w:sz w:val="24"/>
                <w:szCs w:val="24"/>
              </w:rPr>
              <w:t>，达标尾气通过20m高排气筒（DA00</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）排放；固化废气经集气罩收集后通过冷却器+二级活性炭处理后，达标尾气通过20m高排气筒（DA00</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）排放；天然气燃烧废气直接通过20m高排气筒（DA00</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）排放；腻子打磨粉尘、下料废气、焊接烟尘通过移动式烟尘净化器收集处理后车间排放</w:t>
            </w:r>
            <w:r>
              <w:rPr>
                <w:rFonts w:hint="default" w:ascii="Times New Roman" w:hAnsi="Times New Roman" w:cs="Times New Roman"/>
                <w:sz w:val="24"/>
                <w:szCs w:val="24"/>
                <w:lang w:eastAsia="zh-CN"/>
              </w:rPr>
              <w:t>；</w:t>
            </w:r>
            <w:r>
              <w:rPr>
                <w:rFonts w:hint="eastAsia" w:cs="Times New Roman"/>
                <w:sz w:val="24"/>
                <w:szCs w:val="24"/>
                <w:lang w:val="en-US" w:eastAsia="zh-CN"/>
              </w:rPr>
              <w:t>机加工废气、</w:t>
            </w:r>
            <w:r>
              <w:rPr>
                <w:rFonts w:hint="default" w:ascii="Times New Roman" w:hAnsi="Times New Roman" w:cs="Times New Roman"/>
                <w:color w:val="auto"/>
                <w:sz w:val="24"/>
                <w:szCs w:val="24"/>
                <w:lang w:val="en-US" w:eastAsia="zh-CN"/>
              </w:rPr>
              <w:t>危废暂存废气拟不采取措施在车间无组织排放</w:t>
            </w:r>
            <w:r>
              <w:rPr>
                <w:rFonts w:hint="default" w:ascii="Times New Roman" w:hAnsi="Times New Roman" w:cs="Times New Roman"/>
                <w:color w:val="auto"/>
                <w:sz w:val="24"/>
                <w:szCs w:val="24"/>
              </w:rPr>
              <w:t>。</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废水：本项目无生产废水，</w:t>
            </w:r>
            <w:r>
              <w:rPr>
                <w:rFonts w:hint="default" w:ascii="Times New Roman" w:hAnsi="Times New Roman" w:cs="Times New Roman"/>
                <w:sz w:val="24"/>
              </w:rPr>
              <w:t>生活污水</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食堂废水先经隔油池处理</w:t>
            </w:r>
            <w:r>
              <w:rPr>
                <w:rFonts w:hint="default" w:ascii="Times New Roman" w:hAnsi="Times New Roman" w:cs="Times New Roman"/>
                <w:sz w:val="24"/>
                <w:lang w:eastAsia="zh-CN"/>
              </w:rPr>
              <w:t>）</w:t>
            </w:r>
            <w:r>
              <w:rPr>
                <w:rFonts w:hint="default" w:ascii="Times New Roman" w:hAnsi="Times New Roman" w:cs="Times New Roman"/>
                <w:sz w:val="24"/>
              </w:rPr>
              <w:t>经化粪池处理后排放至如皋市搬经污水处理厂处理，尾水排入焦港河。</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固废：本项目拟新建一座20m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一般固废库，用于贮存废边角料、废包装材料、焊渣、废钢丸、废塑粉、集尘灰、废滤材、废砂纸等一般固废，新建</w:t>
            </w:r>
            <w:r>
              <w:rPr>
                <w:rFonts w:hint="default" w:ascii="Times New Roman" w:hAnsi="Times New Roman" w:cs="Times New Roman"/>
                <w:sz w:val="24"/>
                <w:szCs w:val="24"/>
                <w:lang w:val="en-US" w:eastAsia="zh-CN"/>
              </w:rPr>
              <w:t>一座</w:t>
            </w:r>
            <w:r>
              <w:rPr>
                <w:rFonts w:hint="default" w:ascii="Times New Roman" w:hAnsi="Times New Roman" w:cs="Times New Roman"/>
                <w:sz w:val="24"/>
                <w:szCs w:val="24"/>
              </w:rPr>
              <w:t>50m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危险固废库，用于贮存废油泥、漆渣、废包装桶、废油桶、喷枪头清洗废液、废过滤材料、废活性炭、空压机含油废水、</w:t>
            </w:r>
            <w:r>
              <w:rPr>
                <w:rFonts w:hint="eastAsia" w:cs="Times New Roman"/>
                <w:sz w:val="24"/>
                <w:szCs w:val="24"/>
                <w:lang w:val="en-US" w:eastAsia="zh-CN"/>
              </w:rPr>
              <w:t>废挂具、</w:t>
            </w:r>
            <w:r>
              <w:rPr>
                <w:rFonts w:hint="default" w:ascii="Times New Roman" w:hAnsi="Times New Roman" w:cs="Times New Roman"/>
                <w:sz w:val="24"/>
                <w:szCs w:val="24"/>
              </w:rPr>
              <w:t>废劳保用品、</w:t>
            </w:r>
            <w:r>
              <w:rPr>
                <w:rFonts w:hint="default" w:ascii="Times New Roman" w:hAnsi="Times New Roman" w:cs="Times New Roman"/>
                <w:sz w:val="24"/>
                <w:szCs w:val="24"/>
                <w:lang w:val="en-US" w:eastAsia="zh-CN"/>
              </w:rPr>
              <w:t>磷酸</w:t>
            </w:r>
            <w:r>
              <w:rPr>
                <w:rFonts w:hint="default" w:ascii="Times New Roman" w:hAnsi="Times New Roman" w:cs="Times New Roman"/>
                <w:sz w:val="24"/>
                <w:szCs w:val="24"/>
              </w:rPr>
              <w:t>喷淋废液等。</w:t>
            </w:r>
          </w:p>
          <w:p>
            <w:pPr>
              <w:pStyle w:val="11"/>
              <w:spacing w:before="0" w:after="0" w:line="360" w:lineRule="auto"/>
              <w:ind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本项目具体工程组成见表2-2。</w:t>
            </w:r>
            <w:r>
              <w:rPr>
                <w:rFonts w:hint="default" w:ascii="Times New Roman" w:hAnsi="Times New Roman" w:cs="Times New Roman"/>
                <w:sz w:val="24"/>
                <w:szCs w:val="24"/>
                <w:lang w:val="en-US" w:eastAsia="zh-CN"/>
              </w:rPr>
              <w:t xml:space="preserve"> </w:t>
            </w:r>
          </w:p>
          <w:p>
            <w:pPr>
              <w:ind w:firstLine="482" w:firstLineChars="200"/>
              <w:jc w:val="center"/>
              <w:rPr>
                <w:rFonts w:hint="default" w:ascii="Times New Roman" w:hAnsi="Times New Roman" w:cs="Times New Roman"/>
                <w:szCs w:val="21"/>
              </w:rPr>
            </w:pPr>
            <w:r>
              <w:rPr>
                <w:rFonts w:hint="default" w:ascii="Times New Roman" w:hAnsi="Times New Roman" w:cs="Times New Roman"/>
                <w:b/>
                <w:sz w:val="24"/>
              </w:rPr>
              <w:t>表2-2  项目建设内容一览表</w:t>
            </w:r>
          </w:p>
          <w:tbl>
            <w:tblPr>
              <w:tblStyle w:val="2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3"/>
              <w:gridCol w:w="892"/>
              <w:gridCol w:w="1317"/>
              <w:gridCol w:w="2850"/>
              <w:gridCol w:w="19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1" w:hRule="atLeast"/>
                <w:jc w:val="center"/>
              </w:trPr>
              <w:tc>
                <w:tcPr>
                  <w:tcW w:w="446" w:type="pct"/>
                  <w:tcBorders>
                    <w:tl2br w:val="nil"/>
                    <w:tr2bl w:val="nil"/>
                  </w:tcBorders>
                  <w:vAlign w:val="center"/>
                </w:tcPr>
                <w:p>
                  <w:pPr>
                    <w:pStyle w:val="13"/>
                    <w:jc w:val="center"/>
                    <w:rPr>
                      <w:rFonts w:hint="default" w:ascii="Times New Roman" w:hAnsi="Times New Roman" w:cs="Times New Roman"/>
                      <w:b/>
                    </w:rPr>
                  </w:pPr>
                  <w:r>
                    <w:rPr>
                      <w:rFonts w:hint="default" w:ascii="Times New Roman" w:hAnsi="Times New Roman" w:cs="Times New Roman"/>
                      <w:b/>
                    </w:rPr>
                    <w:t>工程类别</w:t>
                  </w:r>
                </w:p>
              </w:tc>
              <w:tc>
                <w:tcPr>
                  <w:tcW w:w="1445" w:type="pct"/>
                  <w:gridSpan w:val="2"/>
                  <w:tcBorders>
                    <w:tl2br w:val="nil"/>
                    <w:tr2bl w:val="nil"/>
                  </w:tcBorders>
                  <w:vAlign w:val="center"/>
                </w:tcPr>
                <w:p>
                  <w:pPr>
                    <w:pStyle w:val="13"/>
                    <w:jc w:val="center"/>
                    <w:rPr>
                      <w:rFonts w:hint="default" w:ascii="Times New Roman" w:hAnsi="Times New Roman" w:cs="Times New Roman"/>
                      <w:b/>
                    </w:rPr>
                  </w:pPr>
                  <w:r>
                    <w:rPr>
                      <w:rFonts w:hint="default" w:ascii="Times New Roman" w:hAnsi="Times New Roman" w:cs="Times New Roman"/>
                      <w:b/>
                    </w:rPr>
                    <w:t>工程名称</w:t>
                  </w:r>
                </w:p>
              </w:tc>
              <w:tc>
                <w:tcPr>
                  <w:tcW w:w="1864" w:type="pct"/>
                  <w:tcBorders>
                    <w:tl2br w:val="nil"/>
                    <w:tr2bl w:val="nil"/>
                  </w:tcBorders>
                  <w:vAlign w:val="center"/>
                </w:tcPr>
                <w:p>
                  <w:pPr>
                    <w:pStyle w:val="13"/>
                    <w:jc w:val="center"/>
                    <w:rPr>
                      <w:rFonts w:hint="default" w:ascii="Times New Roman" w:hAnsi="Times New Roman" w:cs="Times New Roman"/>
                      <w:b/>
                    </w:rPr>
                  </w:pPr>
                  <w:r>
                    <w:rPr>
                      <w:rFonts w:hint="default" w:ascii="Times New Roman" w:hAnsi="Times New Roman" w:cs="Times New Roman"/>
                      <w:b/>
                    </w:rPr>
                    <w:t>工程内容和规模</w:t>
                  </w:r>
                </w:p>
              </w:tc>
              <w:tc>
                <w:tcPr>
                  <w:tcW w:w="1243" w:type="pct"/>
                  <w:tcBorders>
                    <w:tl2br w:val="nil"/>
                    <w:tr2bl w:val="nil"/>
                  </w:tcBorders>
                  <w:vAlign w:val="center"/>
                </w:tcPr>
                <w:p>
                  <w:pPr>
                    <w:pStyle w:val="13"/>
                    <w:jc w:val="center"/>
                    <w:rPr>
                      <w:rFonts w:hint="default" w:ascii="Times New Roman" w:hAnsi="Times New Roman" w:cs="Times New Roman"/>
                      <w:b/>
                    </w:rPr>
                  </w:pPr>
                  <w:r>
                    <w:rPr>
                      <w:rFonts w:hint="default" w:ascii="Times New Roman" w:hAnsi="Times New Roman" w:cs="Times New Roman"/>
                      <w:b/>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46"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主体工程</w:t>
                  </w:r>
                </w:p>
              </w:tc>
              <w:tc>
                <w:tcPr>
                  <w:tcW w:w="1445" w:type="pct"/>
                  <w:gridSpan w:val="2"/>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车间一</w:t>
                  </w:r>
                </w:p>
              </w:tc>
              <w:tc>
                <w:tcPr>
                  <w:tcW w:w="1864"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21476.1m</w:t>
                  </w:r>
                  <w:r>
                    <w:rPr>
                      <w:rFonts w:hint="default" w:ascii="Times New Roman" w:hAnsi="Times New Roman" w:cs="Times New Roman"/>
                      <w:bCs/>
                      <w:vertAlign w:val="superscript"/>
                    </w:rPr>
                    <w:t>2</w:t>
                  </w:r>
                </w:p>
              </w:tc>
              <w:tc>
                <w:tcPr>
                  <w:tcW w:w="1243"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生产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公辅工程</w:t>
                  </w:r>
                </w:p>
              </w:tc>
              <w:tc>
                <w:tcPr>
                  <w:tcW w:w="1445" w:type="pct"/>
                  <w:gridSpan w:val="2"/>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给水系统</w:t>
                  </w:r>
                </w:p>
              </w:tc>
              <w:tc>
                <w:tcPr>
                  <w:tcW w:w="1864"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lang w:val="en-US" w:eastAsia="zh-CN"/>
                    </w:rPr>
                    <w:t>3124.28</w:t>
                  </w:r>
                  <w:r>
                    <w:rPr>
                      <w:rFonts w:hint="default" w:ascii="Times New Roman" w:hAnsi="Times New Roman" w:cs="Times New Roman"/>
                      <w:bCs/>
                    </w:rPr>
                    <w:t>m</w:t>
                  </w:r>
                  <w:r>
                    <w:rPr>
                      <w:rFonts w:hint="default" w:ascii="Times New Roman" w:hAnsi="Times New Roman" w:cs="Times New Roman"/>
                      <w:bCs/>
                      <w:vertAlign w:val="superscript"/>
                    </w:rPr>
                    <w:t>3</w:t>
                  </w:r>
                </w:p>
              </w:tc>
              <w:tc>
                <w:tcPr>
                  <w:tcW w:w="1243"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市政供水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bCs/>
                    </w:rPr>
                  </w:pPr>
                </w:p>
              </w:tc>
              <w:tc>
                <w:tcPr>
                  <w:tcW w:w="1445" w:type="pct"/>
                  <w:gridSpan w:val="2"/>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排水系统</w:t>
                  </w:r>
                </w:p>
              </w:tc>
              <w:tc>
                <w:tcPr>
                  <w:tcW w:w="1864"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1</w:t>
                  </w:r>
                  <w:r>
                    <w:rPr>
                      <w:rFonts w:hint="default" w:ascii="Times New Roman" w:hAnsi="Times New Roman" w:cs="Times New Roman"/>
                      <w:bCs/>
                      <w:lang w:val="en-US" w:eastAsia="zh-CN"/>
                    </w:rPr>
                    <w:t>56</w:t>
                  </w:r>
                  <w:r>
                    <w:rPr>
                      <w:rFonts w:hint="default" w:ascii="Times New Roman" w:hAnsi="Times New Roman" w:cs="Times New Roman"/>
                      <w:bCs/>
                    </w:rPr>
                    <w:t>0m</w:t>
                  </w:r>
                  <w:r>
                    <w:rPr>
                      <w:rFonts w:hint="default" w:ascii="Times New Roman" w:hAnsi="Times New Roman" w:cs="Times New Roman"/>
                      <w:bCs/>
                      <w:vertAlign w:val="superscript"/>
                    </w:rPr>
                    <w:t>3</w:t>
                  </w:r>
                </w:p>
              </w:tc>
              <w:tc>
                <w:tcPr>
                  <w:tcW w:w="1243"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接管至如皋市搬经污水处理厂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bCs/>
                    </w:rPr>
                  </w:pPr>
                </w:p>
              </w:tc>
              <w:tc>
                <w:tcPr>
                  <w:tcW w:w="1445" w:type="pct"/>
                  <w:gridSpan w:val="2"/>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供电系统</w:t>
                  </w:r>
                </w:p>
              </w:tc>
              <w:tc>
                <w:tcPr>
                  <w:tcW w:w="1864"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150万kWh/a</w:t>
                  </w:r>
                </w:p>
              </w:tc>
              <w:tc>
                <w:tcPr>
                  <w:tcW w:w="1243" w:type="pct"/>
                  <w:tcBorders>
                    <w:tl2br w:val="nil"/>
                    <w:tr2bl w:val="nil"/>
                  </w:tcBorders>
                  <w:vAlign w:val="center"/>
                </w:tcPr>
                <w:p>
                  <w:pPr>
                    <w:pStyle w:val="13"/>
                    <w:jc w:val="center"/>
                    <w:rPr>
                      <w:rFonts w:hint="default" w:ascii="Times New Roman" w:hAnsi="Times New Roman" w:cs="Times New Roman"/>
                      <w:bCs/>
                    </w:rPr>
                  </w:pPr>
                  <w:r>
                    <w:rPr>
                      <w:rFonts w:hint="default" w:ascii="Times New Roman" w:hAnsi="Times New Roman" w:cs="Times New Roman"/>
                      <w:bCs/>
                    </w:rPr>
                    <w:t>当地供电站电网输送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bCs/>
                    </w:rPr>
                  </w:pPr>
                </w:p>
              </w:tc>
              <w:tc>
                <w:tcPr>
                  <w:tcW w:w="1445" w:type="pct"/>
                  <w:gridSpan w:val="2"/>
                  <w:tcBorders>
                    <w:tl2br w:val="nil"/>
                    <w:tr2bl w:val="nil"/>
                  </w:tcBorders>
                  <w:vAlign w:val="center"/>
                </w:tcPr>
                <w:p>
                  <w:pPr>
                    <w:pStyle w:val="13"/>
                    <w:jc w:val="center"/>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供气系统</w:t>
                  </w:r>
                </w:p>
              </w:tc>
              <w:tc>
                <w:tcPr>
                  <w:tcW w:w="1864" w:type="pct"/>
                  <w:tcBorders>
                    <w:tl2br w:val="nil"/>
                    <w:tr2bl w:val="nil"/>
                  </w:tcBorders>
                  <w:vAlign w:val="center"/>
                </w:tcPr>
                <w:p>
                  <w:pPr>
                    <w:pStyle w:val="13"/>
                    <w:jc w:val="center"/>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天然气用量8万m</w:t>
                  </w:r>
                  <w:r>
                    <w:rPr>
                      <w:rFonts w:hint="default" w:ascii="Times New Roman" w:hAnsi="Times New Roman" w:cs="Times New Roman"/>
                      <w:bCs/>
                      <w:vertAlign w:val="superscript"/>
                      <w:lang w:val="en-US" w:eastAsia="zh-CN"/>
                    </w:rPr>
                    <w:t>3</w:t>
                  </w:r>
                  <w:r>
                    <w:rPr>
                      <w:rFonts w:hint="default" w:ascii="Times New Roman" w:hAnsi="Times New Roman" w:cs="Times New Roman"/>
                      <w:bCs/>
                      <w:lang w:val="en-US" w:eastAsia="zh-CN"/>
                    </w:rPr>
                    <w:t>/a</w:t>
                  </w:r>
                </w:p>
              </w:tc>
              <w:tc>
                <w:tcPr>
                  <w:tcW w:w="1243" w:type="pct"/>
                  <w:tcBorders>
                    <w:tl2br w:val="nil"/>
                    <w:tr2bl w:val="nil"/>
                  </w:tcBorders>
                  <w:vAlign w:val="center"/>
                </w:tcPr>
                <w:p>
                  <w:pPr>
                    <w:pStyle w:val="13"/>
                    <w:jc w:val="center"/>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市政供气管网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bCs/>
                    </w:rPr>
                  </w:pPr>
                </w:p>
              </w:tc>
              <w:tc>
                <w:tcPr>
                  <w:tcW w:w="1445" w:type="pct"/>
                  <w:gridSpan w:val="2"/>
                  <w:tcBorders>
                    <w:tl2br w:val="nil"/>
                    <w:tr2bl w:val="nil"/>
                  </w:tcBorders>
                  <w:vAlign w:val="center"/>
                </w:tcPr>
                <w:p>
                  <w:pPr>
                    <w:pStyle w:val="13"/>
                    <w:jc w:val="center"/>
                    <w:rPr>
                      <w:rFonts w:hint="default" w:ascii="Times New Roman" w:hAnsi="Times New Roman" w:cs="Times New Roman"/>
                      <w:bCs/>
                      <w:lang w:val="en-US" w:eastAsia="zh-CN"/>
                    </w:rPr>
                  </w:pPr>
                  <w:r>
                    <w:rPr>
                      <w:rFonts w:hint="default" w:ascii="Times New Roman" w:hAnsi="Times New Roman" w:cs="Times New Roman"/>
                      <w:bCs/>
                      <w:lang w:val="en-US" w:eastAsia="zh-CN"/>
                    </w:rPr>
                    <w:t>供热系统</w:t>
                  </w:r>
                </w:p>
              </w:tc>
              <w:tc>
                <w:tcPr>
                  <w:tcW w:w="1864" w:type="pct"/>
                  <w:tcBorders>
                    <w:tl2br w:val="nil"/>
                    <w:tr2bl w:val="nil"/>
                  </w:tcBorders>
                  <w:vAlign w:val="center"/>
                </w:tcPr>
                <w:p>
                  <w:pPr>
                    <w:pStyle w:val="13"/>
                    <w:jc w:val="center"/>
                    <w:rPr>
                      <w:rFonts w:hint="default" w:ascii="Times New Roman" w:hAnsi="Times New Roman" w:cs="Times New Roman"/>
                      <w:bCs/>
                      <w:lang w:val="en-US" w:eastAsia="zh-CN"/>
                    </w:rPr>
                  </w:pPr>
                  <w:r>
                    <w:rPr>
                      <w:rFonts w:hint="default" w:ascii="Times New Roman" w:hAnsi="Times New Roman" w:cs="Times New Roman"/>
                      <w:bCs/>
                      <w:lang w:val="en-US" w:eastAsia="zh-CN"/>
                    </w:rPr>
                    <w:t>1台4t/h天然气蒸汽锅炉</w:t>
                  </w:r>
                </w:p>
              </w:tc>
              <w:tc>
                <w:tcPr>
                  <w:tcW w:w="1243" w:type="pct"/>
                  <w:tcBorders>
                    <w:tl2br w:val="nil"/>
                    <w:tr2bl w:val="nil"/>
                  </w:tcBorders>
                  <w:vAlign w:val="center"/>
                </w:tcPr>
                <w:p>
                  <w:pPr>
                    <w:pStyle w:val="13"/>
                    <w:jc w:val="center"/>
                    <w:rPr>
                      <w:rFonts w:hint="default" w:ascii="Times New Roman" w:hAnsi="Times New Roman" w:cs="Times New Roman"/>
                      <w:bCs/>
                      <w:lang w:val="en-US" w:eastAsia="zh-CN"/>
                    </w:rPr>
                  </w:pPr>
                  <w:r>
                    <w:rPr>
                      <w:rFonts w:hint="default" w:ascii="Times New Roman" w:hAnsi="Times New Roman" w:cs="Times New Roman"/>
                      <w:bCs/>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bCs/>
                    </w:rPr>
                  </w:pPr>
                </w:p>
              </w:tc>
              <w:tc>
                <w:tcPr>
                  <w:tcW w:w="1445" w:type="pct"/>
                  <w:gridSpan w:val="2"/>
                  <w:tcBorders>
                    <w:tl2br w:val="nil"/>
                    <w:tr2bl w:val="nil"/>
                  </w:tcBorders>
                  <w:vAlign w:val="center"/>
                </w:tcPr>
                <w:p>
                  <w:pPr>
                    <w:pStyle w:val="13"/>
                    <w:jc w:val="center"/>
                    <w:rPr>
                      <w:rFonts w:hint="default" w:ascii="Times New Roman" w:hAnsi="Times New Roman" w:cs="Times New Roman"/>
                      <w:bCs/>
                      <w:lang w:val="en-US" w:eastAsia="zh-CN"/>
                    </w:rPr>
                  </w:pPr>
                  <w:r>
                    <w:rPr>
                      <w:rFonts w:hint="default" w:ascii="Times New Roman" w:hAnsi="Times New Roman" w:cs="Times New Roman"/>
                      <w:bCs/>
                      <w:lang w:val="en-US" w:eastAsia="zh-CN"/>
                    </w:rPr>
                    <w:t>冷却系统</w:t>
                  </w:r>
                </w:p>
              </w:tc>
              <w:tc>
                <w:tcPr>
                  <w:tcW w:w="1864" w:type="pct"/>
                  <w:tcBorders>
                    <w:tl2br w:val="nil"/>
                    <w:tr2bl w:val="nil"/>
                  </w:tcBorders>
                  <w:vAlign w:val="center"/>
                </w:tcPr>
                <w:p>
                  <w:pPr>
                    <w:pStyle w:val="13"/>
                    <w:jc w:val="center"/>
                    <w:rPr>
                      <w:rFonts w:hint="default" w:ascii="Times New Roman" w:hAnsi="Times New Roman" w:cs="Times New Roman"/>
                      <w:bCs/>
                      <w:lang w:val="en-US" w:eastAsia="zh-CN"/>
                    </w:rPr>
                  </w:pPr>
                  <w:r>
                    <w:rPr>
                      <w:rFonts w:hint="default" w:ascii="Times New Roman" w:hAnsi="Times New Roman" w:cs="Times New Roman"/>
                      <w:bCs/>
                      <w:lang w:val="en-US" w:eastAsia="zh-CN"/>
                    </w:rPr>
                    <w:t>1台5t/h冷却塔</w:t>
                  </w:r>
                </w:p>
              </w:tc>
              <w:tc>
                <w:tcPr>
                  <w:tcW w:w="1243" w:type="pct"/>
                  <w:tcBorders>
                    <w:tl2br w:val="nil"/>
                    <w:tr2bl w:val="nil"/>
                  </w:tcBorders>
                  <w:vAlign w:val="center"/>
                </w:tcPr>
                <w:p>
                  <w:pPr>
                    <w:pStyle w:val="13"/>
                    <w:jc w:val="center"/>
                    <w:rPr>
                      <w:rFonts w:hint="default" w:ascii="Times New Roman" w:hAnsi="Times New Roman" w:cs="Times New Roman"/>
                      <w:bCs/>
                      <w:lang w:val="en-US" w:eastAsia="zh-CN"/>
                    </w:rPr>
                  </w:pPr>
                  <w:r>
                    <w:rPr>
                      <w:rFonts w:hint="default" w:ascii="Times New Roman" w:hAnsi="Times New Roman" w:cs="Times New Roman"/>
                      <w:bCs/>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446" w:type="pct"/>
                  <w:vMerge w:val="restar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贮运工程</w:t>
                  </w:r>
                </w:p>
              </w:tc>
              <w:tc>
                <w:tcPr>
                  <w:tcW w:w="583" w:type="pct"/>
                  <w:vMerge w:val="restar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仓库</w:t>
                  </w:r>
                </w:p>
              </w:tc>
              <w:tc>
                <w:tcPr>
                  <w:tcW w:w="861"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原料存放区</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200</w:t>
                  </w:r>
                  <w:r>
                    <w:rPr>
                      <w:rFonts w:hint="default" w:ascii="Times New Roman" w:hAnsi="Times New Roman" w:cs="Times New Roman"/>
                      <w:bCs/>
                    </w:rPr>
                    <w:t>m</w:t>
                  </w:r>
                  <w:r>
                    <w:rPr>
                      <w:rFonts w:hint="default" w:ascii="Times New Roman" w:hAnsi="Times New Roman" w:cs="Times New Roman"/>
                      <w:bCs/>
                      <w:vertAlign w:val="superscript"/>
                    </w:rPr>
                    <w:t>2</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原料存放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成品存放区</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400</w:t>
                  </w:r>
                  <w:r>
                    <w:rPr>
                      <w:rFonts w:hint="default" w:ascii="Times New Roman" w:hAnsi="Times New Roman" w:cs="Times New Roman"/>
                      <w:bCs/>
                    </w:rPr>
                    <w:t>m</w:t>
                  </w:r>
                  <w:r>
                    <w:rPr>
                      <w:rFonts w:hint="default" w:ascii="Times New Roman" w:hAnsi="Times New Roman" w:cs="Times New Roman"/>
                      <w:bCs/>
                      <w:vertAlign w:val="superscript"/>
                    </w:rPr>
                    <w:t>2</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成品存放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环保工程</w:t>
                  </w:r>
                </w:p>
              </w:tc>
              <w:tc>
                <w:tcPr>
                  <w:tcW w:w="583" w:type="pct"/>
                  <w:vMerge w:val="restar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废气</w:t>
                  </w: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发泡</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集气罩</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二级活性炭</w:t>
                  </w:r>
                </w:p>
              </w:tc>
              <w:tc>
                <w:tcPr>
                  <w:tcW w:w="1243"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20mDA001排气筒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混砂、</w:t>
                  </w:r>
                  <w:r>
                    <w:rPr>
                      <w:rFonts w:hint="default" w:ascii="Times New Roman" w:hAnsi="Times New Roman" w:eastAsia="宋体" w:cs="Times New Roman"/>
                      <w:sz w:val="21"/>
                      <w:szCs w:val="21"/>
                    </w:rPr>
                    <w:t>冷芯制模</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集气罩</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布袋除尘器+磷酸喷淋塔</w:t>
                  </w:r>
                  <w:r>
                    <w:rPr>
                      <w:rFonts w:hint="default" w:ascii="Times New Roman" w:hAnsi="Times New Roman" w:eastAsia="宋体" w:cs="Times New Roman"/>
                      <w:sz w:val="21"/>
                      <w:szCs w:val="21"/>
                      <w:lang w:val="en-US" w:eastAsia="zh-CN"/>
                    </w:rPr>
                    <w:t>+除雾器+二级活性炭</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20mDA002排气筒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lang w:val="en-US" w:eastAsia="zh-CN"/>
                    </w:rPr>
                    <w:t>机加工废气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lang w:val="en-US" w:eastAsia="zh-CN"/>
                    </w:rPr>
                    <w:t>/</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lang w:val="en-US" w:eastAsia="zh-CN"/>
                    </w:rPr>
                    <w:t>车间无组织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cs="Times New Roman"/>
                      <w:sz w:val="21"/>
                      <w:szCs w:val="21"/>
                      <w:lang w:val="en-US" w:eastAsia="zh-CN"/>
                    </w:rPr>
                    <w:t>刮腻子（含电烘干）废气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密闭收集</w:t>
                  </w:r>
                  <w:r>
                    <w:rPr>
                      <w:rFonts w:hint="default" w:ascii="Times New Roman" w:hAnsi="Times New Roman" w:cs="Times New Roman"/>
                      <w:sz w:val="21"/>
                      <w:szCs w:val="21"/>
                      <w:lang w:val="en-US" w:eastAsia="zh-CN"/>
                    </w:rPr>
                    <w:t>+冷却器+二级活性炭</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cs="Times New Roman"/>
                      <w:sz w:val="21"/>
                      <w:szCs w:val="21"/>
                      <w:lang w:val="en-US" w:eastAsia="zh-CN"/>
                    </w:rPr>
                    <w:t>20mDA003排气筒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腻子打磨废气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吸风罩</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移动式烟尘净化器</w:t>
                  </w:r>
                </w:p>
              </w:tc>
              <w:tc>
                <w:tcPr>
                  <w:tcW w:w="1243"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车间无组织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喷漆、晾干废气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密闭收集</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多级过滤器+二级活性炭</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20mDA00</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rPr>
                    <w:t>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下料废气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吸风罩</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移动式烟尘净化器</w:t>
                  </w:r>
                </w:p>
              </w:tc>
              <w:tc>
                <w:tcPr>
                  <w:tcW w:w="1243"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车间无组织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焊接烟尘</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吸风罩</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移动式烟尘净化器</w:t>
                  </w:r>
                </w:p>
              </w:tc>
              <w:tc>
                <w:tcPr>
                  <w:tcW w:w="1243"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车间无组织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抛丸废气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密闭收集</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布袋除尘器</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20mDA00</w:t>
                  </w:r>
                  <w:r>
                    <w:rPr>
                      <w:rFonts w:hint="default" w:ascii="Times New Roman" w:hAnsi="Times New Roman" w:cs="Times New Roman"/>
                      <w:sz w:val="21"/>
                      <w:szCs w:val="21"/>
                      <w:lang w:val="en-US" w:eastAsia="zh-CN"/>
                    </w:rPr>
                    <w:t>5</w:t>
                  </w:r>
                  <w:r>
                    <w:rPr>
                      <w:rFonts w:hint="default" w:ascii="Times New Roman" w:hAnsi="Times New Roman" w:eastAsia="宋体" w:cs="Times New Roman"/>
                      <w:sz w:val="21"/>
                      <w:szCs w:val="21"/>
                    </w:rPr>
                    <w:t>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喷塑废气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密闭收集</w:t>
                  </w:r>
                  <w:r>
                    <w:rPr>
                      <w:rFonts w:hint="default" w:ascii="Times New Roman" w:hAnsi="Times New Roman" w:cs="Times New Roman"/>
                      <w:sz w:val="21"/>
                      <w:szCs w:val="21"/>
                      <w:lang w:val="en-US" w:eastAsia="zh-CN"/>
                    </w:rPr>
                    <w:t>+</w:t>
                  </w:r>
                  <w:r>
                    <w:rPr>
                      <w:rFonts w:hint="default" w:ascii="Times New Roman" w:hAnsi="Times New Roman" w:cs="Times New Roman"/>
                      <w:color w:val="auto"/>
                      <w:kern w:val="0"/>
                      <w:sz w:val="21"/>
                      <w:szCs w:val="21"/>
                      <w:highlight w:val="none"/>
                      <w:lang w:val="en-US" w:eastAsia="zh-CN"/>
                    </w:rPr>
                    <w:t>管式滤筒除尘器</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20mDA00</w:t>
                  </w:r>
                  <w:r>
                    <w:rPr>
                      <w:rFonts w:hint="default" w:ascii="Times New Roman" w:hAnsi="Times New Roman" w:cs="Times New Roman"/>
                      <w:sz w:val="21"/>
                      <w:szCs w:val="21"/>
                      <w:lang w:val="en-US" w:eastAsia="zh-CN"/>
                    </w:rPr>
                    <w:t>6</w:t>
                  </w:r>
                  <w:r>
                    <w:rPr>
                      <w:rFonts w:hint="default" w:ascii="Times New Roman" w:hAnsi="Times New Roman" w:eastAsia="宋体" w:cs="Times New Roman"/>
                      <w:sz w:val="21"/>
                      <w:szCs w:val="21"/>
                    </w:rPr>
                    <w:t>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固化废气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sz w:val="21"/>
                      <w:szCs w:val="21"/>
                      <w:lang w:val="en-US" w:eastAsia="zh-CN"/>
                    </w:rPr>
                    <w:t>密闭收集</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冷却器+二级活性炭</w:t>
                  </w:r>
                </w:p>
              </w:tc>
              <w:tc>
                <w:tcPr>
                  <w:tcW w:w="1243" w:type="pc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20mDA00</w:t>
                  </w:r>
                  <w:r>
                    <w:rPr>
                      <w:rFonts w:hint="default" w:ascii="Times New Roman" w:hAnsi="Times New Roman" w:cs="Times New Roman"/>
                      <w:sz w:val="21"/>
                      <w:szCs w:val="21"/>
                      <w:lang w:val="en-US" w:eastAsia="zh-CN"/>
                    </w:rPr>
                    <w:t>7</w:t>
                  </w:r>
                  <w:r>
                    <w:rPr>
                      <w:rFonts w:hint="default" w:ascii="Times New Roman" w:hAnsi="Times New Roman" w:eastAsia="宋体" w:cs="Times New Roman"/>
                      <w:sz w:val="21"/>
                      <w:szCs w:val="21"/>
                    </w:rPr>
                    <w:t>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天然气燃烧废气</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eastAsia" w:ascii="Times New Roman" w:hAnsi="Times New Roman" w:cs="Times New Roman"/>
                      <w:sz w:val="21"/>
                      <w:szCs w:val="21"/>
                      <w:lang w:val="en-US" w:eastAsia="zh-CN"/>
                    </w:rPr>
                    <w:t>密闭</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低氮燃烧</w:t>
                  </w:r>
                </w:p>
              </w:tc>
              <w:tc>
                <w:tcPr>
                  <w:tcW w:w="1243" w:type="pct"/>
                  <w:tcBorders>
                    <w:tl2br w:val="nil"/>
                    <w:tr2bl w:val="nil"/>
                  </w:tcBorders>
                  <w:vAlign w:val="center"/>
                </w:tcPr>
                <w:p>
                  <w:pPr>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20mDA00</w:t>
                  </w:r>
                  <w:r>
                    <w:rPr>
                      <w:rFonts w:hint="default" w:ascii="Times New Roman" w:hAnsi="Times New Roman" w:cs="Times New Roman"/>
                      <w:sz w:val="21"/>
                      <w:szCs w:val="21"/>
                      <w:lang w:val="en-US" w:eastAsia="zh-CN"/>
                    </w:rPr>
                    <w:t>8</w:t>
                  </w:r>
                  <w:r>
                    <w:rPr>
                      <w:rFonts w:hint="default" w:ascii="Times New Roman" w:hAnsi="Times New Roman" w:eastAsia="宋体" w:cs="Times New Roman"/>
                      <w:sz w:val="21"/>
                      <w:szCs w:val="21"/>
                    </w:rPr>
                    <w:t>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废水</w:t>
                  </w:r>
                </w:p>
              </w:tc>
              <w:tc>
                <w:tcPr>
                  <w:tcW w:w="861" w:type="pct"/>
                  <w:tcBorders>
                    <w:tl2br w:val="nil"/>
                    <w:tr2bl w:val="nil"/>
                  </w:tcBorders>
                  <w:vAlign w:val="center"/>
                </w:tcPr>
                <w:p>
                  <w:pPr>
                    <w:pStyle w:val="13"/>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w:t>
                  </w:r>
                </w:p>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污水</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食堂废水</w:t>
                  </w:r>
                </w:p>
              </w:tc>
              <w:tc>
                <w:tcPr>
                  <w:tcW w:w="1864"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sz w:val="21"/>
                      <w:szCs w:val="21"/>
                    </w:rPr>
                    <w:t>化粪池</w:t>
                  </w:r>
                  <w:r>
                    <w:rPr>
                      <w:rFonts w:hint="default" w:ascii="Times New Roman" w:hAnsi="Times New Roman" w:cs="Times New Roman"/>
                      <w:sz w:val="21"/>
                      <w:szCs w:val="21"/>
                      <w:lang w:val="en-US" w:eastAsia="zh-CN"/>
                    </w:rPr>
                    <w:t>/隔油池（</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预处理</w:t>
                  </w:r>
                </w:p>
              </w:tc>
              <w:tc>
                <w:tcPr>
                  <w:tcW w:w="1243" w:type="pct"/>
                  <w:tcBorders>
                    <w:tl2br w:val="nil"/>
                    <w:tr2bl w:val="nil"/>
                  </w:tcBorders>
                  <w:vAlign w:val="center"/>
                </w:tcPr>
                <w:p>
                  <w:pPr>
                    <w:pStyle w:val="13"/>
                    <w:spacing w:line="240" w:lineRule="auto"/>
                    <w:jc w:val="center"/>
                    <w:rPr>
                      <w:rFonts w:hint="default" w:ascii="Times New Roman" w:hAnsi="Times New Roman" w:cs="Times New Roman"/>
                    </w:rPr>
                  </w:pPr>
                  <w:r>
                    <w:rPr>
                      <w:rFonts w:hint="default" w:ascii="Times New Roman" w:hAnsi="Times New Roman" w:eastAsia="宋体" w:cs="Times New Roman"/>
                      <w:bCs/>
                      <w:sz w:val="21"/>
                      <w:szCs w:val="21"/>
                    </w:rPr>
                    <w:t>接管至如皋市搬经污水处理厂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1445" w:type="pct"/>
                  <w:gridSpan w:val="2"/>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雨水</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雨水管网</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bCs/>
                    </w:rPr>
                    <w:t>接管至市政雨水管网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1445" w:type="pct"/>
                  <w:gridSpan w:val="2"/>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噪声</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厂房隔声、减振隔声措施</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厂界噪声达标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446" w:type="pct"/>
                  <w:vMerge w:val="continue"/>
                  <w:tcBorders>
                    <w:tl2br w:val="nil"/>
                    <w:tr2bl w:val="nil"/>
                  </w:tcBorders>
                  <w:vAlign w:val="center"/>
                </w:tcPr>
                <w:p>
                  <w:pPr>
                    <w:pStyle w:val="13"/>
                    <w:jc w:val="center"/>
                    <w:rPr>
                      <w:rFonts w:hint="default" w:ascii="Times New Roman" w:hAnsi="Times New Roman" w:cs="Times New Roman"/>
                    </w:rPr>
                  </w:pPr>
                </w:p>
              </w:tc>
              <w:tc>
                <w:tcPr>
                  <w:tcW w:w="583" w:type="pct"/>
                  <w:vMerge w:val="restar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固废</w:t>
                  </w:r>
                </w:p>
              </w:tc>
              <w:tc>
                <w:tcPr>
                  <w:tcW w:w="861"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一般固废库</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20m</w:t>
                  </w:r>
                  <w:r>
                    <w:rPr>
                      <w:rFonts w:hint="default" w:ascii="Times New Roman" w:hAnsi="Times New Roman" w:cs="Times New Roman"/>
                      <w:vertAlign w:val="superscript"/>
                    </w:rPr>
                    <w:t>2</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bottom w:val="single" w:color="auto" w:sz="4" w:space="0"/>
                    <w:tl2br w:val="nil"/>
                    <w:tr2bl w:val="nil"/>
                  </w:tcBorders>
                  <w:vAlign w:val="center"/>
                </w:tcPr>
                <w:p>
                  <w:pPr>
                    <w:pStyle w:val="13"/>
                    <w:jc w:val="center"/>
                    <w:rPr>
                      <w:rFonts w:hint="default" w:ascii="Times New Roman" w:hAnsi="Times New Roman" w:cs="Times New Roman"/>
                    </w:rPr>
                  </w:pPr>
                </w:p>
              </w:tc>
              <w:tc>
                <w:tcPr>
                  <w:tcW w:w="583" w:type="pct"/>
                  <w:vMerge w:val="continue"/>
                  <w:tcBorders>
                    <w:tl2br w:val="nil"/>
                    <w:tr2bl w:val="nil"/>
                  </w:tcBorders>
                  <w:vAlign w:val="center"/>
                </w:tcPr>
                <w:p>
                  <w:pPr>
                    <w:pStyle w:val="13"/>
                    <w:jc w:val="center"/>
                    <w:rPr>
                      <w:rFonts w:hint="default" w:ascii="Times New Roman" w:hAnsi="Times New Roman" w:cs="Times New Roman"/>
                    </w:rPr>
                  </w:pPr>
                </w:p>
              </w:tc>
              <w:tc>
                <w:tcPr>
                  <w:tcW w:w="861"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危险固废库</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50m</w:t>
                  </w:r>
                  <w:r>
                    <w:rPr>
                      <w:rFonts w:hint="default" w:ascii="Times New Roman" w:hAnsi="Times New Roman" w:cs="Times New Roman"/>
                      <w:vertAlign w:val="superscript"/>
                    </w:rPr>
                    <w:t>2</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30" w:type="pct"/>
                  <w:gridSpan w:val="2"/>
                  <w:tcBorders>
                    <w:top w:val="single" w:color="auto" w:sz="4" w:space="0"/>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环境风险</w:t>
                  </w:r>
                </w:p>
              </w:tc>
              <w:tc>
                <w:tcPr>
                  <w:tcW w:w="861"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事故应急池</w:t>
                  </w:r>
                </w:p>
              </w:tc>
              <w:tc>
                <w:tcPr>
                  <w:tcW w:w="1864"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330m</w:t>
                  </w:r>
                  <w:r>
                    <w:rPr>
                      <w:rFonts w:hint="default" w:ascii="Times New Roman" w:hAnsi="Times New Roman" w:cs="Times New Roman"/>
                      <w:vertAlign w:val="superscript"/>
                    </w:rPr>
                    <w:t>3</w:t>
                  </w:r>
                </w:p>
              </w:tc>
              <w:tc>
                <w:tcPr>
                  <w:tcW w:w="1243" w:type="pct"/>
                  <w:tcBorders>
                    <w:tl2br w:val="nil"/>
                    <w:tr2bl w:val="nil"/>
                  </w:tcBorders>
                  <w:vAlign w:val="center"/>
                </w:tcPr>
                <w:p>
                  <w:pPr>
                    <w:pStyle w:val="13"/>
                    <w:jc w:val="center"/>
                    <w:rPr>
                      <w:rFonts w:hint="default" w:ascii="Times New Roman" w:hAnsi="Times New Roman" w:cs="Times New Roman"/>
                    </w:rPr>
                  </w:pPr>
                  <w:r>
                    <w:rPr>
                      <w:rFonts w:hint="default" w:ascii="Times New Roman" w:hAnsi="Times New Roman" w:cs="Times New Roman"/>
                    </w:rPr>
                    <w:t>新建</w:t>
                  </w:r>
                </w:p>
              </w:tc>
            </w:tr>
          </w:tbl>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3、产品方案</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本项目产品方案见表2-3。</w:t>
            </w:r>
          </w:p>
          <w:p>
            <w:pPr>
              <w:ind w:firstLine="482" w:firstLineChars="200"/>
              <w:jc w:val="center"/>
              <w:rPr>
                <w:rFonts w:hint="default" w:ascii="Times New Roman" w:hAnsi="Times New Roman" w:cs="Times New Roman"/>
                <w:sz w:val="24"/>
              </w:rPr>
            </w:pPr>
            <w:r>
              <w:rPr>
                <w:rFonts w:hint="default" w:ascii="Times New Roman" w:hAnsi="Times New Roman" w:cs="Times New Roman"/>
                <w:b/>
                <w:sz w:val="24"/>
              </w:rPr>
              <w:t>表2-3  本项目产品方案一览表  单位：吨/年</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328"/>
              <w:gridCol w:w="1073"/>
              <w:gridCol w:w="1583"/>
              <w:gridCol w:w="1232"/>
              <w:gridCol w:w="1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05"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工程名称</w:t>
                  </w:r>
                </w:p>
              </w:tc>
              <w:tc>
                <w:tcPr>
                  <w:tcW w:w="868"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产品名称</w:t>
                  </w:r>
                </w:p>
              </w:tc>
              <w:tc>
                <w:tcPr>
                  <w:tcW w:w="702"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用途</w:t>
                  </w:r>
                </w:p>
              </w:tc>
              <w:tc>
                <w:tcPr>
                  <w:tcW w:w="1035" w:type="pct"/>
                  <w:tcBorders>
                    <w:tl2br w:val="nil"/>
                    <w:tr2bl w:val="nil"/>
                  </w:tcBorders>
                  <w:vAlign w:val="center"/>
                </w:tcPr>
                <w:p>
                  <w:pPr>
                    <w:pStyle w:val="66"/>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产品规格</w:t>
                  </w:r>
                </w:p>
              </w:tc>
              <w:tc>
                <w:tcPr>
                  <w:tcW w:w="806"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设计规模</w:t>
                  </w:r>
                </w:p>
              </w:tc>
              <w:tc>
                <w:tcPr>
                  <w:tcW w:w="881" w:type="pct"/>
                  <w:tcBorders>
                    <w:tl2br w:val="nil"/>
                    <w:tr2bl w:val="nil"/>
                  </w:tcBorders>
                  <w:vAlign w:val="center"/>
                </w:tcPr>
                <w:p>
                  <w:pPr>
                    <w:pStyle w:val="66"/>
                    <w:rPr>
                      <w:rFonts w:hint="default" w:ascii="Times New Roman" w:hAnsi="Times New Roman" w:eastAsia="宋体" w:cs="Times New Roman"/>
                      <w:b/>
                      <w:lang w:eastAsia="zh-CN"/>
                    </w:rPr>
                  </w:pPr>
                  <w:r>
                    <w:rPr>
                      <w:rFonts w:hint="default" w:ascii="Times New Roman" w:hAnsi="Times New Roman" w:eastAsia="宋体" w:cs="Times New Roman"/>
                      <w:b/>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05"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车间一</w:t>
                  </w:r>
                </w:p>
              </w:tc>
              <w:tc>
                <w:tcPr>
                  <w:tcW w:w="868" w:type="pct"/>
                  <w:tcBorders>
                    <w:tl2br w:val="nil"/>
                    <w:tr2bl w:val="nil"/>
                  </w:tcBorders>
                  <w:vAlign w:val="center"/>
                </w:tcPr>
                <w:p>
                  <w:pPr>
                    <w:pStyle w:val="66"/>
                    <w:rPr>
                      <w:rFonts w:hint="default" w:ascii="Times New Roman" w:hAnsi="Times New Roman" w:eastAsia="宋体" w:cs="Times New Roman"/>
                      <w:bCs/>
                      <w:lang w:eastAsia="zh-CN" w:bidi="ar-SA"/>
                    </w:rPr>
                  </w:pPr>
                  <w:r>
                    <w:rPr>
                      <w:rFonts w:hint="default" w:ascii="Times New Roman" w:hAnsi="Times New Roman" w:eastAsia="宋体" w:cs="Times New Roman"/>
                      <w:bCs/>
                      <w:lang w:eastAsia="zh-CN" w:bidi="ar-SA"/>
                    </w:rPr>
                    <w:t>数控机床设备</w:t>
                  </w:r>
                </w:p>
              </w:tc>
              <w:tc>
                <w:tcPr>
                  <w:tcW w:w="702" w:type="pct"/>
                  <w:tcBorders>
                    <w:tl2br w:val="nil"/>
                    <w:tr2bl w:val="nil"/>
                  </w:tcBorders>
                  <w:vAlign w:val="center"/>
                </w:tcPr>
                <w:p>
                  <w:pPr>
                    <w:pStyle w:val="66"/>
                    <w:rPr>
                      <w:rFonts w:hint="default" w:ascii="Times New Roman" w:hAnsi="Times New Roman" w:eastAsia="宋体" w:cs="Times New Roman"/>
                      <w:szCs w:val="24"/>
                      <w:lang w:eastAsia="zh-CN"/>
                    </w:rPr>
                  </w:pPr>
                  <w:r>
                    <w:rPr>
                      <w:rFonts w:hint="default" w:ascii="Times New Roman" w:hAnsi="Times New Roman" w:eastAsia="宋体" w:cs="Times New Roman"/>
                      <w:szCs w:val="24"/>
                      <w:lang w:eastAsia="zh-CN"/>
                    </w:rPr>
                    <w:t>金属切削</w:t>
                  </w:r>
                </w:p>
              </w:tc>
              <w:tc>
                <w:tcPr>
                  <w:tcW w:w="1035" w:type="pct"/>
                  <w:tcBorders>
                    <w:tl2br w:val="nil"/>
                    <w:tr2bl w:val="nil"/>
                  </w:tcBorders>
                  <w:vAlign w:val="center"/>
                </w:tcPr>
                <w:p>
                  <w:pPr>
                    <w:pStyle w:val="66"/>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按订单定制，非标，单台折合重量约0.9吨</w:t>
                  </w:r>
                  <w:r>
                    <w:rPr>
                      <w:rFonts w:hint="eastAsia" w:ascii="Times New Roman" w:hAnsi="Times New Roman" w:eastAsia="宋体" w:cs="Times New Roman"/>
                      <w:szCs w:val="24"/>
                      <w:lang w:val="en-US" w:eastAsia="zh-CN"/>
                    </w:rPr>
                    <w:t>，典型尺寸：1.5m*1.1m*0.9m</w:t>
                  </w:r>
                </w:p>
              </w:tc>
              <w:tc>
                <w:tcPr>
                  <w:tcW w:w="806"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5000套/a</w:t>
                  </w:r>
                </w:p>
              </w:tc>
              <w:tc>
                <w:tcPr>
                  <w:tcW w:w="881" w:type="pct"/>
                  <w:tcBorders>
                    <w:tl2br w:val="nil"/>
                    <w:tr2bl w:val="nil"/>
                  </w:tcBorders>
                  <w:vAlign w:val="center"/>
                </w:tcPr>
                <w:p>
                  <w:pPr>
                    <w:pStyle w:val="66"/>
                    <w:rPr>
                      <w:rFonts w:hint="default" w:ascii="Times New Roman" w:hAnsi="Times New Roman" w:eastAsia="宋体" w:cs="Times New Roman"/>
                      <w:lang w:eastAsia="zh-CN"/>
                    </w:rPr>
                  </w:pPr>
                  <w:r>
                    <w:rPr>
                      <w:rFonts w:hint="default" w:ascii="Times New Roman" w:hAnsi="Times New Roman" w:eastAsia="宋体" w:cs="Times New Roman"/>
                      <w:lang w:eastAsia="zh-CN"/>
                    </w:rPr>
                    <w:t>年运行2400h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5000" w:type="pct"/>
                  <w:gridSpan w:val="6"/>
                  <w:tcBorders>
                    <w:tl2br w:val="nil"/>
                    <w:tr2bl w:val="nil"/>
                  </w:tcBorders>
                  <w:vAlign w:val="center"/>
                </w:tcPr>
                <w:p>
                  <w:pPr>
                    <w:pStyle w:val="66"/>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注：单套产品喷涂尺寸为1.5m*1.1m*0.9m，单套喷涂面积为7.98m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，单套产品喷塑面积3.9196m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w:t>
                  </w:r>
                </w:p>
              </w:tc>
            </w:tr>
          </w:tbl>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4、主要生产设备</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本项目主要生产设备一览表见表2-4。</w:t>
            </w:r>
          </w:p>
          <w:p>
            <w:pPr>
              <w:jc w:val="center"/>
              <w:rPr>
                <w:rFonts w:hint="default" w:ascii="Times New Roman" w:hAnsi="Times New Roman" w:cs="Times New Roman"/>
                <w:b/>
              </w:rPr>
            </w:pPr>
            <w:r>
              <w:rPr>
                <w:rFonts w:hint="default" w:ascii="Times New Roman" w:hAnsi="Times New Roman" w:cs="Times New Roman"/>
                <w:b/>
                <w:sz w:val="24"/>
              </w:rPr>
              <w:t>表2-4 本项目主要生产设备一览表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111"/>
              <w:gridCol w:w="1032"/>
              <w:gridCol w:w="1718"/>
              <w:gridCol w:w="1467"/>
              <w:gridCol w:w="1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6" w:type="pct"/>
                  <w:tcBorders>
                    <w:tl2br w:val="nil"/>
                    <w:tr2bl w:val="nil"/>
                  </w:tcBorders>
                  <w:vAlign w:val="center"/>
                </w:tcPr>
                <w:p>
                  <w:pPr>
                    <w:pStyle w:val="13"/>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726" w:type="pct"/>
                  <w:tcBorders>
                    <w:tl2br w:val="nil"/>
                    <w:tr2bl w:val="nil"/>
                  </w:tcBorders>
                  <w:vAlign w:val="center"/>
                </w:tcPr>
                <w:p>
                  <w:pPr>
                    <w:pStyle w:val="13"/>
                    <w:jc w:val="center"/>
                    <w:rPr>
                      <w:rFonts w:hint="default" w:ascii="Times New Roman" w:hAnsi="Times New Roman" w:cs="Times New Roman"/>
                      <w:b/>
                      <w:bCs/>
                      <w:szCs w:val="21"/>
                    </w:rPr>
                  </w:pPr>
                  <w:r>
                    <w:rPr>
                      <w:rFonts w:hint="default" w:ascii="Times New Roman" w:hAnsi="Times New Roman" w:cs="Times New Roman"/>
                      <w:b/>
                      <w:bCs/>
                      <w:szCs w:val="21"/>
                    </w:rPr>
                    <w:t>设备名称</w:t>
                  </w:r>
                </w:p>
              </w:tc>
              <w:tc>
                <w:tcPr>
                  <w:tcW w:w="675" w:type="pct"/>
                  <w:tcBorders>
                    <w:tl2br w:val="nil"/>
                    <w:tr2bl w:val="nil"/>
                  </w:tcBorders>
                  <w:vAlign w:val="center"/>
                </w:tcPr>
                <w:p>
                  <w:pPr>
                    <w:pStyle w:val="13"/>
                    <w:jc w:val="center"/>
                    <w:rPr>
                      <w:rFonts w:hint="default" w:ascii="Times New Roman" w:hAnsi="Times New Roman" w:cs="Times New Roman"/>
                      <w:b/>
                      <w:bCs/>
                      <w:szCs w:val="21"/>
                    </w:rPr>
                  </w:pPr>
                  <w:r>
                    <w:rPr>
                      <w:rFonts w:hint="default" w:ascii="Times New Roman" w:hAnsi="Times New Roman" w:cs="Times New Roman"/>
                      <w:b/>
                      <w:bCs/>
                      <w:szCs w:val="21"/>
                    </w:rPr>
                    <w:t>工序</w:t>
                  </w:r>
                </w:p>
              </w:tc>
              <w:tc>
                <w:tcPr>
                  <w:tcW w:w="1124" w:type="pct"/>
                  <w:tcBorders>
                    <w:tl2br w:val="nil"/>
                    <w:tr2bl w:val="nil"/>
                  </w:tcBorders>
                  <w:vAlign w:val="center"/>
                </w:tcPr>
                <w:p>
                  <w:pPr>
                    <w:pStyle w:val="13"/>
                    <w:jc w:val="center"/>
                    <w:rPr>
                      <w:rFonts w:hint="default" w:ascii="Times New Roman" w:hAnsi="Times New Roman" w:cs="Times New Roman"/>
                      <w:b/>
                      <w:bCs/>
                      <w:szCs w:val="21"/>
                    </w:rPr>
                  </w:pPr>
                  <w:r>
                    <w:rPr>
                      <w:rFonts w:hint="default" w:ascii="Times New Roman" w:hAnsi="Times New Roman" w:cs="Times New Roman"/>
                      <w:b/>
                      <w:bCs/>
                      <w:szCs w:val="21"/>
                    </w:rPr>
                    <w:t>规格及型号</w:t>
                  </w:r>
                </w:p>
              </w:tc>
              <w:tc>
                <w:tcPr>
                  <w:tcW w:w="959" w:type="pct"/>
                  <w:tcBorders>
                    <w:tl2br w:val="nil"/>
                    <w:tr2bl w:val="nil"/>
                  </w:tcBorders>
                  <w:vAlign w:val="center"/>
                </w:tcPr>
                <w:p>
                  <w:pPr>
                    <w:pStyle w:val="13"/>
                    <w:jc w:val="center"/>
                    <w:rPr>
                      <w:rFonts w:hint="default" w:ascii="Times New Roman" w:hAnsi="Times New Roman" w:cs="Times New Roman"/>
                      <w:b/>
                      <w:bCs/>
                      <w:szCs w:val="21"/>
                    </w:rPr>
                  </w:pPr>
                  <w:r>
                    <w:rPr>
                      <w:rFonts w:hint="default" w:ascii="Times New Roman" w:hAnsi="Times New Roman" w:cs="Times New Roman"/>
                      <w:b/>
                      <w:bCs/>
                      <w:szCs w:val="21"/>
                    </w:rPr>
                    <w:t>数量（台/套）</w:t>
                  </w:r>
                </w:p>
              </w:tc>
              <w:tc>
                <w:tcPr>
                  <w:tcW w:w="1197" w:type="pct"/>
                  <w:tcBorders>
                    <w:tl2br w:val="nil"/>
                    <w:tr2bl w:val="nil"/>
                  </w:tcBorders>
                  <w:vAlign w:val="center"/>
                </w:tcPr>
                <w:p>
                  <w:pPr>
                    <w:pStyle w:val="13"/>
                    <w:jc w:val="center"/>
                    <w:rPr>
                      <w:rFonts w:hint="default" w:ascii="Times New Roman" w:hAnsi="Times New Roman" w:cs="Times New Roman"/>
                      <w:b/>
                      <w:bCs/>
                      <w:szCs w:val="21"/>
                    </w:rPr>
                  </w:pPr>
                  <w:r>
                    <w:rPr>
                      <w:rFonts w:hint="default" w:ascii="Times New Roman" w:hAnsi="Times New Roman" w:cs="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1</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锅炉</w:t>
                  </w:r>
                </w:p>
              </w:tc>
              <w:tc>
                <w:tcPr>
                  <w:tcW w:w="675" w:type="pct"/>
                  <w:vMerge w:val="restar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制模</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t/h</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lang w:eastAsia="zh-CN" w:bidi="ar-SA"/>
                    </w:rPr>
                    <w:t>外购</w:t>
                  </w:r>
                  <w:r>
                    <w:rPr>
                      <w:rFonts w:hint="eastAsia" w:ascii="Times New Roman" w:hAnsi="Times New Roman" w:eastAsia="宋体" w:cs="Times New Roman"/>
                      <w:lang w:eastAsia="zh-CN" w:bidi="ar-SA"/>
                    </w:rPr>
                    <w:t>（</w:t>
                  </w:r>
                  <w:r>
                    <w:rPr>
                      <w:rFonts w:hint="eastAsia" w:ascii="Times New Roman" w:hAnsi="Times New Roman" w:eastAsia="宋体" w:cs="Times New Roman"/>
                      <w:lang w:val="en-US" w:eastAsia="zh-CN" w:bidi="ar-SA"/>
                    </w:rPr>
                    <w:t>燃料为天然气</w:t>
                  </w:r>
                  <w:r>
                    <w:rPr>
                      <w:rFonts w:hint="eastAsia" w:ascii="Times New Roman" w:hAnsi="Times New Roman" w:eastAsia="宋体" w:cs="Times New Roman"/>
                      <w:lang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2</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混砂机</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1197" w:type="pct"/>
                  <w:tcBorders>
                    <w:tl2br w:val="nil"/>
                    <w:tr2bl w:val="nil"/>
                  </w:tcBorders>
                  <w:vAlign w:val="center"/>
                </w:tcPr>
                <w:p>
                  <w:pPr>
                    <w:pStyle w:val="66"/>
                    <w:widowControl w:val="0"/>
                    <w:rPr>
                      <w:rFonts w:hint="default" w:ascii="Times New Roman" w:hAnsi="Times New Roman" w:eastAsia="宋体" w:cs="Times New Roman"/>
                      <w:lang w:val="en-US" w:eastAsia="zh-CN" w:bidi="ar-SA"/>
                    </w:rPr>
                  </w:pPr>
                  <w:r>
                    <w:rPr>
                      <w:rFonts w:hint="eastAsia" w:ascii="Times New Roman" w:hAnsi="Times New Roman" w:eastAsia="宋体" w:cs="Times New Roman"/>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3</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冷射芯机</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z8425D</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i w:val="0"/>
                      <w:iCs w:val="0"/>
                      <w:color w:val="auto"/>
                      <w:kern w:val="0"/>
                      <w:sz w:val="21"/>
                      <w:szCs w:val="21"/>
                      <w:u w:val="none"/>
                      <w:lang w:val="en-US" w:eastAsia="zh-CN" w:bidi="ar"/>
                    </w:rPr>
                    <w:t>3</w:t>
                  </w:r>
                </w:p>
              </w:tc>
              <w:tc>
                <w:tcPr>
                  <w:tcW w:w="1197" w:type="pct"/>
                  <w:tcBorders>
                    <w:tl2br w:val="nil"/>
                    <w:tr2bl w:val="nil"/>
                  </w:tcBorders>
                  <w:vAlign w:val="center"/>
                </w:tcPr>
                <w:p>
                  <w:pPr>
                    <w:pStyle w:val="66"/>
                    <w:widowControl w:val="0"/>
                    <w:rPr>
                      <w:rFonts w:hint="default" w:ascii="Times New Roman" w:hAnsi="Times New Roman" w:eastAsia="宋体" w:cs="Times New Roman"/>
                      <w:lang w:val="en-US" w:eastAsia="zh-CN" w:bidi="ar-SA"/>
                    </w:rPr>
                  </w:pPr>
                  <w:r>
                    <w:rPr>
                      <w:rFonts w:hint="eastAsia" w:ascii="Times New Roman" w:hAnsi="Times New Roman" w:eastAsia="宋体" w:cs="Times New Roman"/>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4</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发料机</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5</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eastAsia" w:ascii="Times New Roman" w:hAnsi="Times New Roman" w:cs="Times New Roman"/>
                      <w:sz w:val="21"/>
                      <w:szCs w:val="21"/>
                      <w:lang w:val="en-US" w:eastAsia="zh-CN"/>
                    </w:rPr>
                    <w:t>发泡</w:t>
                  </w:r>
                  <w:r>
                    <w:rPr>
                      <w:rFonts w:hint="default" w:ascii="Times New Roman" w:hAnsi="Times New Roman" w:cs="Times New Roman"/>
                      <w:sz w:val="21"/>
                      <w:szCs w:val="21"/>
                    </w:rPr>
                    <w:t>成型</w:t>
                  </w:r>
                  <w:r>
                    <w:rPr>
                      <w:rFonts w:hint="eastAsia" w:ascii="Times New Roman" w:hAnsi="Times New Roman" w:cs="Times New Roman"/>
                      <w:sz w:val="21"/>
                      <w:szCs w:val="21"/>
                      <w:lang w:val="en-US" w:eastAsia="zh-CN"/>
                    </w:rPr>
                    <w:t>一体</w:t>
                  </w:r>
                  <w:r>
                    <w:rPr>
                      <w:rFonts w:hint="default" w:ascii="Times New Roman" w:hAnsi="Times New Roman" w:cs="Times New Roman"/>
                      <w:sz w:val="21"/>
                      <w:szCs w:val="21"/>
                    </w:rPr>
                    <w:t>机</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1197" w:type="pct"/>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发泡温度80~105</w:t>
                  </w:r>
                  <w:r>
                    <w:rPr>
                      <w:rFonts w:hint="default" w:ascii="Times New Roman" w:hAnsi="Times New Roman"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6</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数控加工中心</w:t>
                  </w:r>
                </w:p>
              </w:tc>
              <w:tc>
                <w:tcPr>
                  <w:tcW w:w="675" w:type="pct"/>
                  <w:vMerge w:val="restar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精、粗加工</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TV1160</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7</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镗床</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1200</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8</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磨床</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12040</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9</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铣床</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10</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手持打磨机</w:t>
                  </w:r>
                </w:p>
              </w:tc>
              <w:tc>
                <w:tcPr>
                  <w:tcW w:w="675" w:type="pct"/>
                  <w:vMerge w:val="restar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喷涂</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11</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腻子</w:t>
                  </w:r>
                  <w:r>
                    <w:rPr>
                      <w:rFonts w:hint="default" w:ascii="Times New Roman" w:hAnsi="Times New Roman" w:cs="Times New Roman"/>
                      <w:sz w:val="21"/>
                      <w:szCs w:val="21"/>
                      <w:lang w:val="en-US" w:eastAsia="zh-CN"/>
                    </w:rPr>
                    <w:t>烘干房</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m×6m×3m</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腻子烘干，电加热60~80</w:t>
                  </w:r>
                  <w:r>
                    <w:rPr>
                      <w:rFonts w:hint="default" w:ascii="Times New Roman" w:hAnsi="Times New Roman"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12</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喷漆房</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12m×6m×3m</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jc w:val="center"/>
                    <w:rPr>
                      <w:rFonts w:hint="default" w:cs="Times New Roman"/>
                      <w:kern w:val="0"/>
                      <w:szCs w:val="21"/>
                      <w:lang w:val="en-US" w:eastAsia="zh-CN"/>
                    </w:rPr>
                  </w:pPr>
                  <w:r>
                    <w:rPr>
                      <w:rFonts w:hint="eastAsia" w:cs="Times New Roman"/>
                      <w:kern w:val="0"/>
                      <w:szCs w:val="21"/>
                      <w:lang w:val="en-US" w:eastAsia="zh-CN"/>
                    </w:rPr>
                    <w:t>设置1个喷枪，喷枪流速90g/min</w:t>
                  </w:r>
                </w:p>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常温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13</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激光切割机</w:t>
                  </w:r>
                </w:p>
              </w:tc>
              <w:tc>
                <w:tcPr>
                  <w:tcW w:w="675"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下料</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GX-M</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14</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折弯机</w:t>
                  </w:r>
                </w:p>
              </w:tc>
              <w:tc>
                <w:tcPr>
                  <w:tcW w:w="675" w:type="pct"/>
                  <w:vMerge w:val="restar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折弯、焊接</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WC67K</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15</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焊接机</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16</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抛丸机</w:t>
                  </w:r>
                </w:p>
              </w:tc>
              <w:tc>
                <w:tcPr>
                  <w:tcW w:w="675"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表面处理</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378</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17</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喷塑线</w:t>
                  </w:r>
                </w:p>
              </w:tc>
              <w:tc>
                <w:tcPr>
                  <w:tcW w:w="675"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喷塑</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喷粉线6m×2.5m×3m；</w:t>
                  </w:r>
                </w:p>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烘道20m×1.5m×4m；</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jc w:val="center"/>
                    <w:rPr>
                      <w:rFonts w:hint="default" w:cs="Times New Roman"/>
                      <w:kern w:val="0"/>
                      <w:szCs w:val="21"/>
                      <w:lang w:val="en-US" w:eastAsia="zh-CN"/>
                    </w:rPr>
                  </w:pPr>
                  <w:r>
                    <w:rPr>
                      <w:rFonts w:hint="eastAsia" w:cs="Times New Roman"/>
                      <w:kern w:val="0"/>
                      <w:szCs w:val="21"/>
                      <w:lang w:val="en-US" w:eastAsia="zh-CN"/>
                    </w:rPr>
                    <w:t>设置1个喷枪，出粉量60g/min</w:t>
                  </w:r>
                </w:p>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烘道电加热190</w:t>
                  </w:r>
                  <w:r>
                    <w:rPr>
                      <w:rFonts w:hint="default" w:ascii="Times New Roman" w:hAnsi="Times New Roman"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18</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行车</w:t>
                  </w:r>
                </w:p>
              </w:tc>
              <w:tc>
                <w:tcPr>
                  <w:tcW w:w="675" w:type="pct"/>
                  <w:vMerge w:val="restar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辅助生产</w:t>
                  </w: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19</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冷却塔</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5t/h</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97" w:type="pct"/>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w:t>
                  </w:r>
                </w:p>
              </w:tc>
              <w:tc>
                <w:tcPr>
                  <w:tcW w:w="726"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空压机</w:t>
                  </w:r>
                </w:p>
              </w:tc>
              <w:tc>
                <w:tcPr>
                  <w:tcW w:w="675" w:type="pct"/>
                  <w:vMerge w:val="continue"/>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p>
              </w:tc>
              <w:tc>
                <w:tcPr>
                  <w:tcW w:w="1124" w:type="pct"/>
                  <w:tcBorders>
                    <w:tl2br w:val="nil"/>
                    <w:tr2bl w:val="nil"/>
                  </w:tcBorders>
                  <w:vAlign w:val="center"/>
                </w:tcPr>
                <w:p>
                  <w:pPr>
                    <w:pStyle w:val="7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45kW</w:t>
                  </w:r>
                </w:p>
              </w:tc>
              <w:tc>
                <w:tcPr>
                  <w:tcW w:w="9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w:t>
                  </w:r>
                </w:p>
              </w:tc>
              <w:tc>
                <w:tcPr>
                  <w:tcW w:w="1197" w:type="pct"/>
                  <w:tcBorders>
                    <w:tl2br w:val="nil"/>
                    <w:tr2bl w:val="nil"/>
                  </w:tcBorders>
                  <w:vAlign w:val="center"/>
                </w:tcPr>
                <w:p>
                  <w:pPr>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bl>
          <w:p>
            <w:pPr>
              <w:pStyle w:val="11"/>
              <w:spacing w:before="0" w:after="0" w:line="360" w:lineRule="auto"/>
              <w:ind w:right="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产能匹配性分析：</w:t>
            </w:r>
          </w:p>
          <w:p>
            <w:pPr>
              <w:pStyle w:val="11"/>
              <w:spacing w:before="0" w:after="0" w:line="360" w:lineRule="auto"/>
              <w:ind w:righ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lang w:val="en-US" w:eastAsia="zh-CN"/>
              </w:rPr>
              <w:t>设备产能匹配性分析见下表。</w:t>
            </w:r>
          </w:p>
          <w:p>
            <w:pPr>
              <w:ind w:firstLine="482" w:firstLineChars="200"/>
              <w:jc w:val="center"/>
              <w:rPr>
                <w:rFonts w:hint="default" w:ascii="Times New Roman" w:hAnsi="Times New Roman" w:cs="Times New Roman"/>
                <w:sz w:val="24"/>
              </w:rPr>
            </w:pPr>
            <w:r>
              <w:rPr>
                <w:rFonts w:hint="default" w:ascii="Times New Roman" w:hAnsi="Times New Roman" w:cs="Times New Roman"/>
                <w:b/>
                <w:sz w:val="24"/>
              </w:rPr>
              <w:t>表2-</w:t>
            </w:r>
            <w:r>
              <w:rPr>
                <w:rFonts w:hint="default" w:ascii="Times New Roman" w:hAnsi="Times New Roman" w:cs="Times New Roman"/>
                <w:b/>
                <w:sz w:val="24"/>
                <w:lang w:val="en-US" w:eastAsia="zh-CN"/>
              </w:rPr>
              <w:t>5</w:t>
            </w:r>
            <w:r>
              <w:rPr>
                <w:rFonts w:hint="default" w:ascii="Times New Roman" w:hAnsi="Times New Roman" w:cs="Times New Roman"/>
                <w:b/>
                <w:sz w:val="24"/>
              </w:rPr>
              <w:t xml:space="preserve">  </w:t>
            </w:r>
            <w:r>
              <w:rPr>
                <w:rFonts w:hint="default" w:ascii="Times New Roman" w:hAnsi="Times New Roman" w:cs="Times New Roman"/>
                <w:b/>
                <w:sz w:val="24"/>
                <w:lang w:val="en-US" w:eastAsia="zh-CN"/>
              </w:rPr>
              <w:t>项目产能匹配性分析表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155"/>
              <w:gridCol w:w="975"/>
              <w:gridCol w:w="1230"/>
              <w:gridCol w:w="1500"/>
              <w:gridCol w:w="1091"/>
              <w:gridCol w:w="1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89"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序号</w:t>
                  </w:r>
                </w:p>
              </w:tc>
              <w:tc>
                <w:tcPr>
                  <w:tcW w:w="75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设备名称</w:t>
                  </w:r>
                </w:p>
              </w:tc>
              <w:tc>
                <w:tcPr>
                  <w:tcW w:w="63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数量（台）</w:t>
                  </w:r>
                </w:p>
              </w:tc>
              <w:tc>
                <w:tcPr>
                  <w:tcW w:w="804"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每小时最大处理量（t）</w:t>
                  </w:r>
                </w:p>
              </w:tc>
              <w:tc>
                <w:tcPr>
                  <w:tcW w:w="981"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设计年运行时间（h）</w:t>
                  </w:r>
                </w:p>
              </w:tc>
              <w:tc>
                <w:tcPr>
                  <w:tcW w:w="713"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年最大处理量（t）</w:t>
                  </w:r>
                </w:p>
              </w:tc>
              <w:tc>
                <w:tcPr>
                  <w:tcW w:w="71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设计年处理量（t）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89"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w:t>
                  </w:r>
                </w:p>
              </w:tc>
              <w:tc>
                <w:tcPr>
                  <w:tcW w:w="75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发泡成型一体机</w:t>
                  </w:r>
                </w:p>
              </w:tc>
              <w:tc>
                <w:tcPr>
                  <w:tcW w:w="63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6</w:t>
                  </w:r>
                </w:p>
              </w:tc>
              <w:tc>
                <w:tcPr>
                  <w:tcW w:w="804"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2.1</w:t>
                  </w:r>
                </w:p>
              </w:tc>
              <w:tc>
                <w:tcPr>
                  <w:tcW w:w="981"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250</w:t>
                  </w:r>
                </w:p>
              </w:tc>
              <w:tc>
                <w:tcPr>
                  <w:tcW w:w="713"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525</w:t>
                  </w:r>
                </w:p>
              </w:tc>
              <w:tc>
                <w:tcPr>
                  <w:tcW w:w="71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389"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w:t>
                  </w:r>
                </w:p>
              </w:tc>
              <w:tc>
                <w:tcPr>
                  <w:tcW w:w="75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冷射芯机</w:t>
                  </w:r>
                </w:p>
              </w:tc>
              <w:tc>
                <w:tcPr>
                  <w:tcW w:w="63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w:t>
                  </w:r>
                </w:p>
              </w:tc>
              <w:tc>
                <w:tcPr>
                  <w:tcW w:w="804"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0.21</w:t>
                  </w:r>
                </w:p>
              </w:tc>
              <w:tc>
                <w:tcPr>
                  <w:tcW w:w="981"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300</w:t>
                  </w:r>
                </w:p>
              </w:tc>
              <w:tc>
                <w:tcPr>
                  <w:tcW w:w="713"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63</w:t>
                  </w:r>
                </w:p>
              </w:tc>
              <w:tc>
                <w:tcPr>
                  <w:tcW w:w="71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389"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75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机加工设备</w:t>
                  </w:r>
                </w:p>
              </w:tc>
              <w:tc>
                <w:tcPr>
                  <w:tcW w:w="63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77</w:t>
                  </w:r>
                </w:p>
              </w:tc>
              <w:tc>
                <w:tcPr>
                  <w:tcW w:w="804"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981"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2400</w:t>
                  </w:r>
                </w:p>
              </w:tc>
              <w:tc>
                <w:tcPr>
                  <w:tcW w:w="713"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3120</w:t>
                  </w:r>
                </w:p>
              </w:tc>
              <w:tc>
                <w:tcPr>
                  <w:tcW w:w="71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389"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75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激光切割机</w:t>
                  </w:r>
                </w:p>
              </w:tc>
              <w:tc>
                <w:tcPr>
                  <w:tcW w:w="63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04"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0.45</w:t>
                  </w:r>
                </w:p>
              </w:tc>
              <w:tc>
                <w:tcPr>
                  <w:tcW w:w="981"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2400</w:t>
                  </w:r>
                </w:p>
              </w:tc>
              <w:tc>
                <w:tcPr>
                  <w:tcW w:w="713"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1080</w:t>
                  </w:r>
                </w:p>
              </w:tc>
              <w:tc>
                <w:tcPr>
                  <w:tcW w:w="717"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bl>
          <w:p>
            <w:pPr>
              <w:pStyle w:val="11"/>
              <w:spacing w:before="0" w:after="0" w:line="360" w:lineRule="auto"/>
              <w:ind w:right="0" w:firstLine="480" w:firstLineChars="200"/>
              <w:rPr>
                <w:rFonts w:hint="default"/>
                <w:b w:val="0"/>
                <w:bCs w:val="0"/>
                <w:sz w:val="24"/>
                <w:szCs w:val="24"/>
              </w:rPr>
            </w:pPr>
            <w:r>
              <w:rPr>
                <w:rFonts w:hint="default"/>
                <w:b w:val="0"/>
                <w:bCs w:val="0"/>
                <w:sz w:val="24"/>
                <w:szCs w:val="24"/>
              </w:rPr>
              <w:t>喷</w:t>
            </w:r>
            <w:r>
              <w:rPr>
                <w:rFonts w:hint="eastAsia"/>
                <w:b w:val="0"/>
                <w:bCs w:val="0"/>
                <w:sz w:val="24"/>
                <w:szCs w:val="24"/>
                <w:lang w:val="en-US" w:eastAsia="zh-CN"/>
              </w:rPr>
              <w:t>涂</w:t>
            </w:r>
            <w:r>
              <w:rPr>
                <w:rFonts w:hint="default"/>
                <w:b w:val="0"/>
                <w:bCs w:val="0"/>
                <w:sz w:val="24"/>
                <w:szCs w:val="24"/>
              </w:rPr>
              <w:t>产能匹配性分析：</w:t>
            </w:r>
          </w:p>
          <w:p>
            <w:pPr>
              <w:pStyle w:val="11"/>
              <w:spacing w:before="0" w:after="0" w:line="360" w:lineRule="auto"/>
              <w:ind w:right="0" w:firstLine="480" w:firstLineChars="200"/>
              <w:rPr>
                <w:rFonts w:hint="default"/>
                <w:b w:val="0"/>
                <w:bCs w:val="0"/>
                <w:sz w:val="24"/>
                <w:szCs w:val="24"/>
              </w:rPr>
            </w:pPr>
            <w:r>
              <w:rPr>
                <w:rFonts w:hint="default"/>
                <w:b w:val="0"/>
                <w:bCs w:val="0"/>
                <w:sz w:val="24"/>
                <w:szCs w:val="24"/>
              </w:rPr>
              <w:t>根据业主提供资料，</w:t>
            </w:r>
            <w:r>
              <w:rPr>
                <w:rFonts w:hint="eastAsia"/>
                <w:b w:val="0"/>
                <w:bCs w:val="0"/>
                <w:sz w:val="24"/>
                <w:szCs w:val="24"/>
                <w:lang w:val="en-US" w:eastAsia="zh-CN"/>
              </w:rPr>
              <w:t>机床部件</w:t>
            </w:r>
            <w:r>
              <w:rPr>
                <w:rFonts w:hint="default"/>
                <w:b w:val="0"/>
                <w:bCs w:val="0"/>
                <w:sz w:val="24"/>
                <w:szCs w:val="24"/>
              </w:rPr>
              <w:t>需要喷涂，</w:t>
            </w:r>
            <w:r>
              <w:rPr>
                <w:rFonts w:hint="eastAsia"/>
                <w:b w:val="0"/>
                <w:bCs w:val="0"/>
                <w:sz w:val="24"/>
                <w:szCs w:val="24"/>
                <w:lang w:val="en-US" w:eastAsia="zh-CN"/>
              </w:rPr>
              <w:t>部件</w:t>
            </w:r>
            <w:r>
              <w:rPr>
                <w:rFonts w:hint="default"/>
                <w:b w:val="0"/>
                <w:bCs w:val="0"/>
                <w:sz w:val="24"/>
                <w:szCs w:val="24"/>
              </w:rPr>
              <w:t>最大尺寸为</w:t>
            </w:r>
            <w:r>
              <w:rPr>
                <w:rFonts w:hint="eastAsia"/>
                <w:b w:val="0"/>
                <w:bCs w:val="0"/>
                <w:sz w:val="24"/>
                <w:szCs w:val="24"/>
                <w:lang w:val="en-US" w:eastAsia="zh-CN"/>
              </w:rPr>
              <w:t>1500</w:t>
            </w:r>
            <w:r>
              <w:rPr>
                <w:rFonts w:hint="default"/>
                <w:b w:val="0"/>
                <w:bCs w:val="0"/>
                <w:sz w:val="24"/>
                <w:szCs w:val="24"/>
              </w:rPr>
              <w:t>mm，均小于</w:t>
            </w:r>
            <w:r>
              <w:rPr>
                <w:rFonts w:hint="eastAsia"/>
                <w:b w:val="0"/>
                <w:bCs w:val="0"/>
                <w:sz w:val="24"/>
                <w:szCs w:val="24"/>
                <w:lang w:val="en-US" w:eastAsia="zh-CN"/>
              </w:rPr>
              <w:t>腻子烘干房尺寸（</w:t>
            </w:r>
            <w:r>
              <w:rPr>
                <w:rFonts w:hint="default" w:ascii="Times New Roman" w:hAnsi="Times New Roman" w:cs="Times New Roman"/>
                <w:b w:val="0"/>
                <w:bCs w:val="0"/>
                <w:sz w:val="24"/>
                <w:szCs w:val="24"/>
                <w:lang w:val="en-US" w:eastAsia="zh-CN"/>
              </w:rPr>
              <w:t>8000mm×6000mm×3000mm</w:t>
            </w:r>
            <w:r>
              <w:rPr>
                <w:rFonts w:hint="eastAsia"/>
                <w:b w:val="0"/>
                <w:bCs w:val="0"/>
                <w:sz w:val="24"/>
                <w:szCs w:val="24"/>
                <w:lang w:val="en-US" w:eastAsia="zh-CN"/>
              </w:rPr>
              <w:t>）、</w:t>
            </w:r>
            <w:r>
              <w:rPr>
                <w:rFonts w:hint="default"/>
                <w:b w:val="0"/>
                <w:bCs w:val="0"/>
                <w:sz w:val="24"/>
                <w:szCs w:val="24"/>
              </w:rPr>
              <w:t>喷漆房尺寸（</w:t>
            </w:r>
            <w:r>
              <w:rPr>
                <w:rFonts w:hint="eastAsia"/>
                <w:b w:val="0"/>
                <w:bCs w:val="0"/>
                <w:sz w:val="24"/>
                <w:szCs w:val="24"/>
                <w:lang w:val="en-US" w:eastAsia="zh-CN"/>
              </w:rPr>
              <w:t>12000</w:t>
            </w:r>
            <w:r>
              <w:rPr>
                <w:rFonts w:hint="default"/>
                <w:b w:val="0"/>
                <w:bCs w:val="0"/>
                <w:sz w:val="24"/>
                <w:szCs w:val="24"/>
              </w:rPr>
              <w:t>×</w:t>
            </w:r>
            <w:r>
              <w:rPr>
                <w:rFonts w:hint="eastAsia"/>
                <w:b w:val="0"/>
                <w:bCs w:val="0"/>
                <w:sz w:val="24"/>
                <w:szCs w:val="24"/>
                <w:lang w:val="en-US" w:eastAsia="zh-CN"/>
              </w:rPr>
              <w:t>6000</w:t>
            </w:r>
            <w:r>
              <w:rPr>
                <w:rFonts w:hint="default"/>
                <w:b w:val="0"/>
                <w:bCs w:val="0"/>
                <w:sz w:val="24"/>
                <w:szCs w:val="24"/>
              </w:rPr>
              <w:t>×</w:t>
            </w:r>
            <w:r>
              <w:rPr>
                <w:rFonts w:hint="eastAsia"/>
                <w:b w:val="0"/>
                <w:bCs w:val="0"/>
                <w:sz w:val="24"/>
                <w:szCs w:val="24"/>
                <w:lang w:val="en-US" w:eastAsia="zh-CN"/>
              </w:rPr>
              <w:t>30</w:t>
            </w:r>
            <w:r>
              <w:rPr>
                <w:rFonts w:hint="default"/>
                <w:b w:val="0"/>
                <w:bCs w:val="0"/>
                <w:sz w:val="24"/>
                <w:szCs w:val="24"/>
              </w:rPr>
              <w:t>00mm），因此</w:t>
            </w:r>
            <w:r>
              <w:rPr>
                <w:rFonts w:hint="eastAsia"/>
                <w:b w:val="0"/>
                <w:bCs w:val="0"/>
                <w:sz w:val="24"/>
                <w:szCs w:val="24"/>
                <w:lang w:val="en-US" w:eastAsia="zh-CN"/>
              </w:rPr>
              <w:t>腻子烘干房及</w:t>
            </w:r>
            <w:r>
              <w:rPr>
                <w:rFonts w:hint="default"/>
                <w:b w:val="0"/>
                <w:bCs w:val="0"/>
                <w:sz w:val="24"/>
                <w:szCs w:val="24"/>
              </w:rPr>
              <w:t>喷漆房可容纳</w:t>
            </w:r>
            <w:r>
              <w:rPr>
                <w:rFonts w:hint="eastAsia"/>
                <w:b w:val="0"/>
                <w:bCs w:val="0"/>
                <w:sz w:val="24"/>
                <w:szCs w:val="24"/>
                <w:lang w:val="en-US" w:eastAsia="zh-CN"/>
              </w:rPr>
              <w:t>机床部件</w:t>
            </w:r>
            <w:r>
              <w:rPr>
                <w:rFonts w:hint="default"/>
                <w:b w:val="0"/>
                <w:bCs w:val="0"/>
                <w:sz w:val="24"/>
                <w:szCs w:val="24"/>
              </w:rPr>
              <w:t>喷涂</w:t>
            </w:r>
            <w:r>
              <w:rPr>
                <w:rFonts w:hint="eastAsia"/>
                <w:b w:val="0"/>
                <w:bCs w:val="0"/>
                <w:sz w:val="24"/>
                <w:szCs w:val="24"/>
                <w:lang w:val="en-US" w:eastAsia="zh-CN"/>
              </w:rPr>
              <w:t>晾干</w:t>
            </w:r>
            <w:r>
              <w:rPr>
                <w:rFonts w:hint="default"/>
                <w:b w:val="0"/>
                <w:bCs w:val="0"/>
                <w:sz w:val="24"/>
                <w:szCs w:val="24"/>
              </w:rPr>
              <w:t>。</w:t>
            </w:r>
          </w:p>
          <w:p>
            <w:pPr>
              <w:pStyle w:val="11"/>
              <w:spacing w:before="0" w:after="0" w:line="360" w:lineRule="auto"/>
              <w:ind w:right="0"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喷</w:t>
            </w:r>
            <w:r>
              <w:rPr>
                <w:rFonts w:hint="eastAsia" w:cs="Times New Roman"/>
                <w:b w:val="0"/>
                <w:bCs w:val="0"/>
                <w:sz w:val="24"/>
                <w:szCs w:val="24"/>
                <w:lang w:val="en-US" w:eastAsia="zh-CN"/>
              </w:rPr>
              <w:t>塑</w:t>
            </w:r>
            <w:r>
              <w:rPr>
                <w:rFonts w:hint="eastAsia" w:ascii="Times New Roman" w:hAnsi="Times New Roman" w:eastAsia="宋体" w:cs="Times New Roman"/>
                <w:b w:val="0"/>
                <w:bCs w:val="0"/>
                <w:sz w:val="24"/>
                <w:szCs w:val="24"/>
                <w:lang w:val="en-US" w:eastAsia="zh-CN"/>
              </w:rPr>
              <w:t>产能匹配性分析：</w:t>
            </w:r>
          </w:p>
          <w:p>
            <w:pPr>
              <w:pStyle w:val="11"/>
              <w:spacing w:before="0" w:after="0" w:line="360" w:lineRule="auto"/>
              <w:ind w:right="0"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根据业主提供资料，</w:t>
            </w:r>
            <w:r>
              <w:rPr>
                <w:rFonts w:hint="eastAsia" w:cs="Times New Roman"/>
                <w:b w:val="0"/>
                <w:bCs w:val="0"/>
                <w:sz w:val="24"/>
                <w:szCs w:val="24"/>
                <w:lang w:val="en-US" w:eastAsia="zh-CN"/>
              </w:rPr>
              <w:t>板件</w:t>
            </w:r>
            <w:r>
              <w:rPr>
                <w:rFonts w:hint="eastAsia" w:ascii="Times New Roman" w:hAnsi="Times New Roman" w:eastAsia="宋体" w:cs="Times New Roman"/>
                <w:b w:val="0"/>
                <w:bCs w:val="0"/>
                <w:sz w:val="24"/>
                <w:szCs w:val="24"/>
                <w:lang w:val="en-US" w:eastAsia="zh-CN"/>
              </w:rPr>
              <w:t>需要</w:t>
            </w:r>
            <w:r>
              <w:rPr>
                <w:rFonts w:hint="eastAsia" w:cs="Times New Roman"/>
                <w:b w:val="0"/>
                <w:bCs w:val="0"/>
                <w:sz w:val="24"/>
                <w:szCs w:val="24"/>
                <w:lang w:val="en-US" w:eastAsia="zh-CN"/>
              </w:rPr>
              <w:t>喷塑</w:t>
            </w:r>
            <w:r>
              <w:rPr>
                <w:rFonts w:hint="eastAsia"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板件</w:t>
            </w:r>
            <w:r>
              <w:rPr>
                <w:rFonts w:hint="eastAsia" w:ascii="Times New Roman" w:hAnsi="Times New Roman" w:eastAsia="宋体" w:cs="Times New Roman"/>
                <w:b w:val="0"/>
                <w:bCs w:val="0"/>
                <w:sz w:val="24"/>
                <w:szCs w:val="24"/>
                <w:lang w:val="en-US" w:eastAsia="zh-CN"/>
              </w:rPr>
              <w:t>最大尺寸为</w:t>
            </w:r>
            <w:r>
              <w:rPr>
                <w:rFonts w:hint="eastAsia"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000mm，均小于</w:t>
            </w:r>
            <w:r>
              <w:rPr>
                <w:rFonts w:hint="eastAsia" w:cs="Times New Roman"/>
                <w:b w:val="0"/>
                <w:bCs w:val="0"/>
                <w:sz w:val="24"/>
                <w:szCs w:val="24"/>
                <w:lang w:val="en-US" w:eastAsia="zh-CN"/>
              </w:rPr>
              <w:t>喷塑线</w:t>
            </w:r>
            <w:r>
              <w:rPr>
                <w:rFonts w:hint="eastAsia" w:ascii="Times New Roman" w:hAnsi="Times New Roman" w:eastAsia="宋体" w:cs="Times New Roman"/>
                <w:b w:val="0"/>
                <w:bCs w:val="0"/>
                <w:sz w:val="24"/>
                <w:szCs w:val="24"/>
                <w:lang w:val="en-US" w:eastAsia="zh-CN"/>
              </w:rPr>
              <w:t>尺寸（</w:t>
            </w:r>
            <w:r>
              <w:rPr>
                <w:rFonts w:hint="eastAsia" w:cs="Times New Roman"/>
                <w:b w:val="0"/>
                <w:bCs w:val="0"/>
                <w:sz w:val="24"/>
                <w:szCs w:val="24"/>
                <w:lang w:val="en-US" w:eastAsia="zh-CN"/>
              </w:rPr>
              <w:t>6</w:t>
            </w:r>
            <w:r>
              <w:rPr>
                <w:rFonts w:hint="eastAsia" w:ascii="Times New Roman" w:hAnsi="Times New Roman" w:eastAsia="宋体" w:cs="Times New Roman"/>
                <w:b w:val="0"/>
                <w:bCs w:val="0"/>
                <w:sz w:val="24"/>
                <w:szCs w:val="24"/>
                <w:lang w:val="en-US" w:eastAsia="zh-CN"/>
              </w:rPr>
              <w:t>000×</w:t>
            </w:r>
            <w:r>
              <w:rPr>
                <w:rFonts w:hint="eastAsia" w:cs="Times New Roman"/>
                <w:b w:val="0"/>
                <w:bCs w:val="0"/>
                <w:sz w:val="24"/>
                <w:szCs w:val="24"/>
                <w:lang w:val="en-US" w:eastAsia="zh-CN"/>
              </w:rPr>
              <w:t>2</w:t>
            </w:r>
            <w:r>
              <w:rPr>
                <w:rFonts w:hint="eastAsia" w:ascii="Times New Roman" w:hAnsi="Times New Roman" w:eastAsia="宋体" w:cs="Times New Roman"/>
                <w:b w:val="0"/>
                <w:bCs w:val="0"/>
                <w:sz w:val="24"/>
                <w:szCs w:val="24"/>
                <w:lang w:val="en-US" w:eastAsia="zh-CN"/>
              </w:rPr>
              <w:t>500×</w:t>
            </w:r>
            <w:r>
              <w:rPr>
                <w:rFonts w:hint="eastAsia" w:cs="Times New Roman"/>
                <w:b w:val="0"/>
                <w:bCs w:val="0"/>
                <w:sz w:val="24"/>
                <w:szCs w:val="24"/>
                <w:lang w:val="en-US" w:eastAsia="zh-CN"/>
              </w:rPr>
              <w:t>30</w:t>
            </w:r>
            <w:r>
              <w:rPr>
                <w:rFonts w:hint="eastAsia" w:ascii="Times New Roman" w:hAnsi="Times New Roman" w:eastAsia="宋体" w:cs="Times New Roman"/>
                <w:b w:val="0"/>
                <w:bCs w:val="0"/>
                <w:sz w:val="24"/>
                <w:szCs w:val="24"/>
                <w:lang w:val="en-US" w:eastAsia="zh-CN"/>
              </w:rPr>
              <w:t>00mm）、</w:t>
            </w:r>
            <w:r>
              <w:rPr>
                <w:rFonts w:hint="eastAsia" w:cs="Times New Roman"/>
                <w:b w:val="0"/>
                <w:bCs w:val="0"/>
                <w:sz w:val="24"/>
                <w:szCs w:val="24"/>
                <w:lang w:val="en-US" w:eastAsia="zh-CN"/>
              </w:rPr>
              <w:t>烘道</w:t>
            </w:r>
            <w:r>
              <w:rPr>
                <w:rFonts w:hint="eastAsia" w:ascii="Times New Roman" w:hAnsi="Times New Roman" w:eastAsia="宋体" w:cs="Times New Roman"/>
                <w:b w:val="0"/>
                <w:bCs w:val="0"/>
                <w:sz w:val="24"/>
                <w:szCs w:val="24"/>
                <w:lang w:val="en-US" w:eastAsia="zh-CN"/>
              </w:rPr>
              <w:t>尺寸（</w:t>
            </w:r>
            <w:r>
              <w:rPr>
                <w:rFonts w:hint="eastAsia" w:cs="Times New Roman"/>
                <w:b w:val="0"/>
                <w:bCs w:val="0"/>
                <w:sz w:val="24"/>
                <w:szCs w:val="24"/>
                <w:lang w:val="en-US" w:eastAsia="zh-CN"/>
              </w:rPr>
              <w:t>20</w:t>
            </w:r>
            <w:r>
              <w:rPr>
                <w:rFonts w:hint="eastAsia" w:ascii="Times New Roman" w:hAnsi="Times New Roman" w:eastAsia="宋体" w:cs="Times New Roman"/>
                <w:b w:val="0"/>
                <w:bCs w:val="0"/>
                <w:sz w:val="24"/>
                <w:szCs w:val="24"/>
                <w:lang w:val="en-US" w:eastAsia="zh-CN"/>
              </w:rPr>
              <w:t>000×</w:t>
            </w:r>
            <w:r>
              <w:rPr>
                <w:rFonts w:hint="eastAsia"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500×</w:t>
            </w:r>
            <w:r>
              <w:rPr>
                <w:rFonts w:hint="eastAsia" w:cs="Times New Roman"/>
                <w:b w:val="0"/>
                <w:bCs w:val="0"/>
                <w:sz w:val="24"/>
                <w:szCs w:val="24"/>
                <w:lang w:val="en-US" w:eastAsia="zh-CN"/>
              </w:rPr>
              <w:t>40</w:t>
            </w:r>
            <w:r>
              <w:rPr>
                <w:rFonts w:hint="eastAsia" w:ascii="Times New Roman" w:hAnsi="Times New Roman" w:eastAsia="宋体" w:cs="Times New Roman"/>
                <w:b w:val="0"/>
                <w:bCs w:val="0"/>
                <w:sz w:val="24"/>
                <w:szCs w:val="24"/>
                <w:lang w:val="en-US" w:eastAsia="zh-CN"/>
              </w:rPr>
              <w:t>00mm），因此</w:t>
            </w:r>
            <w:r>
              <w:rPr>
                <w:rFonts w:hint="eastAsia" w:cs="Times New Roman"/>
                <w:b w:val="0"/>
                <w:bCs w:val="0"/>
                <w:sz w:val="24"/>
                <w:szCs w:val="24"/>
                <w:lang w:val="en-US" w:eastAsia="zh-CN"/>
              </w:rPr>
              <w:t>喷塑线及烘道</w:t>
            </w:r>
            <w:r>
              <w:rPr>
                <w:rFonts w:hint="eastAsia" w:ascii="Times New Roman" w:hAnsi="Times New Roman" w:eastAsia="宋体" w:cs="Times New Roman"/>
                <w:b w:val="0"/>
                <w:bCs w:val="0"/>
                <w:sz w:val="24"/>
                <w:szCs w:val="24"/>
                <w:lang w:val="en-US" w:eastAsia="zh-CN"/>
              </w:rPr>
              <w:t>可容纳</w:t>
            </w:r>
            <w:r>
              <w:rPr>
                <w:rFonts w:hint="eastAsia" w:cs="Times New Roman"/>
                <w:b w:val="0"/>
                <w:bCs w:val="0"/>
                <w:sz w:val="24"/>
                <w:szCs w:val="24"/>
                <w:lang w:val="en-US" w:eastAsia="zh-CN"/>
              </w:rPr>
              <w:t>板件喷塑固化</w:t>
            </w:r>
            <w:r>
              <w:rPr>
                <w:rFonts w:hint="eastAsia" w:ascii="Times New Roman" w:hAnsi="Times New Roman" w:eastAsia="宋体" w:cs="Times New Roman"/>
                <w:b w:val="0"/>
                <w:bCs w:val="0"/>
                <w:sz w:val="24"/>
                <w:szCs w:val="24"/>
                <w:lang w:val="en-US" w:eastAsia="zh-CN"/>
              </w:rPr>
              <w:t>。</w:t>
            </w:r>
          </w:p>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5、主要原辅材料及燃料</w:t>
            </w: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主要原辅材料消耗情况见表2-</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w:t>
            </w:r>
          </w:p>
          <w:p>
            <w:pPr>
              <w:jc w:val="center"/>
              <w:rPr>
                <w:rFonts w:hint="default" w:ascii="Times New Roman" w:hAnsi="Times New Roman" w:cs="Times New Roman"/>
                <w:szCs w:val="21"/>
              </w:rPr>
            </w:pPr>
            <w:r>
              <w:rPr>
                <w:rFonts w:hint="default" w:ascii="Times New Roman" w:hAnsi="Times New Roman" w:cs="Times New Roman"/>
                <w:b/>
                <w:sz w:val="24"/>
              </w:rPr>
              <w:t>表2-</w:t>
            </w:r>
            <w:r>
              <w:rPr>
                <w:rFonts w:hint="default" w:ascii="Times New Roman" w:hAnsi="Times New Roman" w:cs="Times New Roman"/>
                <w:b/>
                <w:sz w:val="24"/>
                <w:lang w:val="en-US" w:eastAsia="zh-CN"/>
              </w:rPr>
              <w:t>6</w:t>
            </w:r>
            <w:r>
              <w:rPr>
                <w:rFonts w:hint="default" w:ascii="Times New Roman" w:hAnsi="Times New Roman" w:cs="Times New Roman"/>
                <w:b/>
                <w:sz w:val="24"/>
              </w:rPr>
              <w:t xml:space="preserve"> 本项目主要原辅材料消耗情况一览表  单位：吨/年</w:t>
            </w:r>
          </w:p>
          <w:tbl>
            <w:tblPr>
              <w:tblStyle w:val="26"/>
              <w:tblW w:w="76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9"/>
              <w:gridCol w:w="728"/>
              <w:gridCol w:w="685"/>
              <w:gridCol w:w="745"/>
              <w:gridCol w:w="1264"/>
              <w:gridCol w:w="976"/>
              <w:gridCol w:w="697"/>
              <w:gridCol w:w="861"/>
              <w:gridCol w:w="1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序号</w:t>
                  </w:r>
                </w:p>
              </w:tc>
              <w:tc>
                <w:tcPr>
                  <w:tcW w:w="476"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名称</w:t>
                  </w:r>
                </w:p>
              </w:tc>
              <w:tc>
                <w:tcPr>
                  <w:tcW w:w="448"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对应工序</w:t>
                  </w:r>
                </w:p>
              </w:tc>
              <w:tc>
                <w:tcPr>
                  <w:tcW w:w="487"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状态</w:t>
                  </w:r>
                </w:p>
              </w:tc>
              <w:tc>
                <w:tcPr>
                  <w:tcW w:w="826"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主要成分</w:t>
                  </w:r>
                </w:p>
              </w:tc>
              <w:tc>
                <w:tcPr>
                  <w:tcW w:w="638"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年耗量t/a</w:t>
                  </w:r>
                </w:p>
              </w:tc>
              <w:tc>
                <w:tcPr>
                  <w:tcW w:w="455"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最大储存量t/a</w:t>
                  </w:r>
                </w:p>
              </w:tc>
              <w:tc>
                <w:tcPr>
                  <w:tcW w:w="563"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存放位置</w:t>
                  </w:r>
                </w:p>
              </w:tc>
              <w:tc>
                <w:tcPr>
                  <w:tcW w:w="869" w:type="pct"/>
                  <w:tcBorders>
                    <w:tl2br w:val="nil"/>
                    <w:tr2bl w:val="nil"/>
                  </w:tcBorders>
                  <w:vAlign w:val="center"/>
                </w:tcPr>
                <w:p>
                  <w:pPr>
                    <w:pStyle w:val="56"/>
                    <w:ind w:firstLine="0" w:firstLineChars="0"/>
                    <w:rPr>
                      <w:rFonts w:hint="default" w:ascii="Times New Roman" w:hAnsi="Times New Roman" w:cs="Times New Roman"/>
                      <w:b/>
                      <w:bCs/>
                    </w:rPr>
                  </w:pPr>
                  <w:r>
                    <w:rPr>
                      <w:rFonts w:hint="default" w:ascii="Times New Roman" w:hAnsi="Times New Roman" w:cs="Times New Roman"/>
                      <w:b/>
                      <w:bCs/>
                    </w:rPr>
                    <w:t>包装规格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4"/>
                    <w:rPr>
                      <w:rFonts w:hint="default" w:ascii="Times New Roman" w:hAnsi="Times New Roman" w:cs="Times New Roman"/>
                    </w:rPr>
                  </w:pPr>
                  <w:r>
                    <w:rPr>
                      <w:rFonts w:hint="default" w:ascii="Times New Roman" w:hAnsi="Times New Roman" w:cs="Times New Roman"/>
                    </w:rPr>
                    <w:t>1</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可发性聚苯乙烯塑料粒子</w:t>
                  </w:r>
                </w:p>
              </w:tc>
              <w:tc>
                <w:tcPr>
                  <w:tcW w:w="44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发泡制模</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粒状</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聚苯乙烯94%、戊烷6%（发泡剂）</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500</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10</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25kg/袋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4"/>
                    <w:rPr>
                      <w:rFonts w:hint="default" w:ascii="Times New Roman" w:hAnsi="Times New Roman" w:cs="Times New Roman"/>
                    </w:rPr>
                  </w:pPr>
                  <w:r>
                    <w:rPr>
                      <w:rFonts w:hint="default" w:ascii="Times New Roman" w:hAnsi="Times New Roman" w:cs="Times New Roman"/>
                    </w:rPr>
                    <w:t>2</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eastAsia" w:ascii="Times New Roman" w:hAnsi="Times New Roman" w:eastAsia="宋体" w:cs="Times New Roman"/>
                      <w:kern w:val="2"/>
                      <w:lang w:val="en-US" w:eastAsia="zh-CN" w:bidi="ar-SA"/>
                    </w:rPr>
                    <w:t>原砂</w:t>
                  </w:r>
                </w:p>
              </w:tc>
              <w:tc>
                <w:tcPr>
                  <w:tcW w:w="448" w:type="pct"/>
                  <w:vMerge w:val="restar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冷芯制模</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粒状</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二氧化硅</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60</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6</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2t/袋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4"/>
                    <w:rPr>
                      <w:rFonts w:hint="eastAsia" w:ascii="Times New Roman" w:hAnsi="Times New Roman" w:eastAsia="宋体" w:cs="Times New Roman"/>
                      <w:lang w:val="en-US" w:eastAsia="zh-CN"/>
                    </w:rPr>
                  </w:pPr>
                  <w:r>
                    <w:rPr>
                      <w:rFonts w:hint="eastAsia" w:cs="Times New Roman"/>
                      <w:lang w:val="en-US" w:eastAsia="zh-CN"/>
                    </w:rPr>
                    <w:t>3</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酚醛树脂</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碱性酚醛树脂（含羟甲基）</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0.9</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0.9</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900kg/桶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4"/>
                    <w:rPr>
                      <w:rFonts w:hint="eastAsia" w:ascii="Times New Roman" w:hAnsi="Times New Roman" w:eastAsia="宋体" w:cs="Times New Roman"/>
                      <w:lang w:val="en-US" w:eastAsia="zh-CN"/>
                    </w:rPr>
                  </w:pPr>
                  <w:r>
                    <w:rPr>
                      <w:rFonts w:hint="eastAsia" w:cs="Times New Roman"/>
                      <w:lang w:val="en-US" w:eastAsia="zh-CN"/>
                    </w:rPr>
                    <w:t>4</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聚异氰酸酯</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聚亚甲基聚苯基异氰酸酯</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0.9</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0.9</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900kg/桶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4"/>
                    <w:rPr>
                      <w:rFonts w:hint="default" w:ascii="Times New Roman" w:hAnsi="Times New Roman" w:cs="Times New Roman"/>
                    </w:rPr>
                  </w:pPr>
                  <w:r>
                    <w:rPr>
                      <w:rFonts w:hint="eastAsia" w:cs="Times New Roman"/>
                      <w:lang w:val="en-US" w:eastAsia="zh-CN"/>
                    </w:rPr>
                    <w:t>5</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三乙胺</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三乙胺</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0.</w:t>
                  </w:r>
                  <w:r>
                    <w:rPr>
                      <w:rFonts w:hint="eastAsia" w:ascii="Times New Roman" w:hAnsi="Times New Roman" w:eastAsia="宋体" w:cs="Times New Roman"/>
                      <w:kern w:val="2"/>
                      <w:lang w:val="en-US" w:eastAsia="zh-CN" w:bidi="ar-SA"/>
                    </w:rPr>
                    <w:t>02</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eastAsia="zh-CN" w:bidi="ar-SA"/>
                    </w:rPr>
                    <w:t>0.</w:t>
                  </w:r>
                  <w:r>
                    <w:rPr>
                      <w:rFonts w:hint="eastAsia" w:ascii="Times New Roman" w:hAnsi="Times New Roman" w:eastAsia="宋体" w:cs="Times New Roman"/>
                      <w:kern w:val="2"/>
                      <w:lang w:val="en-US" w:eastAsia="zh-CN" w:bidi="ar-SA"/>
                    </w:rPr>
                    <w:t>02</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eastAsia" w:ascii="Times New Roman" w:hAnsi="Times New Roman" w:eastAsia="宋体" w:cs="Times New Roman"/>
                      <w:kern w:val="2"/>
                      <w:lang w:val="en-US" w:eastAsia="zh-CN" w:bidi="ar-SA"/>
                    </w:rPr>
                    <w:t>2</w:t>
                  </w:r>
                  <w:r>
                    <w:rPr>
                      <w:rFonts w:hint="default" w:ascii="Times New Roman" w:hAnsi="Times New Roman" w:eastAsia="宋体" w:cs="Times New Roman"/>
                      <w:kern w:val="2"/>
                      <w:lang w:eastAsia="zh-CN" w:bidi="ar-SA"/>
                    </w:rPr>
                    <w:t>0kg/桶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cs="Times New Roman"/>
                      <w:szCs w:val="21"/>
                    </w:rPr>
                  </w:pPr>
                  <w:r>
                    <w:rPr>
                      <w:rFonts w:hint="eastAsia" w:ascii="Times New Roman" w:hAnsi="Times New Roman" w:cs="Times New Roman"/>
                      <w:szCs w:val="21"/>
                      <w:lang w:val="en-US" w:eastAsia="zh-CN"/>
                    </w:rPr>
                    <w:t>6</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消失模铸件</w:t>
                  </w:r>
                </w:p>
              </w:tc>
              <w:tc>
                <w:tcPr>
                  <w:tcW w:w="448" w:type="pct"/>
                  <w:vMerge w:val="restar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粗、精加工</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铸铁件</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2000</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200</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cs="Times New Roman"/>
                      <w:szCs w:val="21"/>
                    </w:rPr>
                  </w:pPr>
                  <w:r>
                    <w:rPr>
                      <w:rFonts w:hint="eastAsia" w:ascii="Times New Roman" w:hAnsi="Times New Roman" w:cs="Times New Roman"/>
                      <w:szCs w:val="21"/>
                      <w:lang w:val="en-US" w:eastAsia="zh-CN"/>
                    </w:rPr>
                    <w:t>7</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eastAsia" w:ascii="Times New Roman" w:hAnsi="Times New Roman" w:eastAsia="宋体" w:cs="Times New Roman"/>
                      <w:kern w:val="2"/>
                      <w:lang w:val="en-US" w:eastAsia="zh-CN" w:bidi="ar-SA"/>
                    </w:rPr>
                    <w:t>树脂</w:t>
                  </w:r>
                  <w:r>
                    <w:rPr>
                      <w:rFonts w:hint="default" w:ascii="Times New Roman" w:hAnsi="Times New Roman" w:eastAsia="宋体" w:cs="Times New Roman"/>
                      <w:kern w:val="2"/>
                      <w:lang w:eastAsia="zh-CN" w:bidi="ar-SA"/>
                    </w:rPr>
                    <w:t>砂铸件</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铸铁件</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200</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eastAsia" w:ascii="Times New Roman" w:hAnsi="Times New Roman" w:eastAsia="宋体" w:cs="Times New Roman"/>
                      <w:kern w:val="2"/>
                      <w:lang w:val="en-US" w:eastAsia="zh-CN" w:bidi="ar-SA"/>
                    </w:rPr>
                    <w:t>50</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cs="Times New Roman"/>
                      <w:szCs w:val="21"/>
                    </w:rPr>
                  </w:pPr>
                  <w:r>
                    <w:rPr>
                      <w:rFonts w:hint="eastAsia" w:ascii="Times New Roman" w:hAnsi="Times New Roman" w:cs="Times New Roman"/>
                      <w:szCs w:val="21"/>
                      <w:lang w:val="en-US" w:eastAsia="zh-CN"/>
                    </w:rPr>
                    <w:t>8</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精磨液</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矿物油</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2</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0.2</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200kg/桶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cs="Times New Roman"/>
                      <w:szCs w:val="21"/>
                    </w:rPr>
                  </w:pPr>
                  <w:r>
                    <w:rPr>
                      <w:rFonts w:hint="eastAsia" w:ascii="Times New Roman" w:hAnsi="Times New Roman" w:cs="Times New Roman"/>
                      <w:szCs w:val="21"/>
                      <w:lang w:val="en-US" w:eastAsia="zh-CN"/>
                    </w:rPr>
                    <w:t>9</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油漆</w:t>
                  </w:r>
                </w:p>
              </w:tc>
              <w:tc>
                <w:tcPr>
                  <w:tcW w:w="448" w:type="pct"/>
                  <w:vMerge w:val="restar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喷漆</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聚氨酯树脂40%、二甲苯7%、颜料53%</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5.876</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0.3</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15kg/桶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cs="Times New Roman"/>
                      <w:szCs w:val="21"/>
                    </w:rPr>
                  </w:pPr>
                  <w:r>
                    <w:rPr>
                      <w:rFonts w:hint="eastAsia" w:ascii="Times New Roman" w:hAnsi="Times New Roman" w:cs="Times New Roman"/>
                      <w:szCs w:val="21"/>
                      <w:lang w:val="en-US" w:eastAsia="zh-CN"/>
                    </w:rPr>
                    <w:t>10</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稀释剂</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二甲苯24%、100#溶剂油（三甲苯）76%</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0.3296</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0.03</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15kg/桶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11</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腻子</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膏</w:t>
                  </w:r>
                  <w:r>
                    <w:rPr>
                      <w:rFonts w:hint="default" w:ascii="Times New Roman" w:hAnsi="Times New Roman" w:eastAsia="宋体" w:cs="Times New Roman"/>
                      <w:kern w:val="2"/>
                      <w:lang w:eastAsia="zh-CN" w:bidi="ar-SA"/>
                    </w:rPr>
                    <w:t>状</w:t>
                  </w:r>
                </w:p>
              </w:tc>
              <w:tc>
                <w:tcPr>
                  <w:tcW w:w="826" w:type="pct"/>
                  <w:tcBorders>
                    <w:tl2br w:val="nil"/>
                    <w:tr2bl w:val="nil"/>
                  </w:tcBorders>
                  <w:vAlign w:val="center"/>
                </w:tcPr>
                <w:p>
                  <w:pPr>
                    <w:pStyle w:val="66"/>
                    <w:keepNext w:val="0"/>
                    <w:keepLines w:val="0"/>
                    <w:pageBreakBefore w:val="0"/>
                    <w:widowControl w:val="0"/>
                    <w:kinsoku/>
                    <w:wordWrap/>
                    <w:topLinePunct w:val="0"/>
                    <w:bidi w:val="0"/>
                    <w:spacing w:line="240" w:lineRule="auto"/>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不饱和聚酯树脂15.5%、滑石粉79.5%、钛白粉0.7%、助剂3.2%、苯乙烯1.1%</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5</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1.5</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25</w:t>
                  </w:r>
                  <w:r>
                    <w:rPr>
                      <w:rFonts w:hint="default" w:ascii="Times New Roman" w:hAnsi="Times New Roman" w:eastAsia="宋体" w:cs="Times New Roman"/>
                      <w:kern w:val="2"/>
                      <w:lang w:eastAsia="zh-CN" w:bidi="ar-SA"/>
                    </w:rPr>
                    <w:t>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砂纸</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6000张</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600张</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100张/包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3</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板材</w:t>
                  </w:r>
                </w:p>
              </w:tc>
              <w:tc>
                <w:tcPr>
                  <w:tcW w:w="44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下料、折弯</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冷轧板、镀锌板、铝合金板等</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1000</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100</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4</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无铅焊丝</w:t>
                  </w:r>
                </w:p>
              </w:tc>
              <w:tc>
                <w:tcPr>
                  <w:tcW w:w="44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焊接</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default" w:ascii="Times New Roman" w:hAnsi="Times New Roman" w:eastAsia="宋体" w:cs="Times New Roman"/>
                      <w:kern w:val="2"/>
                      <w:lang w:val="en-US" w:eastAsia="zh-CN" w:bidi="ar-SA"/>
                    </w:rPr>
                    <w:t>氧化钛15%、硅酸矿物8%、硅酸和其他粘结剂＜1%、锰合金及锰化合物＜1%、纤维素和碳水化合物＜2%、碳酸钙2%、镁化物1%、铁0.5%、硅合金＜0.5%、碳钢铁芯70%</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0.5</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0.05</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10kg/卷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5</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钢丸</w:t>
                  </w:r>
                </w:p>
              </w:tc>
              <w:tc>
                <w:tcPr>
                  <w:tcW w:w="44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auto"/>
                      <w:kern w:val="2"/>
                      <w:lang w:val="en-US" w:eastAsia="zh-CN" w:bidi="ar-SA"/>
                    </w:rPr>
                    <w:t>表面清理</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钢</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100</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10t/包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6</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塑粉</w:t>
                  </w:r>
                </w:p>
              </w:tc>
              <w:tc>
                <w:tcPr>
                  <w:tcW w:w="448" w:type="pct"/>
                  <w:vMerge w:val="restar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喷塑</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粉状</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环氧树脂35%、甲基丙烯酸二缩乙二醇酯35%、硫酸钡20%、TiO</w:t>
                  </w:r>
                  <w:r>
                    <w:rPr>
                      <w:rFonts w:hint="eastAsia" w:ascii="Times New Roman" w:hAnsi="Times New Roman" w:eastAsia="宋体" w:cs="Times New Roman"/>
                      <w:kern w:val="2"/>
                      <w:vertAlign w:val="subscript"/>
                      <w:lang w:val="en-US" w:eastAsia="zh-CN" w:bidi="ar-SA"/>
                    </w:rPr>
                    <w:t>2</w:t>
                  </w:r>
                  <w:r>
                    <w:rPr>
                      <w:rFonts w:hint="eastAsia" w:ascii="Times New Roman" w:hAnsi="Times New Roman" w:eastAsia="宋体" w:cs="Times New Roman"/>
                      <w:kern w:val="2"/>
                      <w:lang w:val="en-US" w:eastAsia="zh-CN" w:bidi="ar-SA"/>
                    </w:rPr>
                    <w:t>9%、聚甲基丙烯酸异丁酯0.5%、聚甲基丙烯酸甲酯0.5%</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1.3692</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0.8</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20kg/箱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7</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挂具</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固态</w:t>
                  </w:r>
                </w:p>
              </w:tc>
              <w:tc>
                <w:tcPr>
                  <w:tcW w:w="826" w:type="pct"/>
                  <w:tcBorders>
                    <w:tl2br w:val="nil"/>
                    <w:tr2bl w:val="nil"/>
                  </w:tcBorders>
                  <w:vAlign w:val="center"/>
                </w:tcPr>
                <w:p>
                  <w:pPr>
                    <w:pStyle w:val="66"/>
                    <w:widowControl w:val="0"/>
                    <w:spacing w:line="320" w:lineRule="exact"/>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碳钢</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1</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1</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8</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丝杠</w:t>
                  </w:r>
                </w:p>
              </w:tc>
              <w:tc>
                <w:tcPr>
                  <w:tcW w:w="448" w:type="pct"/>
                  <w:vMerge w:val="restar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组装</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5000套</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400套</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5套/箱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w:t>
                  </w:r>
                  <w:r>
                    <w:rPr>
                      <w:rFonts w:hint="eastAsia" w:ascii="Times New Roman" w:hAnsi="Times New Roman" w:cs="Times New Roman"/>
                      <w:szCs w:val="21"/>
                      <w:lang w:val="en-US" w:eastAsia="zh-CN"/>
                    </w:rPr>
                    <w:t>9</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导轨</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5000套</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400套</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5套/箱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20</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螺丝、螺母</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固态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5000套</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400套</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5套/箱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21</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导轨油</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矿物油</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4</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0.2</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200kg/桶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vAlign w:val="center"/>
                </w:tcPr>
                <w:p>
                  <w:pPr>
                    <w:pStyle w:val="13"/>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22</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防锈油</w:t>
                  </w:r>
                </w:p>
              </w:tc>
              <w:tc>
                <w:tcPr>
                  <w:tcW w:w="448" w:type="pct"/>
                  <w:vMerge w:val="continue"/>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液态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矿物油</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0.2</w:t>
                  </w:r>
                </w:p>
              </w:tc>
              <w:tc>
                <w:tcPr>
                  <w:tcW w:w="563"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原料仓库</w:t>
                  </w:r>
                </w:p>
              </w:tc>
              <w:tc>
                <w:tcPr>
                  <w:tcW w:w="869"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200kg/桶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23</w:t>
                  </w:r>
                </w:p>
              </w:tc>
              <w:tc>
                <w:tcPr>
                  <w:tcW w:w="47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天然气</w:t>
                  </w:r>
                </w:p>
              </w:tc>
              <w:tc>
                <w:tcPr>
                  <w:tcW w:w="44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锅炉</w:t>
                  </w:r>
                </w:p>
              </w:tc>
              <w:tc>
                <w:tcPr>
                  <w:tcW w:w="487"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气态</w:t>
                  </w:r>
                </w:p>
              </w:tc>
              <w:tc>
                <w:tcPr>
                  <w:tcW w:w="826"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甲烷</w:t>
                  </w:r>
                </w:p>
              </w:tc>
              <w:tc>
                <w:tcPr>
                  <w:tcW w:w="638"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val="en-US" w:eastAsia="zh-CN" w:bidi="ar-SA"/>
                    </w:rPr>
                    <w:t>8</w:t>
                  </w:r>
                  <w:r>
                    <w:rPr>
                      <w:rFonts w:hint="default" w:ascii="Times New Roman" w:hAnsi="Times New Roman" w:eastAsia="宋体" w:cs="Times New Roman"/>
                      <w:kern w:val="2"/>
                      <w:lang w:eastAsia="zh-CN" w:bidi="ar-SA"/>
                    </w:rPr>
                    <w:t>0000m</w:t>
                  </w:r>
                  <w:r>
                    <w:rPr>
                      <w:rFonts w:hint="default" w:ascii="Times New Roman" w:hAnsi="Times New Roman" w:eastAsia="宋体" w:cs="Times New Roman"/>
                      <w:kern w:val="2"/>
                      <w:vertAlign w:val="superscript"/>
                      <w:lang w:eastAsia="zh-CN" w:bidi="ar-SA"/>
                    </w:rPr>
                    <w:t>3</w:t>
                  </w:r>
                  <w:r>
                    <w:rPr>
                      <w:rFonts w:hint="default" w:ascii="Times New Roman" w:hAnsi="Times New Roman" w:eastAsia="宋体" w:cs="Times New Roman"/>
                      <w:kern w:val="2"/>
                      <w:lang w:eastAsia="zh-CN" w:bidi="ar-SA"/>
                    </w:rPr>
                    <w:t>/a</w:t>
                  </w:r>
                </w:p>
              </w:tc>
              <w:tc>
                <w:tcPr>
                  <w:tcW w:w="455" w:type="pct"/>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w:t>
                  </w:r>
                </w:p>
              </w:tc>
              <w:tc>
                <w:tcPr>
                  <w:tcW w:w="1432" w:type="pct"/>
                  <w:gridSpan w:val="2"/>
                  <w:tcBorders>
                    <w:tl2br w:val="nil"/>
                    <w:tr2bl w:val="nil"/>
                  </w:tcBorders>
                  <w:vAlign w:val="center"/>
                </w:tcPr>
                <w:p>
                  <w:pPr>
                    <w:pStyle w:val="66"/>
                    <w:widowControl w:val="0"/>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kern w:val="2"/>
                      <w:lang w:eastAsia="zh-CN" w:bidi="ar-SA"/>
                    </w:rPr>
                    <w:t>管道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l2br w:val="nil"/>
                    <w:tr2bl w:val="nil"/>
                  </w:tcBorders>
                  <w:vAlign w:val="center"/>
                </w:tcPr>
                <w:p>
                  <w:pPr>
                    <w:pStyle w:val="66"/>
                    <w:widowControl w:val="0"/>
                    <w:spacing w:line="320" w:lineRule="exact"/>
                    <w:jc w:val="both"/>
                    <w:rPr>
                      <w:rFonts w:hint="default"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注：购买的腻子为调配好成品，密封桶装，不在厂内进行调配。</w:t>
                  </w:r>
                </w:p>
              </w:tc>
            </w:tr>
          </w:tbl>
          <w:p>
            <w:pPr>
              <w:pStyle w:val="11"/>
              <w:spacing w:before="0" w:after="0" w:line="360" w:lineRule="auto"/>
              <w:ind w:right="0" w:firstLine="480" w:firstLineChars="200"/>
              <w:rPr>
                <w:rFonts w:hint="default" w:ascii="Times New Roman" w:hAnsi="Times New Roman" w:cs="Times New Roman"/>
                <w:sz w:val="24"/>
                <w:szCs w:val="24"/>
              </w:rPr>
            </w:pPr>
          </w:p>
          <w:p>
            <w:pPr>
              <w:pStyle w:val="11"/>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本项目主要原辅料的理化性质见表2-</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w:t>
            </w:r>
          </w:p>
          <w:p>
            <w:pPr>
              <w:jc w:val="center"/>
              <w:rPr>
                <w:rFonts w:hint="default" w:ascii="Times New Roman" w:hAnsi="Times New Roman" w:cs="Times New Roman"/>
                <w:b/>
              </w:rPr>
            </w:pPr>
            <w:r>
              <w:rPr>
                <w:rFonts w:hint="default" w:ascii="Times New Roman" w:hAnsi="Times New Roman" w:cs="Times New Roman"/>
                <w:b/>
                <w:sz w:val="24"/>
              </w:rPr>
              <w:t>表2-</w:t>
            </w:r>
            <w:r>
              <w:rPr>
                <w:rFonts w:hint="default" w:ascii="Times New Roman" w:hAnsi="Times New Roman" w:cs="Times New Roman"/>
                <w:b/>
                <w:sz w:val="24"/>
                <w:lang w:val="en-US" w:eastAsia="zh-CN"/>
              </w:rPr>
              <w:t>7</w:t>
            </w:r>
            <w:r>
              <w:rPr>
                <w:rFonts w:hint="default" w:ascii="Times New Roman" w:hAnsi="Times New Roman" w:cs="Times New Roman"/>
                <w:b/>
                <w:sz w:val="24"/>
              </w:rPr>
              <w:t xml:space="preserve"> 原辅料理化性质一览表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462"/>
              <w:gridCol w:w="2170"/>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Style w:val="56"/>
                    <w:pageBreakBefore w:val="0"/>
                    <w:tabs>
                      <w:tab w:val="left" w:pos="315"/>
                      <w:tab w:val="left" w:pos="360"/>
                    </w:tabs>
                    <w:kinsoku/>
                    <w:overflowPunct/>
                    <w:autoSpaceDE/>
                    <w:autoSpaceDN/>
                    <w:bidi w:val="0"/>
                    <w:spacing w:line="240" w:lineRule="auto"/>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10" w:type="pct"/>
                  <w:tcBorders>
                    <w:tl2br w:val="nil"/>
                    <w:tr2bl w:val="nil"/>
                  </w:tcBorders>
                  <w:vAlign w:val="center"/>
                </w:tcPr>
                <w:p>
                  <w:pPr>
                    <w:pStyle w:val="56"/>
                    <w:pageBreakBefore w:val="0"/>
                    <w:tabs>
                      <w:tab w:val="left" w:pos="315"/>
                      <w:tab w:val="left" w:pos="360"/>
                    </w:tabs>
                    <w:kinsoku/>
                    <w:overflowPunct/>
                    <w:autoSpaceDE/>
                    <w:autoSpaceDN/>
                    <w:bidi w:val="0"/>
                    <w:spacing w:line="240" w:lineRule="auto"/>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理化特性</w:t>
                  </w:r>
                </w:p>
              </w:tc>
              <w:tc>
                <w:tcPr>
                  <w:tcW w:w="1419" w:type="pct"/>
                  <w:tcBorders>
                    <w:tl2br w:val="nil"/>
                    <w:tr2bl w:val="nil"/>
                  </w:tcBorders>
                  <w:vAlign w:val="center"/>
                </w:tcPr>
                <w:p>
                  <w:pPr>
                    <w:pStyle w:val="56"/>
                    <w:pageBreakBefore w:val="0"/>
                    <w:tabs>
                      <w:tab w:val="left" w:pos="315"/>
                      <w:tab w:val="left" w:pos="360"/>
                    </w:tabs>
                    <w:kinsoku/>
                    <w:overflowPunct/>
                    <w:autoSpaceDE/>
                    <w:autoSpaceDN/>
                    <w:bidi w:val="0"/>
                    <w:spacing w:line="240" w:lineRule="auto"/>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燃烧爆炸性</w:t>
                  </w:r>
                </w:p>
              </w:tc>
              <w:tc>
                <w:tcPr>
                  <w:tcW w:w="1512" w:type="pct"/>
                  <w:tcBorders>
                    <w:tl2br w:val="nil"/>
                    <w:tr2bl w:val="nil"/>
                  </w:tcBorders>
                  <w:vAlign w:val="center"/>
                </w:tcPr>
                <w:p>
                  <w:pPr>
                    <w:pStyle w:val="56"/>
                    <w:pageBreakBefore w:val="0"/>
                    <w:tabs>
                      <w:tab w:val="left" w:pos="315"/>
                      <w:tab w:val="left" w:pos="360"/>
                    </w:tabs>
                    <w:kinsoku/>
                    <w:overflowPunct/>
                    <w:autoSpaceDE/>
                    <w:autoSpaceDN/>
                    <w:bidi w:val="0"/>
                    <w:spacing w:line="240" w:lineRule="auto"/>
                    <w:ind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毒性毒理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kinsoku/>
                    <w:overflowPunct/>
                    <w:autoSpaceDE/>
                    <w:autoSpaceDN/>
                    <w:bidi w:val="0"/>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聚苯乙烯</w:t>
                  </w:r>
                </w:p>
              </w:tc>
              <w:tc>
                <w:tcPr>
                  <w:tcW w:w="1610" w:type="pct"/>
                  <w:tcBorders>
                    <w:tl2br w:val="nil"/>
                    <w:tr2bl w:val="nil"/>
                  </w:tcBorders>
                  <w:vAlign w:val="center"/>
                </w:tcPr>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无色透明的</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"https://baike.baidu.com/item/%E7%83%AD%E5%A1%91%E6%80%A7%E5%A1%91%E6%96%99/1656083" \t "https://baike.baidu.com/item/%E8%81%9A%E8%8B%AF%E4%B9%99%E7%83%AF/_blank"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热塑性塑料</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，密度1.04~1.09，透明度88%～92%， 折射率1.59~1.60。熔融温度150~180℃。降解温度280℃。通常的聚苯乙烯为非晶态无规聚合物，具有优良的绝热、绝缘和透明性，但脆，低温易开裂。</w:t>
                  </w:r>
                </w:p>
              </w:tc>
              <w:tc>
                <w:tcPr>
                  <w:tcW w:w="1419" w:type="pct"/>
                  <w:tcBorders>
                    <w:tl2br w:val="nil"/>
                    <w:tr2bl w:val="nil"/>
                  </w:tcBorders>
                  <w:vAlign w:val="center"/>
                </w:tcPr>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易燃</w:t>
                  </w:r>
                </w:p>
              </w:tc>
              <w:tc>
                <w:tcPr>
                  <w:tcW w:w="1512" w:type="pct"/>
                  <w:tcBorders>
                    <w:tl2br w:val="nil"/>
                    <w:tr2bl w:val="nil"/>
                  </w:tcBorders>
                  <w:vAlign w:val="center"/>
                </w:tcPr>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kinsoku/>
                    <w:overflowPunct/>
                    <w:autoSpaceDE/>
                    <w:autoSpaceDN/>
                    <w:bidi w:val="0"/>
                    <w:adjustRightInd w:val="0"/>
                    <w:snapToGrid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bCs/>
                      <w:sz w:val="21"/>
                      <w:szCs w:val="21"/>
                    </w:rPr>
                    <w:t>苯乙烯</w:t>
                  </w:r>
                </w:p>
              </w:tc>
              <w:tc>
                <w:tcPr>
                  <w:tcW w:w="1610" w:type="pct"/>
                  <w:tcBorders>
                    <w:tl2br w:val="nil"/>
                    <w:tr2bl w:val="nil"/>
                  </w:tcBorders>
                  <w:vAlign w:val="center"/>
                </w:tcPr>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无色透明油状液体，熔点-30.6℃，沸点146℃，相对密度（水=1）0.99（25℃），闪点31℃，</w:t>
                  </w:r>
                  <w:r>
                    <w:rPr>
                      <w:rFonts w:hint="eastAsia" w:ascii="Times New Roman" w:hAnsi="Times New Roman" w:cs="Times New Roman"/>
                      <w:sz w:val="21"/>
                      <w:szCs w:val="21"/>
                      <w:lang w:eastAsia="zh-CN"/>
                    </w:rPr>
                    <w:t>饱和蒸气</w:t>
                  </w:r>
                  <w:r>
                    <w:rPr>
                      <w:rFonts w:hint="default" w:ascii="Times New Roman" w:hAnsi="Times New Roman" w:eastAsia="宋体" w:cs="Times New Roman"/>
                      <w:sz w:val="21"/>
                      <w:szCs w:val="21"/>
                    </w:rPr>
                    <w:t>压0.7kPa（20℃），不溶于水，溶于醇、醚等多数有机溶剂。</w:t>
                  </w:r>
                </w:p>
              </w:tc>
              <w:tc>
                <w:tcPr>
                  <w:tcW w:w="1419" w:type="pct"/>
                  <w:tcBorders>
                    <w:tl2br w:val="nil"/>
                    <w:tr2bl w:val="nil"/>
                  </w:tcBorders>
                  <w:vAlign w:val="center"/>
                </w:tcPr>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易燃</w:t>
                  </w:r>
                </w:p>
              </w:tc>
              <w:tc>
                <w:tcPr>
                  <w:tcW w:w="1512" w:type="pct"/>
                  <w:tcBorders>
                    <w:tl2br w:val="nil"/>
                    <w:tr2bl w:val="nil"/>
                  </w:tcBorders>
                  <w:vAlign w:val="center"/>
                </w:tcPr>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吸入中毒，主要表现对呼吸道、眼和鼻黏膜的刺激作用，乏力和运动失调、昏迷和死亡。有报道，用10500mg/m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本品一次性染毒大鼠21h，可见轻微肝细胞损伤，且主要损伤肝实质细胞。解剖可见肺充血和水肿等改变。</w:t>
                  </w:r>
                </w:p>
                <w:p>
                  <w:pPr>
                    <w:pStyle w:val="13"/>
                    <w:pageBreakBefore w:val="0"/>
                    <w:kinsoku/>
                    <w:wordWrap w:val="0"/>
                    <w:overflowPunct/>
                    <w:topLinePunct/>
                    <w:autoSpaceDE/>
                    <w:autoSpaceDN/>
                    <w:bidi w:val="0"/>
                    <w:snapToGrid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LD</w:t>
                  </w:r>
                  <w:r>
                    <w:rPr>
                      <w:rFonts w:hint="default" w:ascii="Times New Roman" w:hAnsi="Times New Roman" w:eastAsia="宋体" w:cs="Times New Roman"/>
                      <w:sz w:val="21"/>
                      <w:szCs w:val="21"/>
                      <w:vertAlign w:val="subscript"/>
                    </w:rPr>
                    <w:t>50</w:t>
                  </w:r>
                  <w:r>
                    <w:rPr>
                      <w:rFonts w:hint="default" w:ascii="Times New Roman" w:hAnsi="Times New Roman" w:eastAsia="宋体" w:cs="Times New Roman"/>
                      <w:sz w:val="21"/>
                      <w:szCs w:val="21"/>
                    </w:rPr>
                    <w:t>：5000mg/kg（大鼠经口）；LC</w:t>
                  </w:r>
                  <w:r>
                    <w:rPr>
                      <w:rFonts w:hint="default" w:ascii="Times New Roman" w:hAnsi="Times New Roman" w:eastAsia="宋体" w:cs="Times New Roman"/>
                      <w:sz w:val="21"/>
                      <w:szCs w:val="21"/>
                      <w:vertAlign w:val="subscript"/>
                    </w:rPr>
                    <w:t>50</w:t>
                  </w:r>
                  <w:r>
                    <w:rPr>
                      <w:rFonts w:hint="default" w:ascii="Times New Roman" w:hAnsi="Times New Roman" w:eastAsia="宋体" w:cs="Times New Roman"/>
                      <w:sz w:val="21"/>
                      <w:szCs w:val="21"/>
                    </w:rPr>
                    <w:t>：24000mg/m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戊烷</w:t>
                  </w:r>
                </w:p>
              </w:tc>
              <w:tc>
                <w:tcPr>
                  <w:tcW w:w="1610"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无色液体，有微弱的薄荷香味，熔点：-129.8℃，相对密度（水=1）：0.63，沸点：36.1℃，分子量：72.15，闪点:-40℃，微溶于水，溶于乙醇、乙醚、丙酮、苯、氯仿等多数有机溶剂。</w:t>
                  </w:r>
                </w:p>
              </w:tc>
              <w:tc>
                <w:tcPr>
                  <w:tcW w:w="1419" w:type="pct"/>
                  <w:tcBorders>
                    <w:tl2br w:val="nil"/>
                    <w:tr2bl w:val="nil"/>
                  </w:tcBorders>
                  <w:vAlign w:val="center"/>
                </w:tcPr>
                <w:p>
                  <w:pPr>
                    <w:pStyle w:val="4"/>
                    <w:pageBreakBefore w:val="0"/>
                    <w:kinsoku/>
                    <w:overflowPunct/>
                    <w:autoSpaceDE/>
                    <w:autoSpaceDN/>
                    <w:bidi w:val="0"/>
                    <w:spacing w:before="0" w:after="0"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b w:val="0"/>
                      <w:bCs w:val="0"/>
                      <w:sz w:val="21"/>
                      <w:szCs w:val="21"/>
                    </w:rPr>
                    <w:t>易燃</w:t>
                  </w:r>
                </w:p>
              </w:tc>
              <w:tc>
                <w:tcPr>
                  <w:tcW w:w="1512" w:type="pct"/>
                  <w:tcBorders>
                    <w:tl2br w:val="nil"/>
                    <w:tr2bl w:val="nil"/>
                  </w:tcBorders>
                  <w:vAlign w:val="center"/>
                </w:tcPr>
                <w:p>
                  <w:pPr>
                    <w:pageBreakBefore w:val="0"/>
                    <w:tabs>
                      <w:tab w:val="left" w:pos="442"/>
                      <w:tab w:val="right" w:leader="dot" w:pos="8296"/>
                    </w:tabs>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LD</w:t>
                  </w:r>
                  <w:r>
                    <w:rPr>
                      <w:rFonts w:hint="default" w:ascii="Times New Roman" w:hAnsi="Times New Roman" w:eastAsia="宋体" w:cs="Times New Roman"/>
                      <w:sz w:val="21"/>
                      <w:szCs w:val="21"/>
                      <w:vertAlign w:val="subscript"/>
                    </w:rPr>
                    <w:t>50</w:t>
                  </w:r>
                  <w:r>
                    <w:rPr>
                      <w:rFonts w:hint="default" w:ascii="Times New Roman" w:hAnsi="Times New Roman" w:eastAsia="宋体" w:cs="Times New Roman"/>
                      <w:sz w:val="21"/>
                      <w:szCs w:val="21"/>
                    </w:rPr>
                    <w:t>：446mg/kg（小鼠静脉）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酚醛树脂</w:t>
                  </w:r>
                </w:p>
              </w:tc>
              <w:tc>
                <w:tcPr>
                  <w:tcW w:w="1610"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有液体或固体之分。固体可为黄色至棕色块状、颗粒或粉末。稳定性：稳定溶解性：易溶于酒精。其他：具有优异的耐热、阻燃和隔热隔音性能</w:t>
                  </w:r>
                </w:p>
              </w:tc>
              <w:tc>
                <w:tcPr>
                  <w:tcW w:w="1419"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引燃温度：约420℃（粉云）爆炸下限：20%（体积分数，粉尘）燃烧特性：难燃（B1级），遇火会炭化但不易蔓延，燃烧可能产生有毒烟雾</w:t>
                  </w:r>
                </w:p>
              </w:tc>
              <w:tc>
                <w:tcPr>
                  <w:tcW w:w="1512"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一般毒性：完全固化的酚醛树脂制品通常被认为毒性很低。潜在危害：其危害主要来自残留的单体（如甲醛、苯酚） 以及加工过程中的粉尘和燃烧时产生的有毒气体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聚异氰酸酯</w:t>
                  </w:r>
                </w:p>
              </w:tc>
              <w:tc>
                <w:tcPr>
                  <w:tcW w:w="1610"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深褐色液体，有刺激性气味，密度1.23-1.25g/cm</w:t>
                  </w:r>
                  <w:r>
                    <w:rPr>
                      <w:rFonts w:hint="eastAsia" w:cs="Times New Roman"/>
                      <w:kern w:val="0"/>
                      <w:sz w:val="21"/>
                      <w:szCs w:val="21"/>
                      <w:vertAlign w:val="superscript"/>
                      <w:lang w:val="en-US" w:eastAsia="zh-CN" w:bidi="ar"/>
                    </w:rPr>
                    <w:t>3</w:t>
                  </w:r>
                  <w:r>
                    <w:rPr>
                      <w:rFonts w:hint="default" w:ascii="Times New Roman" w:hAnsi="Times New Roman" w:eastAsia="宋体" w:cs="Times New Roman"/>
                      <w:kern w:val="0"/>
                      <w:sz w:val="21"/>
                      <w:szCs w:val="21"/>
                      <w:lang w:bidi="ar"/>
                    </w:rPr>
                    <w:t>（25℃），粘度100-300mPa·s（25℃），NCO含量30-32%，平均官能度2.7-3.0，不溶于水（与水反应产生CO₂），可溶于丙酮、甲苯、氯代烃等有机溶剂，常温下稳定，遇强碱、强酸、醇类、胺类发生反应，蒸气压&lt;0.01mmHg（25℃）</w:t>
                  </w:r>
                </w:p>
              </w:tc>
              <w:tc>
                <w:tcPr>
                  <w:tcW w:w="1419" w:type="pct"/>
                  <w:tcBorders>
                    <w:tl2br w:val="nil"/>
                    <w:tr2bl w:val="nil"/>
                  </w:tcBorders>
                  <w:vAlign w:val="center"/>
                </w:tcPr>
                <w:p>
                  <w:pPr>
                    <w:pageBreakBefore w:val="0"/>
                    <w:widowControl/>
                    <w:kinsoku/>
                    <w:overflowPunct/>
                    <w:autoSpaceDE/>
                    <w:autoSpaceDN/>
                    <w:bidi w:val="0"/>
                    <w:spacing w:line="240" w:lineRule="auto"/>
                    <w:jc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可燃</w:t>
                  </w:r>
                </w:p>
              </w:tc>
              <w:tc>
                <w:tcPr>
                  <w:tcW w:w="1512"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对皮肤、眼睛和呼吸道有强烈刺激性，致敏性，LD</w:t>
                  </w:r>
                  <w:r>
                    <w:rPr>
                      <w:rFonts w:hint="default" w:ascii="Times New Roman" w:hAnsi="Times New Roman" w:eastAsia="宋体" w:cs="Times New Roman"/>
                      <w:kern w:val="0"/>
                      <w:sz w:val="21"/>
                      <w:szCs w:val="21"/>
                      <w:vertAlign w:val="subscript"/>
                      <w:lang w:bidi="ar"/>
                    </w:rPr>
                    <w:t>50</w:t>
                  </w:r>
                  <w:r>
                    <w:rPr>
                      <w:rFonts w:hint="default" w:ascii="Times New Roman" w:hAnsi="Times New Roman" w:eastAsia="宋体" w:cs="Times New Roman"/>
                      <w:kern w:val="0"/>
                      <w:sz w:val="21"/>
                      <w:szCs w:val="21"/>
                      <w:lang w:bidi="ar"/>
                    </w:rPr>
                    <w:t>：&gt;10000mg/kg（大鼠，经口）；LC</w:t>
                  </w:r>
                  <w:r>
                    <w:rPr>
                      <w:rFonts w:hint="default" w:ascii="Times New Roman" w:hAnsi="Times New Roman" w:eastAsia="宋体" w:cs="Times New Roman"/>
                      <w:kern w:val="0"/>
                      <w:sz w:val="21"/>
                      <w:szCs w:val="21"/>
                      <w:vertAlign w:val="subscript"/>
                      <w:lang w:bidi="ar"/>
                    </w:rPr>
                    <w:t>50</w:t>
                  </w:r>
                  <w:r>
                    <w:rPr>
                      <w:rFonts w:hint="default" w:ascii="Times New Roman" w:hAnsi="Times New Roman" w:eastAsia="宋体" w:cs="Times New Roman"/>
                      <w:kern w:val="0"/>
                      <w:sz w:val="21"/>
                      <w:szCs w:val="21"/>
                      <w:lang w:bidi="ar"/>
                    </w:rPr>
                    <w:t>：490mg/m³（大鼠，吸入4h）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三乙胺</w:t>
                  </w:r>
                </w:p>
              </w:tc>
              <w:tc>
                <w:tcPr>
                  <w:tcW w:w="1610"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无色油状液体，有强烈的氨臭。密度：约0.73 g/cm</w:t>
                  </w:r>
                  <w:r>
                    <w:rPr>
                      <w:rFonts w:hint="default" w:ascii="Times New Roman" w:hAnsi="Times New Roman" w:eastAsia="宋体" w:cs="Times New Roman"/>
                      <w:kern w:val="0"/>
                      <w:sz w:val="21"/>
                      <w:szCs w:val="21"/>
                      <w:vertAlign w:val="superscript"/>
                      <w:lang w:bidi="ar"/>
                    </w:rPr>
                    <w:t>3</w:t>
                  </w:r>
                  <w:r>
                    <w:rPr>
                      <w:rFonts w:hint="default" w:ascii="Times New Roman" w:hAnsi="Times New Roman" w:eastAsia="宋体" w:cs="Times New Roman"/>
                      <w:kern w:val="0"/>
                      <w:sz w:val="21"/>
                      <w:szCs w:val="21"/>
                      <w:lang w:bidi="ar"/>
                    </w:rPr>
                    <w:t>（水=1）熔点/沸点：-114.8℃ / 89.5℃溶解性：微溶于水，溶于乙醇、乙醚等多数有机溶剂。水溶液呈碱性。</w:t>
                  </w:r>
                </w:p>
              </w:tc>
              <w:tc>
                <w:tcPr>
                  <w:tcW w:w="1419"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危险性类别：易燃液体；闪点：-7℃ （闭杯）；爆炸极限：1.2% - 8.0% （体积比）；引燃温度：约232-249℃；灭火注意：用水灭火无效，需用抗溶性泡沫、二氧化碳、干粉</w:t>
                  </w:r>
                </w:p>
              </w:tc>
              <w:tc>
                <w:tcPr>
                  <w:tcW w:w="1512"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LD</w:t>
                  </w:r>
                  <w:r>
                    <w:rPr>
                      <w:rFonts w:hint="default" w:ascii="Times New Roman" w:hAnsi="Times New Roman" w:eastAsia="宋体" w:cs="Times New Roman"/>
                      <w:kern w:val="0"/>
                      <w:sz w:val="21"/>
                      <w:szCs w:val="21"/>
                      <w:vertAlign w:val="subscript"/>
                      <w:lang w:bidi="ar"/>
                    </w:rPr>
                    <w:t>50</w:t>
                  </w:r>
                  <w:r>
                    <w:rPr>
                      <w:rFonts w:hint="default" w:ascii="Times New Roman" w:hAnsi="Times New Roman" w:eastAsia="宋体" w:cs="Times New Roman"/>
                      <w:kern w:val="0"/>
                      <w:sz w:val="21"/>
                      <w:szCs w:val="21"/>
                      <w:lang w:bidi="ar"/>
                    </w:rPr>
                    <w:t xml:space="preserve"> （大鼠经口） = 460 mg/kg；刺激性：对呼吸道有强烈刺激性，吸入可致肺水肿；腐蚀口腔、食道和胃；对皮肤和眼睛可引起化学性灼伤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丙烯酸</w:t>
                  </w:r>
                </w:p>
              </w:tc>
              <w:tc>
                <w:tcPr>
                  <w:tcW w:w="1610"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无色液体，有刺鼻性气味；熔点：13~14℃；沸点：139~141℃；密度（水=1）：1.05g/cm</w:t>
                  </w:r>
                  <w:r>
                    <w:rPr>
                      <w:rFonts w:hint="default" w:ascii="Times New Roman" w:hAnsi="Times New Roman" w:eastAsia="宋体" w:cs="Times New Roman"/>
                      <w:kern w:val="0"/>
                      <w:sz w:val="21"/>
                      <w:szCs w:val="21"/>
                      <w:vertAlign w:val="superscript"/>
                      <w:lang w:val="en-US" w:eastAsia="zh-CN" w:bidi="ar"/>
                    </w:rPr>
                    <w:t>3</w:t>
                  </w:r>
                  <w:r>
                    <w:rPr>
                      <w:rFonts w:hint="default" w:ascii="Times New Roman" w:hAnsi="Times New Roman" w:eastAsia="宋体" w:cs="Times New Roman"/>
                      <w:kern w:val="0"/>
                      <w:sz w:val="21"/>
                      <w:szCs w:val="21"/>
                      <w:lang w:val="en-US" w:eastAsia="zh-CN" w:bidi="ar"/>
                    </w:rPr>
                    <w:t>；与水、乙醇、乙醚等混溶</w:t>
                  </w:r>
                </w:p>
              </w:tc>
              <w:tc>
                <w:tcPr>
                  <w:tcW w:w="1419"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闪点：50~68.3℃（开杯）</w:t>
                  </w:r>
                </w:p>
              </w:tc>
              <w:tc>
                <w:tcPr>
                  <w:tcW w:w="1512"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LD</w:t>
                  </w:r>
                  <w:r>
                    <w:rPr>
                      <w:rFonts w:hint="default" w:ascii="Times New Roman" w:hAnsi="Times New Roman" w:eastAsia="宋体" w:cs="Times New Roman"/>
                      <w:kern w:val="0"/>
                      <w:sz w:val="21"/>
                      <w:szCs w:val="21"/>
                      <w:vertAlign w:val="subscript"/>
                      <w:lang w:val="en-US" w:eastAsia="zh-CN" w:bidi="ar"/>
                    </w:rPr>
                    <w:t>50</w:t>
                  </w:r>
                  <w:r>
                    <w:rPr>
                      <w:rFonts w:hint="default"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bidi="ar"/>
                    </w:rPr>
                    <w:t>大鼠口服）</w:t>
                  </w:r>
                  <w:r>
                    <w:rPr>
                      <w:rFonts w:hint="default"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bidi="ar"/>
                    </w:rPr>
                    <w:t>590 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Style w:val="7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4"/>
                      <w:sz w:val="21"/>
                      <w:szCs w:val="21"/>
                      <w:lang w:val="en-US" w:eastAsia="zh-CN"/>
                    </w:rPr>
                    <w:t>聚氨酯树脂</w:t>
                  </w:r>
                </w:p>
              </w:tc>
              <w:tc>
                <w:tcPr>
                  <w:tcW w:w="1610" w:type="pct"/>
                  <w:tcBorders>
                    <w:tl2br w:val="nil"/>
                    <w:tr2bl w:val="nil"/>
                  </w:tcBorders>
                  <w:vAlign w:val="center"/>
                </w:tcPr>
                <w:p>
                  <w:pPr>
                    <w:pStyle w:val="67"/>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eastAsia="zh-CN"/>
                    </w:rPr>
                    <w:t>聚氨酯树脂是由异氰酸酯和多元醇反应制得的高分子化合物，具有高强度、耐磨、耐化学腐蚀等特点。通常为黄色至棕色液体；不易溶于水，可溶于有机溶剂；密度：约1.1-1.2g/cm³；沸点：200-250°C</w:t>
                  </w:r>
                </w:p>
              </w:tc>
              <w:tc>
                <w:tcPr>
                  <w:tcW w:w="1419"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无资料</w:t>
                  </w:r>
                </w:p>
              </w:tc>
              <w:tc>
                <w:tcPr>
                  <w:tcW w:w="1512"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二甲苯</w:t>
                  </w:r>
                </w:p>
              </w:tc>
              <w:tc>
                <w:tcPr>
                  <w:tcW w:w="1610" w:type="pct"/>
                  <w:tcBorders>
                    <w:tl2br w:val="nil"/>
                    <w:tr2bl w:val="nil"/>
                  </w:tcBorders>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分子量106.17，无色透明液体，有类似甲苯的气味。蒸汽压1.16kPa/25℃，闪点25℃，熔点13.3℃，沸点138.4℃。不溶于水，可混溶于乙醇、乙醚、氯仿等多数有机溶剂。相对密度（水=1）0.86；相对密度（空气=1）3.66。</w:t>
                  </w:r>
                </w:p>
              </w:tc>
              <w:tc>
                <w:tcPr>
                  <w:tcW w:w="1419"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易燃</w:t>
                  </w:r>
                </w:p>
              </w:tc>
              <w:tc>
                <w:tcPr>
                  <w:tcW w:w="1512"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：4300mg/kg（大鼠经口）；</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LC</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：2119mg/kg（大鼠经口）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三甲苯</w:t>
                  </w:r>
                </w:p>
              </w:tc>
              <w:tc>
                <w:tcPr>
                  <w:tcW w:w="1610" w:type="pct"/>
                  <w:tcBorders>
                    <w:tl2br w:val="nil"/>
                    <w:tr2bl w:val="nil"/>
                  </w:tcBorders>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三甲苯，是一种有机溶剂，主要成分为三甲苯。</w:t>
                  </w:r>
                  <w:r>
                    <w:rPr>
                      <w:rFonts w:hint="default" w:ascii="Times New Roman" w:hAnsi="Times New Roman" w:cs="Times New Roman"/>
                      <w:color w:val="auto"/>
                      <w:sz w:val="21"/>
                      <w:szCs w:val="21"/>
                      <w:lang w:val="en-US" w:eastAsia="zh-CN"/>
                    </w:rPr>
                    <w:t>无色液体，熔点：-25.4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，沸点：176.1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，闪点：44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密度：0.89 g/cm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，不溶于水，可混溶于乙醇、乙醚等有机溶剂</w:t>
                  </w:r>
                </w:p>
              </w:tc>
              <w:tc>
                <w:tcPr>
                  <w:tcW w:w="1419"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2"/>
                      <w:sz w:val="21"/>
                      <w:szCs w:val="21"/>
                      <w:lang w:val="en-US" w:eastAsia="zh-CN" w:bidi="ar-SA"/>
                    </w:rPr>
                    <w:t>易燃；爆炸上限（V/V %）：6.6，爆炸下限（V/V %）：0.8</w:t>
                  </w:r>
                </w:p>
              </w:tc>
              <w:tc>
                <w:tcPr>
                  <w:tcW w:w="1512"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腻子</w:t>
                  </w:r>
                </w:p>
              </w:tc>
              <w:tc>
                <w:tcPr>
                  <w:tcW w:w="1610"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浅灰色膏状物</w:t>
                  </w:r>
                </w:p>
              </w:tc>
              <w:tc>
                <w:tcPr>
                  <w:tcW w:w="1419" w:type="pct"/>
                  <w:tcBorders>
                    <w:tl2br w:val="nil"/>
                    <w:tr2bl w:val="nil"/>
                  </w:tcBorders>
                  <w:vAlign w:val="center"/>
                </w:tcPr>
                <w:p>
                  <w:pPr>
                    <w:pageBreakBefore w:val="0"/>
                    <w:tabs>
                      <w:tab w:val="left" w:pos="442"/>
                      <w:tab w:val="right" w:leader="dot" w:pos="8296"/>
                    </w:tabs>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明火可燃</w:t>
                  </w:r>
                </w:p>
              </w:tc>
              <w:tc>
                <w:tcPr>
                  <w:tcW w:w="1512" w:type="pct"/>
                  <w:tcBorders>
                    <w:tl2br w:val="nil"/>
                    <w:tr2bl w:val="nil"/>
                  </w:tcBorders>
                  <w:vAlign w:val="center"/>
                </w:tcPr>
                <w:p>
                  <w:pPr>
                    <w:pageBreakBefore w:val="0"/>
                    <w:tabs>
                      <w:tab w:val="left" w:pos="442"/>
                      <w:tab w:val="right" w:leader="dot" w:pos="8296"/>
                    </w:tabs>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不饱和聚酯树脂</w:t>
                  </w:r>
                </w:p>
              </w:tc>
              <w:tc>
                <w:tcPr>
                  <w:tcW w:w="1610"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液态时密度约1.11-1.20 g/cm</w:t>
                  </w:r>
                  <w:r>
                    <w:rPr>
                      <w:rFonts w:hint="default" w:ascii="Times New Roman" w:hAnsi="Times New Roman" w:cs="Times New Roman"/>
                      <w:kern w:val="0"/>
                      <w:sz w:val="21"/>
                      <w:szCs w:val="21"/>
                      <w:vertAlign w:val="superscript"/>
                      <w:lang w:val="en-US" w:eastAsia="zh-CN" w:bidi="ar"/>
                    </w:rPr>
                    <w:t>3</w:t>
                  </w:r>
                  <w:r>
                    <w:rPr>
                      <w:rFonts w:hint="default" w:ascii="Times New Roman" w:hAnsi="Times New Roman" w:eastAsia="宋体" w:cs="Times New Roman"/>
                      <w:kern w:val="0"/>
                      <w:sz w:val="21"/>
                      <w:szCs w:val="21"/>
                      <w:lang w:bidi="ar"/>
                    </w:rPr>
                    <w:t>，为粘稠液体；固化时收缩率大；热变形温度50-120℃；耐水、稀酸、稀碱，但不耐有机溶剂</w:t>
                  </w:r>
                </w:p>
              </w:tc>
              <w:tc>
                <w:tcPr>
                  <w:tcW w:w="1419"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未改性的树脂可燃，燃烧速率快，热释放和发烟量高</w:t>
                  </w:r>
                </w:p>
              </w:tc>
              <w:tc>
                <w:tcPr>
                  <w:tcW w:w="1512"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固化后呈惰性，毒性低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热固性树脂粉</w:t>
                  </w:r>
                </w:p>
              </w:tc>
              <w:tc>
                <w:tcPr>
                  <w:tcW w:w="1610" w:type="pct"/>
                  <w:tcBorders>
                    <w:tl2br w:val="nil"/>
                    <w:tr2bl w:val="nil"/>
                  </w:tcBorders>
                  <w:vAlign w:val="center"/>
                </w:tcPr>
                <w:p>
                  <w:pPr>
                    <w:pageBreakBefore w:val="0"/>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粉末涂料是一种新型的不含溶剂100%固体粉末状涂料。具有无溶剂、无污染、可回收、环保、节省能源和资源、减轻劳动强度和</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"http://baike.baidu.com/view/1207049.htm" \t "_blank"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涂膜</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机械强度高等特点</w:t>
                  </w:r>
                </w:p>
              </w:tc>
              <w:tc>
                <w:tcPr>
                  <w:tcW w:w="1419" w:type="pct"/>
                  <w:tcBorders>
                    <w:tl2br w:val="nil"/>
                    <w:tr2bl w:val="nil"/>
                  </w:tcBorders>
                  <w:vAlign w:val="center"/>
                </w:tcPr>
                <w:p>
                  <w:pPr>
                    <w:pageBreakBefore w:val="0"/>
                    <w:tabs>
                      <w:tab w:val="left" w:pos="442"/>
                      <w:tab w:val="right" w:leader="dot" w:pos="8296"/>
                    </w:tabs>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遇明火、高热可燃</w:t>
                  </w:r>
                </w:p>
              </w:tc>
              <w:tc>
                <w:tcPr>
                  <w:tcW w:w="1512" w:type="pct"/>
                  <w:tcBorders>
                    <w:tl2br w:val="nil"/>
                    <w:tr2bl w:val="nil"/>
                  </w:tcBorders>
                  <w:vAlign w:val="center"/>
                </w:tcPr>
                <w:p>
                  <w:pPr>
                    <w:pageBreakBefore w:val="0"/>
                    <w:tabs>
                      <w:tab w:val="left" w:pos="442"/>
                      <w:tab w:val="right" w:leader="dot" w:pos="8296"/>
                    </w:tabs>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该产品不含毒性，不含溶剂和不含挥发有毒性的物质，故无中毒、无火灾、无“三废”的排放等公害的问题，完全符合国家环保法的要求。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shd w:val="clear" w:color="auto" w:fill="auto"/>
                  <w:vAlign w:val="center"/>
                </w:tcPr>
                <w:p>
                  <w:pPr>
                    <w:keepNext w:val="0"/>
                    <w:keepLines w:val="0"/>
                    <w:widowControl/>
                    <w:suppressLineNumbers w:val="0"/>
                    <w:jc w:val="center"/>
                    <w:textAlignment w:val="auto"/>
                    <w:rPr>
                      <w:rFonts w:hint="default" w:ascii="Times New Roman" w:hAnsi="Times New Roman" w:eastAsia="宋体" w:cs="Times New Roman"/>
                      <w:i w:val="0"/>
                      <w:iCs w:val="0"/>
                      <w:kern w:val="2"/>
                      <w:sz w:val="21"/>
                      <w:szCs w:val="21"/>
                      <w:u w:val="none"/>
                      <w:lang w:val="en-US" w:eastAsia="zh-CN" w:bidi="ar-SA"/>
                    </w:rPr>
                  </w:pPr>
                  <w:r>
                    <w:rPr>
                      <w:rFonts w:hint="default" w:ascii="Times New Roman" w:hAnsi="Times New Roman" w:eastAsia="宋体" w:cs="Times New Roman"/>
                      <w:i w:val="0"/>
                      <w:iCs w:val="0"/>
                      <w:kern w:val="2"/>
                      <w:sz w:val="21"/>
                      <w:szCs w:val="21"/>
                      <w:u w:val="none"/>
                      <w:lang w:val="en-US" w:eastAsia="zh-CN" w:bidi="ar"/>
                    </w:rPr>
                    <w:t>环氧树脂</w:t>
                  </w:r>
                </w:p>
              </w:tc>
              <w:tc>
                <w:tcPr>
                  <w:tcW w:w="2462" w:type="dxa"/>
                  <w:tcBorders>
                    <w:tl2br w:val="nil"/>
                    <w:tr2bl w:val="nil"/>
                  </w:tcBorders>
                  <w:shd w:val="clear" w:color="auto" w:fill="auto"/>
                  <w:vAlign w:val="center"/>
                </w:tcPr>
                <w:p>
                  <w:pPr>
                    <w:keepNext w:val="0"/>
                    <w:keepLines w:val="0"/>
                    <w:widowControl/>
                    <w:suppressLineNumbers w:val="0"/>
                    <w:jc w:val="center"/>
                    <w:textAlignment w:val="auto"/>
                    <w:rPr>
                      <w:rFonts w:hint="default" w:ascii="Times New Roman" w:hAnsi="Times New Roman" w:eastAsia="宋体" w:cs="Times New Roman"/>
                      <w:i w:val="0"/>
                      <w:iCs w:val="0"/>
                      <w:kern w:val="2"/>
                      <w:sz w:val="21"/>
                      <w:szCs w:val="21"/>
                      <w:u w:val="none"/>
                      <w:lang w:val="en-US" w:eastAsia="zh-CN" w:bidi="ar-SA"/>
                    </w:rPr>
                  </w:pPr>
                  <w:r>
                    <w:rPr>
                      <w:rFonts w:hint="default" w:ascii="Times New Roman" w:hAnsi="Times New Roman" w:eastAsia="宋体" w:cs="Times New Roman"/>
                      <w:i w:val="0"/>
                      <w:iCs w:val="0"/>
                      <w:kern w:val="2"/>
                      <w:sz w:val="21"/>
                      <w:szCs w:val="21"/>
                      <w:u w:val="none"/>
                      <w:lang w:val="en-US" w:eastAsia="zh-CN" w:bidi="ar"/>
                    </w:rPr>
                    <w:t>淡黄色至琥珀色粘稠液体或固体，环氧当量450-500g/eq，密度1.10-1.25g/cm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，软化点50-110℃，可溶于丙酮、二甲苯等有机溶剂，固化后形成三维网状结构</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可燃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LD</w:t>
                  </w:r>
                  <w:r>
                    <w:rPr>
                      <w:rFonts w:hint="default" w:ascii="Times New Roman" w:hAnsi="Times New Roman" w:eastAsia="宋体" w:cs="Times New Roman"/>
                      <w:i w:val="0"/>
                      <w:iCs w:val="0"/>
                      <w:kern w:val="2"/>
                      <w:sz w:val="21"/>
                      <w:szCs w:val="21"/>
                      <w:u w:val="none"/>
                      <w:vertAlign w:val="subscript"/>
                      <w:lang w:val="en-US" w:eastAsia="zh-CN" w:bidi="ar"/>
                    </w:rPr>
                    <w:t>50</w:t>
                  </w:r>
                  <w:r>
                    <w:rPr>
                      <w:rFonts w:hint="default" w:ascii="Times New Roman" w:hAnsi="Times New Roman" w:eastAsia="宋体" w:cs="Times New Roman"/>
                      <w:i w:val="0"/>
                      <w:iCs w:val="0"/>
                      <w:kern w:val="2"/>
                      <w:sz w:val="21"/>
                      <w:szCs w:val="21"/>
                      <w:u w:val="none"/>
                      <w:lang w:val="en-US" w:eastAsia="zh-CN" w:bidi="ar"/>
                    </w:rPr>
                    <w:t>：11400mg/kg（大鼠，经口）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甲基丙烯酸二缩乙二醇酯</w:t>
                  </w:r>
                </w:p>
              </w:tc>
              <w:tc>
                <w:tcPr>
                  <w:tcW w:w="246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无色透明液体，密度1.08g/cm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（20℃），沸点&gt;200℃，闪点&gt;100℃，粘度5-10mPa·s，不溶于水，可溶于醇、醚、酯类溶剂，含双官能团活性稀释剂</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可燃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LD</w:t>
                  </w:r>
                  <w:r>
                    <w:rPr>
                      <w:rFonts w:hint="default" w:ascii="Times New Roman" w:hAnsi="Times New Roman" w:eastAsia="宋体" w:cs="Times New Roman"/>
                      <w:i w:val="0"/>
                      <w:iCs w:val="0"/>
                      <w:kern w:val="2"/>
                      <w:sz w:val="21"/>
                      <w:szCs w:val="21"/>
                      <w:u w:val="none"/>
                      <w:vertAlign w:val="subscript"/>
                      <w:lang w:val="en-US" w:eastAsia="zh-CN" w:bidi="ar"/>
                    </w:rPr>
                    <w:t>50</w:t>
                  </w:r>
                  <w:r>
                    <w:rPr>
                      <w:rFonts w:hint="default" w:ascii="Times New Roman" w:hAnsi="Times New Roman" w:eastAsia="宋体" w:cs="Times New Roman"/>
                      <w:i w:val="0"/>
                      <w:iCs w:val="0"/>
                      <w:kern w:val="2"/>
                      <w:sz w:val="21"/>
                      <w:szCs w:val="21"/>
                      <w:u w:val="none"/>
                      <w:lang w:val="en-US" w:eastAsia="zh-CN" w:bidi="ar"/>
                    </w:rPr>
                    <w:t>：&gt;5000mg/kg（大鼠，经口）；对皮肤和眼睛有刺激性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硫酸钡</w:t>
                  </w:r>
                </w:p>
              </w:tc>
              <w:tc>
                <w:tcPr>
                  <w:tcW w:w="246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白色无定形粉末，密度4.3-4.6g/cm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，熔点1580℃，不溶于水、酸（除浓硫酸）、碱和有机溶剂，化学性质稳定，X射线不透射</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不燃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无毒，LD</w:t>
                  </w:r>
                  <w:r>
                    <w:rPr>
                      <w:rFonts w:hint="default" w:ascii="Times New Roman" w:hAnsi="Times New Roman" w:eastAsia="宋体" w:cs="Times New Roman"/>
                      <w:i w:val="0"/>
                      <w:iCs w:val="0"/>
                      <w:kern w:val="2"/>
                      <w:sz w:val="21"/>
                      <w:szCs w:val="21"/>
                      <w:u w:val="none"/>
                      <w:vertAlign w:val="subscript"/>
                      <w:lang w:val="en-US" w:eastAsia="zh-CN" w:bidi="ar"/>
                    </w:rPr>
                    <w:t>50</w:t>
                  </w:r>
                  <w:r>
                    <w:rPr>
                      <w:rFonts w:hint="default" w:ascii="Times New Roman" w:hAnsi="Times New Roman" w:eastAsia="宋体" w:cs="Times New Roman"/>
                      <w:i w:val="0"/>
                      <w:iCs w:val="0"/>
                      <w:kern w:val="2"/>
                      <w:sz w:val="21"/>
                      <w:szCs w:val="21"/>
                      <w:u w:val="none"/>
                      <w:lang w:val="en-US" w:eastAsia="zh-CN" w:bidi="ar"/>
                    </w:rPr>
                    <w:t>：&gt;5000mg/kg（大鼠，经口）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二氧化钛</w:t>
                  </w:r>
                </w:p>
              </w:tc>
              <w:tc>
                <w:tcPr>
                  <w:tcW w:w="246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白色粉末，密度3.9-4.2g/cm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（锐钛型）/4.0-4.3g/cm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（金红石型），熔点1843℃，沸点2972℃，不溶于水、稀酸和有机溶剂，光催化活性高</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不燃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LD</w:t>
                  </w:r>
                  <w:r>
                    <w:rPr>
                      <w:rFonts w:hint="default" w:ascii="Times New Roman" w:hAnsi="Times New Roman" w:eastAsia="宋体" w:cs="Times New Roman"/>
                      <w:i w:val="0"/>
                      <w:iCs w:val="0"/>
                      <w:kern w:val="2"/>
                      <w:sz w:val="21"/>
                      <w:szCs w:val="21"/>
                      <w:u w:val="none"/>
                      <w:vertAlign w:val="subscript"/>
                      <w:lang w:val="en-US" w:eastAsia="zh-CN" w:bidi="ar"/>
                    </w:rPr>
                    <w:t>50</w:t>
                  </w:r>
                  <w:r>
                    <w:rPr>
                      <w:rFonts w:hint="default" w:ascii="Times New Roman" w:hAnsi="Times New Roman" w:eastAsia="宋体" w:cs="Times New Roman"/>
                      <w:i w:val="0"/>
                      <w:iCs w:val="0"/>
                      <w:kern w:val="2"/>
                      <w:sz w:val="21"/>
                      <w:szCs w:val="21"/>
                      <w:u w:val="none"/>
                      <w:lang w:val="en-US" w:eastAsia="zh-CN" w:bidi="ar"/>
                    </w:rPr>
                    <w:t>：&gt;10000mg/kg（大鼠，经口）；IARC列为2B类可能致癌物（吸入途径）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聚甲基丙烯酸异丁酯</w:t>
                  </w:r>
                </w:p>
              </w:tc>
              <w:tc>
                <w:tcPr>
                  <w:tcW w:w="246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无色至淡黄色透明固体，玻璃化转变温度53-55℃，密度1.05g/cm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，软化点80-120℃，可溶于芳烃、酯类、酮类溶剂，耐候性、透明性优良</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可燃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LD</w:t>
                  </w:r>
                  <w:r>
                    <w:rPr>
                      <w:rFonts w:hint="default" w:ascii="Times New Roman" w:hAnsi="Times New Roman" w:eastAsia="宋体" w:cs="Times New Roman"/>
                      <w:i w:val="0"/>
                      <w:iCs w:val="0"/>
                      <w:kern w:val="2"/>
                      <w:sz w:val="21"/>
                      <w:szCs w:val="21"/>
                      <w:u w:val="none"/>
                      <w:vertAlign w:val="subscript"/>
                      <w:lang w:val="en-US" w:eastAsia="zh-CN" w:bidi="ar"/>
                    </w:rPr>
                    <w:t>50</w:t>
                  </w:r>
                  <w:r>
                    <w:rPr>
                      <w:rFonts w:hint="default" w:ascii="Times New Roman" w:hAnsi="Times New Roman" w:eastAsia="宋体" w:cs="Times New Roman"/>
                      <w:i w:val="0"/>
                      <w:iCs w:val="0"/>
                      <w:kern w:val="2"/>
                      <w:sz w:val="21"/>
                      <w:szCs w:val="21"/>
                      <w:u w:val="none"/>
                      <w:lang w:val="en-US" w:eastAsia="zh-CN" w:bidi="ar"/>
                    </w:rPr>
                    <w:t>：&gt;5000mg/kg（大鼠，经口）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聚甲基丙烯酸甲酯</w:t>
                  </w:r>
                </w:p>
              </w:tc>
              <w:tc>
                <w:tcPr>
                  <w:tcW w:w="246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无色透明固体（有机玻璃），密度1.18-1.20g/cm</w:t>
                  </w:r>
                  <w:r>
                    <w:rPr>
                      <w:rFonts w:hint="eastAsia" w:ascii="Times New Roman" w:hAnsi="Times New Roman" w:eastAsia="宋体" w:cs="Times New Roman"/>
                      <w:i w:val="0"/>
                      <w:iCs w:val="0"/>
                      <w:kern w:val="2"/>
                      <w:sz w:val="21"/>
                      <w:szCs w:val="21"/>
                      <w:u w:val="none"/>
                      <w:vertAlign w:val="superscript"/>
                      <w:lang w:val="en-US" w:eastAsia="zh-CN" w:bidi="ar"/>
                    </w:rPr>
                    <w:t>3</w:t>
                  </w:r>
                  <w:r>
                    <w:rPr>
                      <w:rFonts w:hint="default" w:ascii="Times New Roman" w:hAnsi="Times New Roman" w:eastAsia="宋体" w:cs="Times New Roman"/>
                      <w:i w:val="0"/>
                      <w:iCs w:val="0"/>
                      <w:kern w:val="2"/>
                      <w:sz w:val="21"/>
                      <w:szCs w:val="21"/>
                      <w:u w:val="none"/>
                      <w:lang w:val="en-US" w:eastAsia="zh-CN" w:bidi="ar"/>
                    </w:rPr>
                    <w:t>，玻璃化转变温度105℃，软化点150-160℃，透光率92%，可溶于氯仿、丙酮、芳烃，耐候性优异</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可燃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i w:val="0"/>
                      <w:iCs w:val="0"/>
                      <w:kern w:val="2"/>
                      <w:sz w:val="21"/>
                      <w:szCs w:val="21"/>
                      <w:u w:val="none"/>
                      <w:lang w:val="en-US" w:eastAsia="zh-CN" w:bidi="ar"/>
                    </w:rPr>
                    <w:t>LD</w:t>
                  </w:r>
                  <w:r>
                    <w:rPr>
                      <w:rFonts w:hint="default" w:ascii="Times New Roman" w:hAnsi="Times New Roman" w:eastAsia="宋体" w:cs="Times New Roman"/>
                      <w:i w:val="0"/>
                      <w:iCs w:val="0"/>
                      <w:kern w:val="2"/>
                      <w:sz w:val="21"/>
                      <w:szCs w:val="21"/>
                      <w:u w:val="none"/>
                      <w:vertAlign w:val="subscript"/>
                      <w:lang w:val="en-US" w:eastAsia="zh-CN" w:bidi="ar"/>
                    </w:rPr>
                    <w:t>50</w:t>
                  </w:r>
                  <w:r>
                    <w:rPr>
                      <w:rFonts w:hint="default" w:ascii="Times New Roman" w:hAnsi="Times New Roman" w:eastAsia="宋体" w:cs="Times New Roman"/>
                      <w:i w:val="0"/>
                      <w:iCs w:val="0"/>
                      <w:kern w:val="2"/>
                      <w:sz w:val="21"/>
                      <w:szCs w:val="21"/>
                      <w:u w:val="none"/>
                      <w:lang w:val="en-US" w:eastAsia="zh-CN" w:bidi="ar"/>
                    </w:rPr>
                    <w:t>：&gt;10000mg/kg（大鼠，经口）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甲烷</w:t>
                  </w:r>
                </w:p>
              </w:tc>
              <w:tc>
                <w:tcPr>
                  <w:tcW w:w="1610"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无色、无臭、无味气体。熔点/沸点：-182.5℃ / -161.5℃气体密度：约0.716 g/L （标准状况），比空气轻</w:t>
                  </w:r>
                </w:p>
              </w:tc>
              <w:tc>
                <w:tcPr>
                  <w:tcW w:w="1419"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危险性：极易燃气体；爆炸极限：5.0% - 16% （体积比）；自燃温度：约537℃；灭火注意：首先切断气源；若不能切断，则不允许熄灭泄漏处的火焰</w:t>
                  </w:r>
                </w:p>
              </w:tc>
              <w:tc>
                <w:tcPr>
                  <w:tcW w:w="1512" w:type="pct"/>
                  <w:tcBorders>
                    <w:tl2br w:val="nil"/>
                    <w:tr2bl w:val="nil"/>
                  </w:tcBorders>
                  <w:vAlign w:val="center"/>
                </w:tcPr>
                <w:p>
                  <w:pPr>
                    <w:pageBreakBefore w:val="0"/>
                    <w:widowControl/>
                    <w:kinsoku/>
                    <w:overflowPunct/>
                    <w:autoSpaceDE/>
                    <w:autoSpaceDN/>
                    <w:bidi w:val="0"/>
                    <w:spacing w:line="240" w:lineRule="auto"/>
                    <w:jc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纯甲烷在极高浓度时是单纯性窒息剂。皮肤接触液化气体可致冻伤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tcBorders>
                    <w:tl2br w:val="nil"/>
                    <w:tr2bl w:val="nil"/>
                  </w:tcBorders>
                  <w:vAlign w:val="center"/>
                </w:tcPr>
                <w:p>
                  <w:pPr>
                    <w:pageBreakBefore w:val="0"/>
                    <w:widowControl/>
                    <w:kinsoku/>
                    <w:overflowPunct/>
                    <w:autoSpaceDE/>
                    <w:autoSpaceDN/>
                    <w:bidi w:val="0"/>
                    <w:spacing w:line="240" w:lineRule="auto"/>
                    <w:jc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甲醛</w:t>
                  </w:r>
                </w:p>
              </w:tc>
              <w:tc>
                <w:tcPr>
                  <w:tcW w:w="246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无色有刺激性气味的气体，密度1.067g/cm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（液体，-20℃），沸点-19.5℃，易溶于水、醇、醚，聚合温度&gt;100℃，强还原性</w:t>
                  </w:r>
                </w:p>
              </w:tc>
              <w:tc>
                <w:tcPr>
                  <w:tcW w:w="2170"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可燃</w:t>
                  </w:r>
                </w:p>
              </w:tc>
              <w:tc>
                <w:tcPr>
                  <w:tcW w:w="2312" w:type="dxa"/>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LD</w:t>
                  </w:r>
                  <w:r>
                    <w:rPr>
                      <w:rFonts w:hint="default" w:ascii="Times New Roman" w:hAnsi="Times New Roman" w:eastAsia="宋体" w:cs="Times New Roman"/>
                      <w:i w:val="0"/>
                      <w:iCs w:val="0"/>
                      <w:color w:val="auto"/>
                      <w:kern w:val="0"/>
                      <w:sz w:val="21"/>
                      <w:szCs w:val="21"/>
                      <w:u w:val="none"/>
                      <w:vertAlign w:val="subscript"/>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：100mg/kg（大鼠，经口）；IARC列为1类致癌物；LC</w:t>
                  </w:r>
                  <w:r>
                    <w:rPr>
                      <w:rFonts w:hint="default" w:ascii="Times New Roman" w:hAnsi="Times New Roman" w:eastAsia="宋体" w:cs="Times New Roman"/>
                      <w:i w:val="0"/>
                      <w:iCs w:val="0"/>
                      <w:color w:val="auto"/>
                      <w:kern w:val="0"/>
                      <w:sz w:val="21"/>
                      <w:szCs w:val="21"/>
                      <w:u w:val="none"/>
                      <w:vertAlign w:val="subscript"/>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：590mg/m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（大鼠，吸入4h）</w:t>
                  </w:r>
                </w:p>
              </w:tc>
            </w:tr>
          </w:tbl>
          <w:p>
            <w:pPr>
              <w:pStyle w:val="11"/>
              <w:spacing w:before="0" w:after="0" w:line="360" w:lineRule="auto"/>
              <w:ind w:right="0" w:firstLine="482" w:firstLineChars="200"/>
              <w:rPr>
                <w:rFonts w:hint="eastAsia" w:cs="Times New Roman"/>
                <w:b/>
                <w:bCs/>
                <w:sz w:val="24"/>
                <w:szCs w:val="24"/>
                <w:lang w:val="en-US" w:eastAsia="zh-CN"/>
              </w:rPr>
            </w:pPr>
            <w:r>
              <w:rPr>
                <w:rFonts w:hint="eastAsia" w:cs="Times New Roman"/>
                <w:b/>
                <w:bCs/>
                <w:sz w:val="24"/>
                <w:szCs w:val="24"/>
                <w:lang w:val="en-US" w:eastAsia="zh-CN"/>
              </w:rPr>
              <w:t>用漆量核算：</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b/>
                <w:bCs/>
                <w:color w:val="000000"/>
                <w:sz w:val="24"/>
                <w:szCs w:val="24"/>
              </w:rPr>
            </w:pPr>
            <w:r>
              <w:rPr>
                <w:rFonts w:hint="eastAsia" w:ascii="Times New Roman" w:hAnsi="Times New Roman"/>
                <w:color w:val="000000"/>
                <w:sz w:val="24"/>
                <w:szCs w:val="24"/>
                <w:lang w:val="en-US" w:eastAsia="zh-CN"/>
              </w:rPr>
              <w:t>根据企业提供资料，</w:t>
            </w:r>
            <w:r>
              <w:rPr>
                <w:rFonts w:hint="default" w:ascii="Times New Roman" w:hAnsi="Times New Roman"/>
                <w:color w:val="000000"/>
                <w:sz w:val="24"/>
                <w:szCs w:val="24"/>
              </w:rPr>
              <w:t>本项目</w:t>
            </w:r>
            <w:r>
              <w:rPr>
                <w:rFonts w:hint="eastAsia" w:ascii="Times New Roman" w:hAnsi="Times New Roman"/>
                <w:color w:val="000000"/>
                <w:sz w:val="24"/>
                <w:szCs w:val="24"/>
                <w:lang w:val="en-US" w:eastAsia="zh-CN"/>
              </w:rPr>
              <w:t>中工件需要喷涂，喷漆</w:t>
            </w:r>
            <w:r>
              <w:rPr>
                <w:rFonts w:hint="default" w:ascii="Times New Roman" w:hAnsi="Times New Roman"/>
                <w:color w:val="000000"/>
                <w:sz w:val="24"/>
                <w:szCs w:val="24"/>
              </w:rPr>
              <w:t>使用</w:t>
            </w:r>
            <w:r>
              <w:rPr>
                <w:rFonts w:hint="eastAsia" w:ascii="Times New Roman" w:hAnsi="Times New Roman"/>
                <w:color w:val="000000"/>
                <w:sz w:val="24"/>
                <w:szCs w:val="24"/>
                <w:lang w:val="en-US" w:eastAsia="zh-CN"/>
              </w:rPr>
              <w:t>油漆</w:t>
            </w:r>
            <w:r>
              <w:rPr>
                <w:rFonts w:hint="default" w:ascii="Times New Roman" w:hAnsi="Times New Roman"/>
                <w:color w:val="000000"/>
                <w:sz w:val="24"/>
                <w:szCs w:val="24"/>
              </w:rPr>
              <w:t>。本项目工件涂装面积见表</w:t>
            </w:r>
            <w:r>
              <w:rPr>
                <w:rFonts w:hint="eastAsia" w:ascii="Times New Roman" w:hAnsi="Times New Roman"/>
                <w:color w:val="000000"/>
                <w:sz w:val="24"/>
                <w:szCs w:val="24"/>
                <w:lang w:val="en-US" w:eastAsia="zh-CN"/>
              </w:rPr>
              <w:t>2-8</w:t>
            </w:r>
            <w:r>
              <w:rPr>
                <w:rFonts w:hint="default" w:ascii="Times New Roman" w:hAnsi="Times New Roman"/>
                <w:color w:val="000000"/>
                <w:sz w:val="24"/>
                <w:szCs w:val="24"/>
              </w:rPr>
              <w:t>。根据企业提供的喷涂技术参数，同时查阅相关文献资料根据《涂装工艺与设备》（化学工业出版社），涂着效率约为65%~75%，本次环评取</w:t>
            </w:r>
            <w:r>
              <w:rPr>
                <w:rFonts w:hint="eastAsia" w:ascii="Times New Roman" w:hAnsi="Times New Roman"/>
                <w:color w:val="000000"/>
                <w:sz w:val="24"/>
                <w:szCs w:val="24"/>
                <w:lang w:val="en-US" w:eastAsia="zh-CN"/>
              </w:rPr>
              <w:t>70</w:t>
            </w:r>
            <w:r>
              <w:rPr>
                <w:rFonts w:hint="default" w:ascii="Times New Roman" w:hAnsi="Times New Roman"/>
                <w:color w:val="000000"/>
                <w:sz w:val="24"/>
                <w:szCs w:val="24"/>
              </w:rPr>
              <w:t>%。</w:t>
            </w:r>
          </w:p>
          <w:p>
            <w:pPr>
              <w:keepNext w:val="0"/>
              <w:keepLines w:val="0"/>
              <w:suppressLineNumbers w:val="0"/>
              <w:snapToGrid w:val="0"/>
              <w:spacing w:before="0" w:beforeAutospacing="0" w:after="0" w:afterAutospacing="0" w:line="240" w:lineRule="auto"/>
              <w:ind w:left="0" w:right="0" w:firstLine="482" w:firstLineChars="200"/>
              <w:jc w:val="center"/>
              <w:rPr>
                <w:rFonts w:hint="default" w:ascii="Times New Roman" w:hAnsi="Times New Roman"/>
                <w:b/>
                <w:bCs/>
                <w:color w:val="000000"/>
                <w:sz w:val="24"/>
                <w:szCs w:val="24"/>
              </w:rPr>
            </w:pPr>
            <w:r>
              <w:rPr>
                <w:rFonts w:hint="default" w:ascii="Times New Roman" w:hAnsi="Times New Roman"/>
                <w:b/>
                <w:bCs/>
                <w:color w:val="000000"/>
                <w:sz w:val="24"/>
                <w:szCs w:val="24"/>
              </w:rPr>
              <w:t>表</w:t>
            </w:r>
            <w:r>
              <w:rPr>
                <w:rFonts w:hint="eastAsia" w:ascii="Times New Roman" w:hAnsi="Times New Roman"/>
                <w:b/>
                <w:bCs/>
                <w:color w:val="000000"/>
                <w:sz w:val="24"/>
                <w:szCs w:val="24"/>
                <w:lang w:val="en-US" w:eastAsia="zh-CN"/>
              </w:rPr>
              <w:t>2-8</w:t>
            </w:r>
            <w:r>
              <w:rPr>
                <w:rFonts w:hint="default" w:ascii="Times New Roman" w:hAnsi="Times New Roman"/>
                <w:b/>
                <w:bCs/>
                <w:color w:val="000000"/>
                <w:sz w:val="24"/>
                <w:szCs w:val="24"/>
              </w:rPr>
              <w:t xml:space="preserve"> 工件涂装面积一览表</w:t>
            </w:r>
          </w:p>
          <w:tbl>
            <w:tblPr>
              <w:tblStyle w:val="26"/>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1959"/>
              <w:gridCol w:w="1596"/>
              <w:gridCol w:w="22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kern w:val="0"/>
                      <w:sz w:val="21"/>
                      <w:szCs w:val="21"/>
                    </w:rPr>
                  </w:pPr>
                  <w:r>
                    <w:rPr>
                      <w:rFonts w:hint="default" w:ascii="Times New Roman" w:hAnsi="Times New Roman"/>
                      <w:b/>
                      <w:bCs/>
                      <w:color w:val="000000"/>
                      <w:kern w:val="0"/>
                      <w:sz w:val="21"/>
                      <w:szCs w:val="21"/>
                    </w:rPr>
                    <w:t>货种</w:t>
                  </w:r>
                </w:p>
              </w:tc>
              <w:tc>
                <w:tcPr>
                  <w:tcW w:w="128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kern w:val="0"/>
                      <w:sz w:val="21"/>
                      <w:szCs w:val="21"/>
                    </w:rPr>
                  </w:pPr>
                  <w:r>
                    <w:rPr>
                      <w:rFonts w:hint="default"/>
                      <w:b/>
                      <w:bCs/>
                      <w:color w:val="000000"/>
                      <w:sz w:val="21"/>
                      <w:szCs w:val="21"/>
                    </w:rPr>
                    <w:t>设计规模</w:t>
                  </w:r>
                </w:p>
              </w:tc>
              <w:tc>
                <w:tcPr>
                  <w:tcW w:w="10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单套需喷涂面积</w:t>
                  </w:r>
                </w:p>
              </w:tc>
              <w:tc>
                <w:tcPr>
                  <w:tcW w:w="15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kern w:val="0"/>
                      <w:sz w:val="21"/>
                      <w:szCs w:val="21"/>
                    </w:rPr>
                  </w:pPr>
                  <w:r>
                    <w:rPr>
                      <w:rFonts w:hint="eastAsia" w:ascii="Times New Roman" w:hAnsi="Times New Roman"/>
                      <w:b/>
                      <w:bCs/>
                      <w:color w:val="000000"/>
                      <w:kern w:val="0"/>
                      <w:sz w:val="21"/>
                      <w:szCs w:val="21"/>
                      <w:lang w:val="en-US" w:eastAsia="zh-CN"/>
                    </w:rPr>
                    <w:t>喷涂总</w:t>
                  </w:r>
                  <w:r>
                    <w:rPr>
                      <w:rFonts w:hint="default" w:ascii="Times New Roman" w:hAnsi="Times New Roman"/>
                      <w:b/>
                      <w:bCs/>
                      <w:color w:val="000000"/>
                      <w:kern w:val="0"/>
                      <w:sz w:val="21"/>
                      <w:szCs w:val="21"/>
                    </w:rPr>
                    <w:t>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73" w:type="pct"/>
                  <w:tcBorders>
                    <w:tl2br w:val="nil"/>
                    <w:tr2bl w:val="nil"/>
                  </w:tcBorders>
                  <w:noWrap w:val="0"/>
                  <w:vAlign w:val="center"/>
                </w:tcPr>
                <w:p>
                  <w:pPr>
                    <w:pStyle w:val="66"/>
                    <w:keepNext w:val="0"/>
                    <w:keepLines w:val="0"/>
                    <w:suppressLineNumbers w:val="0"/>
                    <w:spacing w:before="0" w:beforeAutospacing="0" w:after="0" w:afterAutospacing="0" w:line="240" w:lineRule="auto"/>
                    <w:ind w:left="0" w:right="0"/>
                    <w:rPr>
                      <w:rFonts w:hint="default" w:ascii="Times New Roman" w:hAnsi="Times New Roman"/>
                      <w:color w:val="000000"/>
                      <w:sz w:val="21"/>
                      <w:szCs w:val="21"/>
                      <w:lang w:val="en-US"/>
                    </w:rPr>
                  </w:pPr>
                  <w:r>
                    <w:rPr>
                      <w:rFonts w:hint="eastAsia" w:ascii="Times New Roman" w:hAnsi="Times New Roman"/>
                      <w:color w:val="000000"/>
                      <w:sz w:val="21"/>
                      <w:szCs w:val="21"/>
                      <w:lang w:val="en-US" w:eastAsia="zh-CN"/>
                    </w:rPr>
                    <w:t>工件</w:t>
                  </w:r>
                </w:p>
              </w:tc>
              <w:tc>
                <w:tcPr>
                  <w:tcW w:w="1281" w:type="pc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olor w:val="000000"/>
                      <w:kern w:val="0"/>
                      <w:sz w:val="21"/>
                      <w:szCs w:val="21"/>
                      <w:lang w:val="en-US" w:eastAsia="zh-CN"/>
                    </w:rPr>
                  </w:pPr>
                  <w:r>
                    <w:rPr>
                      <w:rFonts w:hint="eastAsia" w:ascii="Times New Roman" w:hAnsi="Times New Roman"/>
                      <w:color w:val="000000"/>
                      <w:kern w:val="0"/>
                      <w:sz w:val="21"/>
                      <w:szCs w:val="21"/>
                      <w:lang w:val="en-US" w:eastAsia="zh-CN"/>
                    </w:rPr>
                    <w:t>5000套/年</w:t>
                  </w:r>
                </w:p>
              </w:tc>
              <w:tc>
                <w:tcPr>
                  <w:tcW w:w="1044" w:type="pc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firstLine="0" w:firstLineChars="0"/>
                    <w:rPr>
                      <w:rFonts w:hint="eastAsia" w:ascii="Times New Roman" w:hAnsi="Times New Roman"/>
                      <w:color w:val="000000"/>
                      <w:sz w:val="21"/>
                      <w:szCs w:val="21"/>
                      <w:lang w:val="en-US" w:eastAsia="zh-CN"/>
                    </w:rPr>
                  </w:pPr>
                  <w:r>
                    <w:rPr>
                      <w:rFonts w:hint="eastAsia" w:ascii="Times New Roman" w:hAnsi="Times New Roman"/>
                      <w:color w:val="000000"/>
                      <w:kern w:val="0"/>
                      <w:sz w:val="21"/>
                      <w:szCs w:val="21"/>
                      <w:lang w:val="en-US" w:eastAsia="zh-CN"/>
                    </w:rPr>
                    <w:t>7.98</w:t>
                  </w:r>
                  <w:r>
                    <w:rPr>
                      <w:rFonts w:hint="default" w:ascii="Times New Roman" w:hAnsi="Times New Roman"/>
                      <w:color w:val="000000"/>
                      <w:kern w:val="0"/>
                      <w:sz w:val="21"/>
                      <w:szCs w:val="21"/>
                    </w:rPr>
                    <w:t>m</w:t>
                  </w:r>
                  <w:r>
                    <w:rPr>
                      <w:rFonts w:hint="default" w:ascii="Times New Roman" w:hAnsi="Times New Roman"/>
                      <w:color w:val="000000"/>
                      <w:kern w:val="0"/>
                      <w:sz w:val="21"/>
                      <w:szCs w:val="21"/>
                      <w:vertAlign w:val="superscript"/>
                    </w:rPr>
                    <w:t>2</w:t>
                  </w:r>
                </w:p>
              </w:tc>
              <w:tc>
                <w:tcPr>
                  <w:tcW w:w="15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olor w:val="000000"/>
                      <w:kern w:val="0"/>
                      <w:sz w:val="21"/>
                      <w:szCs w:val="21"/>
                    </w:rPr>
                  </w:pPr>
                  <w:r>
                    <w:rPr>
                      <w:rFonts w:hint="eastAsia" w:ascii="Times New Roman" w:hAnsi="Times New Roman"/>
                      <w:color w:val="000000"/>
                      <w:kern w:val="0"/>
                      <w:sz w:val="21"/>
                      <w:szCs w:val="21"/>
                      <w:lang w:val="en-US" w:eastAsia="zh-CN"/>
                    </w:rPr>
                    <w:t>33900</w:t>
                  </w:r>
                  <w:r>
                    <w:rPr>
                      <w:rFonts w:hint="default" w:ascii="Times New Roman" w:hAnsi="Times New Roman"/>
                      <w:color w:val="000000"/>
                      <w:kern w:val="0"/>
                      <w:sz w:val="21"/>
                      <w:szCs w:val="21"/>
                    </w:rPr>
                    <w:t>m</w:t>
                  </w:r>
                  <w:r>
                    <w:rPr>
                      <w:rFonts w:hint="default" w:ascii="Times New Roman" w:hAnsi="Times New Roman"/>
                      <w:color w:val="000000"/>
                      <w:kern w:val="0"/>
                      <w:sz w:val="21"/>
                      <w:szCs w:val="21"/>
                      <w:vertAlign w:val="superscript"/>
                    </w:rPr>
                    <w:t>2</w:t>
                  </w:r>
                </w:p>
              </w:tc>
            </w:tr>
          </w:tbl>
          <w:p>
            <w:pPr>
              <w:pStyle w:val="11"/>
              <w:spacing w:before="0" w:after="0" w:line="240" w:lineRule="auto"/>
              <w:ind w:right="0" w:firstLine="0" w:firstLineChars="0"/>
              <w:rPr>
                <w:rFonts w:hint="default" w:ascii="Times New Roman" w:hAnsi="Times New Roman" w:eastAsia="宋体" w:cs="Times New Roman"/>
                <w:b w:val="0"/>
                <w:bCs w:val="0"/>
                <w:sz w:val="24"/>
                <w:szCs w:val="24"/>
                <w:lang w:val="en-US" w:eastAsia="zh-CN"/>
              </w:rPr>
            </w:pPr>
            <w:r>
              <w:rPr>
                <w:rFonts w:hint="eastAsia" w:ascii="Times New Roman" w:hAnsi="Times New Roman"/>
                <w:b w:val="0"/>
                <w:bCs w:val="0"/>
                <w:color w:val="000000"/>
                <w:sz w:val="21"/>
                <w:szCs w:val="21"/>
                <w:lang w:val="en-US" w:eastAsia="zh-CN"/>
              </w:rPr>
              <w:t>注：典型工件尺寸为1.5m*1.1m*0.9m，则喷涂面积为2*（1.5*1.1+1.5*0.9+1.1*0.9）=7.98m</w:t>
            </w:r>
            <w:r>
              <w:rPr>
                <w:rFonts w:hint="eastAsia" w:ascii="Times New Roman" w:hAnsi="Times New Roman"/>
                <w:b w:val="0"/>
                <w:bCs w:val="0"/>
                <w:color w:val="000000"/>
                <w:sz w:val="21"/>
                <w:szCs w:val="21"/>
                <w:vertAlign w:val="superscript"/>
                <w:lang w:val="en-US" w:eastAsia="zh-CN"/>
              </w:rPr>
              <w:t>2</w:t>
            </w:r>
            <w:r>
              <w:rPr>
                <w:rFonts w:hint="eastAsia" w:ascii="Times New Roman" w:hAnsi="Times New Roman"/>
                <w:b w:val="0"/>
                <w:bCs w:val="0"/>
                <w:color w:val="000000"/>
                <w:sz w:val="21"/>
                <w:szCs w:val="21"/>
                <w:lang w:val="en-US"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面漆用量采用以下公式计算：</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rPr>
              <w:drawing>
                <wp:inline distT="0" distB="0" distL="114300" distR="114300">
                  <wp:extent cx="2705100" cy="457200"/>
                  <wp:effectExtent l="0" t="0" r="0" b="0"/>
                  <wp:docPr id="2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6"/>
                          <pic:cNvPicPr>
                            <a:picLocks noChangeAspect="1"/>
                          </pic:cNvPicPr>
                        </pic:nvPicPr>
                        <pic:blipFill>
                          <a:blip r:embed="rId10"/>
                          <a:stretch>
                            <a:fillRect/>
                          </a:stretch>
                        </pic:blipFill>
                        <pic:spPr>
                          <a:xfrm>
                            <a:off x="0" y="0"/>
                            <a:ext cx="2705100" cy="457200"/>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其中：m—油漆总用量（t/a）；</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ρ—油漆密度（g/cm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δ—涂层厚度（μm）；</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S—涂装总面积（m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/年）；</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NV—油漆中的固体份（%）；</w:t>
            </w:r>
          </w:p>
          <w:p>
            <w:pPr>
              <w:keepNext w:val="0"/>
              <w:keepLines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val="0"/>
                <w:i w:val="0"/>
                <w:color w:val="000000"/>
                <w:sz w:val="24"/>
                <w:szCs w:val="24"/>
                <w:lang w:val="en-US"/>
              </w:rPr>
            </w:pPr>
            <w:r>
              <w:rPr>
                <w:rFonts w:hint="default" w:ascii="Times New Roman" w:hAnsi="Times New Roman" w:eastAsia="宋体" w:cs="Times New Roman"/>
                <w:color w:val="000000"/>
                <w:sz w:val="24"/>
                <w:szCs w:val="24"/>
                <w:lang w:val="en-US" w:eastAsia="zh-CN"/>
              </w:rPr>
              <w:t>ε—油漆上漆率。</w:t>
            </w:r>
          </w:p>
          <w:p>
            <w:pPr>
              <w:keepNext w:val="0"/>
              <w:keepLines w:val="0"/>
              <w:suppressLineNumbers w:val="0"/>
              <w:snapToGrid w:val="0"/>
              <w:spacing w:before="0" w:beforeAutospacing="0" w:after="0" w:afterAutospacing="0" w:line="240" w:lineRule="auto"/>
              <w:ind w:left="0" w:right="0" w:firstLine="482" w:firstLineChars="200"/>
              <w:jc w:val="cente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表</w:t>
            </w:r>
            <w:r>
              <w:rPr>
                <w:rFonts w:hint="eastAsia" w:ascii="Times New Roman" w:hAnsi="Times New Roman" w:cs="宋体"/>
                <w:b/>
                <w:bCs/>
                <w:color w:val="000000"/>
                <w:sz w:val="24"/>
                <w:szCs w:val="24"/>
                <w:lang w:val="en-US" w:eastAsia="zh-CN"/>
              </w:rPr>
              <w:t>2-9</w:t>
            </w:r>
            <w:r>
              <w:rPr>
                <w:rFonts w:hint="eastAsia" w:ascii="Times New Roman" w:hAnsi="Times New Roman" w:eastAsia="宋体" w:cs="宋体"/>
                <w:b/>
                <w:bCs/>
                <w:color w:val="000000"/>
                <w:sz w:val="24"/>
                <w:szCs w:val="24"/>
              </w:rPr>
              <w:t>本项目喷漆参数表</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80"/>
              <w:gridCol w:w="570"/>
              <w:gridCol w:w="1030"/>
              <w:gridCol w:w="960"/>
              <w:gridCol w:w="730"/>
              <w:gridCol w:w="930"/>
              <w:gridCol w:w="984"/>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45"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default" w:ascii="Times New Roman" w:hAnsi="Times New Roman" w:eastAsia="宋体" w:cs="Times New Roman"/>
                      <w:b/>
                      <w:bCs/>
                      <w:color w:val="000000"/>
                      <w:spacing w:val="14"/>
                      <w:kern w:val="0"/>
                      <w:sz w:val="21"/>
                      <w:szCs w:val="21"/>
                      <w:lang w:val="en-US" w:eastAsia="zh-CN" w:bidi="ar-SA"/>
                    </w:rPr>
                    <w:t>名称</w:t>
                  </w:r>
                </w:p>
              </w:tc>
              <w:tc>
                <w:tcPr>
                  <w:tcW w:w="575"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eastAsia="宋体" w:cs="Times New Roman"/>
                      <w:b/>
                      <w:bCs/>
                      <w:color w:val="000000"/>
                      <w:spacing w:val="14"/>
                      <w:kern w:val="0"/>
                      <w:sz w:val="21"/>
                      <w:szCs w:val="21"/>
                      <w:lang w:val="en-US" w:eastAsia="zh-CN" w:bidi="ar-SA"/>
                    </w:rPr>
                    <w:t>喷涂产品个数（套）</w:t>
                  </w:r>
                </w:p>
              </w:tc>
              <w:tc>
                <w:tcPr>
                  <w:tcW w:w="372"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eastAsia="宋体" w:cs="Times New Roman"/>
                      <w:b/>
                      <w:bCs/>
                      <w:color w:val="000000"/>
                      <w:spacing w:val="14"/>
                      <w:kern w:val="0"/>
                      <w:sz w:val="21"/>
                      <w:szCs w:val="21"/>
                      <w:lang w:val="en-US" w:eastAsia="zh-CN" w:bidi="ar-SA"/>
                    </w:rPr>
                    <w:t>涂料种类</w:t>
                  </w:r>
                </w:p>
              </w:tc>
              <w:tc>
                <w:tcPr>
                  <w:tcW w:w="673"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eastAsia="宋体" w:cs="Times New Roman"/>
                      <w:b/>
                      <w:bCs/>
                      <w:color w:val="000000"/>
                      <w:spacing w:val="14"/>
                      <w:kern w:val="0"/>
                      <w:sz w:val="21"/>
                      <w:szCs w:val="21"/>
                      <w:lang w:val="en-US" w:eastAsia="zh-CN" w:bidi="ar-SA"/>
                    </w:rPr>
                    <w:t>单位产品平均喷涂面积m</w:t>
                  </w:r>
                  <w:r>
                    <w:rPr>
                      <w:rFonts w:hint="eastAsia" w:ascii="Times New Roman" w:hAnsi="Times New Roman" w:eastAsia="宋体" w:cs="Times New Roman"/>
                      <w:b/>
                      <w:bCs/>
                      <w:color w:val="000000"/>
                      <w:spacing w:val="14"/>
                      <w:kern w:val="0"/>
                      <w:sz w:val="21"/>
                      <w:szCs w:val="21"/>
                      <w:vertAlign w:val="superscript"/>
                      <w:lang w:val="en-US" w:eastAsia="zh-CN" w:bidi="ar-SA"/>
                    </w:rPr>
                    <w:t>2</w:t>
                  </w:r>
                </w:p>
              </w:tc>
              <w:tc>
                <w:tcPr>
                  <w:tcW w:w="627"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cs="Times New Roman"/>
                      <w:b/>
                      <w:bCs/>
                      <w:color w:val="000000"/>
                      <w:spacing w:val="14"/>
                      <w:kern w:val="0"/>
                      <w:sz w:val="21"/>
                      <w:szCs w:val="21"/>
                      <w:lang w:val="en-US" w:eastAsia="zh-CN" w:bidi="ar-SA"/>
                    </w:rPr>
                    <w:t>涂层</w:t>
                  </w:r>
                  <w:r>
                    <w:rPr>
                      <w:rFonts w:hint="eastAsia" w:ascii="Times New Roman" w:hAnsi="Times New Roman" w:eastAsia="宋体" w:cs="Times New Roman"/>
                      <w:b/>
                      <w:bCs/>
                      <w:color w:val="000000"/>
                      <w:spacing w:val="14"/>
                      <w:kern w:val="0"/>
                      <w:sz w:val="21"/>
                      <w:szCs w:val="21"/>
                      <w:lang w:val="en-US" w:eastAsia="zh-CN" w:bidi="ar-SA"/>
                    </w:rPr>
                    <w:t>厚度（um）</w:t>
                  </w:r>
                </w:p>
              </w:tc>
              <w:tc>
                <w:tcPr>
                  <w:tcW w:w="477"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eastAsia="宋体" w:cs="Times New Roman"/>
                      <w:b/>
                      <w:bCs/>
                      <w:color w:val="000000"/>
                      <w:spacing w:val="14"/>
                      <w:kern w:val="0"/>
                      <w:sz w:val="21"/>
                      <w:szCs w:val="21"/>
                      <w:lang w:val="en-US" w:eastAsia="zh-CN" w:bidi="ar-SA"/>
                    </w:rPr>
                    <w:t>涂料密度（g/cm</w:t>
                  </w:r>
                  <w:r>
                    <w:rPr>
                      <w:rFonts w:hint="eastAsia" w:ascii="Times New Roman" w:hAnsi="Times New Roman" w:eastAsia="宋体" w:cs="Times New Roman"/>
                      <w:b/>
                      <w:bCs/>
                      <w:color w:val="000000"/>
                      <w:spacing w:val="14"/>
                      <w:kern w:val="0"/>
                      <w:sz w:val="21"/>
                      <w:szCs w:val="21"/>
                      <w:vertAlign w:val="superscript"/>
                      <w:lang w:val="en-US" w:eastAsia="zh-CN" w:bidi="ar-SA"/>
                    </w:rPr>
                    <w:t>3</w:t>
                  </w:r>
                  <w:r>
                    <w:rPr>
                      <w:rFonts w:hint="eastAsia" w:ascii="Times New Roman" w:hAnsi="Times New Roman" w:eastAsia="宋体" w:cs="Times New Roman"/>
                      <w:b/>
                      <w:bCs/>
                      <w:color w:val="000000"/>
                      <w:spacing w:val="14"/>
                      <w:kern w:val="0"/>
                      <w:sz w:val="21"/>
                      <w:szCs w:val="21"/>
                      <w:lang w:val="en-US" w:eastAsia="zh-CN" w:bidi="ar-SA"/>
                    </w:rPr>
                    <w:t>）</w:t>
                  </w:r>
                </w:p>
              </w:tc>
              <w:tc>
                <w:tcPr>
                  <w:tcW w:w="608"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cs="Times New Roman"/>
                      <w:b/>
                      <w:bCs/>
                      <w:color w:val="000000"/>
                      <w:spacing w:val="14"/>
                      <w:kern w:val="0"/>
                      <w:sz w:val="21"/>
                      <w:szCs w:val="21"/>
                      <w:lang w:val="en-US" w:eastAsia="zh-CN" w:bidi="ar-SA"/>
                    </w:rPr>
                    <w:t>固体份（%）</w:t>
                  </w:r>
                </w:p>
              </w:tc>
              <w:tc>
                <w:tcPr>
                  <w:tcW w:w="643" w:type="pct"/>
                  <w:tcBorders>
                    <w:tl2br w:val="nil"/>
                    <w:tr2bl w:val="nil"/>
                  </w:tcBorders>
                  <w:noWrap w:val="0"/>
                  <w:vAlign w:val="center"/>
                </w:tcPr>
                <w:p>
                  <w:pPr>
                    <w:pStyle w:val="13"/>
                    <w:adjustRightInd w:val="0"/>
                    <w:snapToGrid w:val="0"/>
                    <w:spacing w:line="240" w:lineRule="auto"/>
                    <w:jc w:val="center"/>
                    <w:rPr>
                      <w:rFonts w:hint="eastAsia"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eastAsia="宋体" w:cs="Times New Roman"/>
                      <w:b/>
                      <w:bCs/>
                      <w:color w:val="000000"/>
                      <w:spacing w:val="14"/>
                      <w:kern w:val="0"/>
                      <w:sz w:val="21"/>
                      <w:szCs w:val="21"/>
                      <w:lang w:val="en-US" w:eastAsia="zh-CN" w:bidi="ar-SA"/>
                    </w:rPr>
                    <w:t>附着率（%）</w:t>
                  </w:r>
                </w:p>
              </w:tc>
              <w:tc>
                <w:tcPr>
                  <w:tcW w:w="775" w:type="pct"/>
                  <w:tcBorders>
                    <w:tl2br w:val="nil"/>
                    <w:tr2bl w:val="nil"/>
                  </w:tcBorders>
                  <w:noWrap w:val="0"/>
                  <w:vAlign w:val="center"/>
                </w:tcPr>
                <w:p>
                  <w:pPr>
                    <w:pStyle w:val="13"/>
                    <w:adjustRightInd w:val="0"/>
                    <w:snapToGrid w:val="0"/>
                    <w:spacing w:line="240" w:lineRule="auto"/>
                    <w:jc w:val="center"/>
                    <w:rPr>
                      <w:rFonts w:hint="default" w:ascii="Times New Roman" w:hAnsi="Times New Roman" w:eastAsia="宋体" w:cs="Times New Roman"/>
                      <w:b/>
                      <w:bCs/>
                      <w:color w:val="000000"/>
                      <w:spacing w:val="14"/>
                      <w:kern w:val="0"/>
                      <w:sz w:val="21"/>
                      <w:szCs w:val="21"/>
                      <w:lang w:val="en-US" w:eastAsia="zh-CN" w:bidi="ar-SA"/>
                    </w:rPr>
                  </w:pPr>
                  <w:r>
                    <w:rPr>
                      <w:rFonts w:hint="eastAsia" w:ascii="Times New Roman" w:hAnsi="Times New Roman" w:eastAsia="宋体" w:cs="Times New Roman"/>
                      <w:b/>
                      <w:bCs/>
                      <w:color w:val="000000"/>
                      <w:spacing w:val="14"/>
                      <w:kern w:val="0"/>
                      <w:sz w:val="21"/>
                      <w:szCs w:val="21"/>
                      <w:lang w:val="en-US" w:eastAsia="zh-CN" w:bidi="ar-SA"/>
                    </w:rPr>
                    <w:t>年用量（t/a）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default" w:ascii="Times New Roman" w:hAnsi="Times New Roman" w:eastAsia="宋体" w:cs="Times New Roman"/>
                      <w:color w:val="000000"/>
                      <w:spacing w:val="14"/>
                      <w:kern w:val="0"/>
                      <w:sz w:val="21"/>
                      <w:szCs w:val="21"/>
                      <w:lang w:val="en-US" w:eastAsia="zh-CN" w:bidi="ar-SA"/>
                    </w:rPr>
                    <w:t>工件</w:t>
                  </w:r>
                </w:p>
              </w:tc>
              <w:tc>
                <w:tcPr>
                  <w:tcW w:w="57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eastAsia="宋体" w:cs="Times New Roman"/>
                      <w:color w:val="000000"/>
                      <w:spacing w:val="14"/>
                      <w:kern w:val="0"/>
                      <w:sz w:val="21"/>
                      <w:szCs w:val="21"/>
                      <w:lang w:val="en-US" w:eastAsia="zh-CN" w:bidi="ar-SA"/>
                    </w:rPr>
                    <w:t>5000</w:t>
                  </w:r>
                </w:p>
              </w:tc>
              <w:tc>
                <w:tcPr>
                  <w:tcW w:w="37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cs="Times New Roman"/>
                      <w:color w:val="000000"/>
                      <w:spacing w:val="14"/>
                      <w:kern w:val="0"/>
                      <w:sz w:val="21"/>
                      <w:szCs w:val="21"/>
                      <w:lang w:val="en-US" w:eastAsia="zh-CN" w:bidi="ar-SA"/>
                    </w:rPr>
                    <w:t>油漆</w:t>
                  </w:r>
                </w:p>
              </w:tc>
              <w:tc>
                <w:tcPr>
                  <w:tcW w:w="67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cs="Times New Roman"/>
                      <w:color w:val="000000"/>
                      <w:spacing w:val="14"/>
                      <w:kern w:val="0"/>
                      <w:sz w:val="21"/>
                      <w:szCs w:val="21"/>
                      <w:lang w:val="en-US" w:eastAsia="zh-CN" w:bidi="ar-SA"/>
                    </w:rPr>
                    <w:t>7.98</w:t>
                  </w:r>
                </w:p>
              </w:tc>
              <w:tc>
                <w:tcPr>
                  <w:tcW w:w="62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cs="Times New Roman"/>
                      <w:color w:val="000000"/>
                      <w:spacing w:val="14"/>
                      <w:kern w:val="0"/>
                      <w:sz w:val="21"/>
                      <w:szCs w:val="21"/>
                      <w:lang w:val="en-US" w:eastAsia="zh-CN" w:bidi="ar-SA"/>
                    </w:rPr>
                    <w:t>60</w:t>
                  </w:r>
                </w:p>
              </w:tc>
              <w:tc>
                <w:tcPr>
                  <w:tcW w:w="47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cs="Times New Roman"/>
                      <w:color w:val="000000"/>
                      <w:spacing w:val="14"/>
                      <w:kern w:val="0"/>
                      <w:sz w:val="21"/>
                      <w:szCs w:val="21"/>
                      <w:lang w:val="en-US" w:eastAsia="zh-CN" w:bidi="ar-SA"/>
                    </w:rPr>
                    <w:t>1.14</w:t>
                  </w:r>
                </w:p>
              </w:tc>
              <w:tc>
                <w:tcPr>
                  <w:tcW w:w="60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cs="Times New Roman"/>
                      <w:color w:val="000000"/>
                      <w:spacing w:val="14"/>
                      <w:kern w:val="0"/>
                      <w:sz w:val="21"/>
                      <w:szCs w:val="21"/>
                      <w:lang w:val="en-US" w:eastAsia="zh-CN" w:bidi="ar-SA"/>
                    </w:rPr>
                    <w:t>62.89</w:t>
                  </w:r>
                </w:p>
              </w:tc>
              <w:tc>
                <w:tcPr>
                  <w:tcW w:w="643"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000000"/>
                      <w:spacing w:val="14"/>
                      <w:kern w:val="0"/>
                      <w:sz w:val="21"/>
                      <w:szCs w:val="21"/>
                      <w:lang w:val="en-US" w:eastAsia="zh-CN" w:bidi="ar-SA"/>
                    </w:rPr>
                  </w:pPr>
                  <w:r>
                    <w:rPr>
                      <w:rFonts w:hint="eastAsia" w:ascii="Times New Roman" w:hAnsi="Times New Roman" w:eastAsia="宋体" w:cs="Times New Roman"/>
                      <w:color w:val="000000"/>
                      <w:spacing w:val="14"/>
                      <w:kern w:val="0"/>
                      <w:sz w:val="21"/>
                      <w:szCs w:val="21"/>
                      <w:lang w:val="en-US" w:eastAsia="zh-CN" w:bidi="ar-SA"/>
                    </w:rPr>
                    <w:t>70%</w:t>
                  </w:r>
                </w:p>
              </w:tc>
              <w:tc>
                <w:tcPr>
                  <w:tcW w:w="77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cs="Times New Roman"/>
                      <w:color w:val="000000"/>
                      <w:spacing w:val="14"/>
                      <w:kern w:val="0"/>
                      <w:sz w:val="21"/>
                      <w:szCs w:val="21"/>
                      <w:lang w:val="en-US" w:eastAsia="zh-CN" w:bidi="ar-SA"/>
                    </w:rPr>
                    <w:t>6.199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9"/>
                  <w:tcBorders>
                    <w:tl2br w:val="nil"/>
                    <w:tr2bl w:val="nil"/>
                  </w:tcBorders>
                  <w:noWrap w:val="0"/>
                  <w:vAlign w:val="center"/>
                </w:tcPr>
                <w:p>
                  <w:pPr>
                    <w:adjustRightInd w:val="0"/>
                    <w:snapToGrid w:val="0"/>
                    <w:spacing w:line="240" w:lineRule="auto"/>
                    <w:jc w:val="both"/>
                    <w:rPr>
                      <w:rFonts w:hint="default" w:ascii="Times New Roman" w:hAnsi="Times New Roman" w:eastAsia="宋体" w:cs="Times New Roman"/>
                      <w:color w:val="000000"/>
                      <w:spacing w:val="14"/>
                      <w:kern w:val="0"/>
                      <w:sz w:val="21"/>
                      <w:szCs w:val="21"/>
                      <w:lang w:val="en-US" w:eastAsia="zh-CN" w:bidi="ar-SA"/>
                    </w:rPr>
                  </w:pPr>
                  <w:r>
                    <w:rPr>
                      <w:rFonts w:hint="eastAsia" w:ascii="Times New Roman" w:hAnsi="Times New Roman" w:eastAsia="宋体" w:cs="Times New Roman"/>
                      <w:color w:val="000000"/>
                      <w:spacing w:val="14"/>
                      <w:kern w:val="0"/>
                      <w:sz w:val="21"/>
                      <w:szCs w:val="21"/>
                      <w:lang w:val="en-US" w:eastAsia="zh-CN" w:bidi="ar-SA"/>
                    </w:rPr>
                    <w:t>注：</w:t>
                  </w:r>
                  <w:r>
                    <w:rPr>
                      <w:rFonts w:hint="eastAsia" w:ascii="Times New Roman" w:hAnsi="Times New Roman" w:cs="Times New Roman"/>
                      <w:color w:val="000000"/>
                      <w:spacing w:val="14"/>
                      <w:kern w:val="0"/>
                      <w:sz w:val="21"/>
                      <w:szCs w:val="21"/>
                      <w:lang w:val="en-US" w:eastAsia="zh-CN" w:bidi="ar-SA"/>
                    </w:rPr>
                    <w:t>本项目施工状态下，面漆中油漆:稀释剂的比例为100:5.5，本项目面漆密度（配比后）为1.14g/cm</w:t>
                  </w:r>
                  <w:r>
                    <w:rPr>
                      <w:rFonts w:hint="eastAsia" w:ascii="Times New Roman" w:hAnsi="Times New Roman" w:cs="Times New Roman"/>
                      <w:color w:val="000000"/>
                      <w:spacing w:val="14"/>
                      <w:kern w:val="0"/>
                      <w:sz w:val="21"/>
                      <w:szCs w:val="21"/>
                      <w:vertAlign w:val="superscript"/>
                      <w:lang w:val="en-US" w:eastAsia="zh-CN" w:bidi="ar-SA"/>
                    </w:rPr>
                    <w:t>3</w:t>
                  </w:r>
                  <w:r>
                    <w:rPr>
                      <w:rFonts w:hint="eastAsia" w:ascii="Times New Roman" w:hAnsi="Times New Roman" w:cs="Times New Roman"/>
                      <w:color w:val="000000"/>
                      <w:spacing w:val="14"/>
                      <w:kern w:val="0"/>
                      <w:sz w:val="21"/>
                      <w:szCs w:val="21"/>
                      <w:lang w:val="en-US" w:eastAsia="zh-CN" w:bidi="ar-SA"/>
                    </w:rPr>
                    <w:t>，根据油漆VOCs检测报告，配比后油漆VOC含量为423g/L，则每升油漆中VOC含量为423g，每升油漆重量为1140g，则每升油漆中固分含量为1140-423=717g，因此本项目固分含量为717/1140=62.89%。</w:t>
                  </w:r>
                </w:p>
              </w:tc>
            </w:tr>
          </w:tbl>
          <w:p>
            <w:pPr>
              <w:pStyle w:val="13"/>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b/>
                <w:bCs/>
                <w:color w:val="000000"/>
                <w:sz w:val="24"/>
                <w:szCs w:val="24"/>
                <w:lang w:val="en-US" w:eastAsia="zh-CN" w:bidi="ar"/>
              </w:rPr>
            </w:pPr>
            <w:r>
              <w:rPr>
                <w:rFonts w:hint="eastAsia" w:ascii="Times New Roman" w:hAnsi="Times New Roman"/>
                <w:b/>
                <w:bCs/>
                <w:color w:val="000000"/>
                <w:sz w:val="24"/>
                <w:szCs w:val="24"/>
                <w:lang w:val="en-US" w:eastAsia="zh-CN" w:bidi="ar"/>
              </w:rPr>
              <w:t>喷漆、晾干时间估算</w:t>
            </w:r>
          </w:p>
          <w:p>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000000"/>
                <w:sz w:val="24"/>
                <w:szCs w:val="24"/>
                <w:lang w:val="en-US" w:eastAsia="zh-CN" w:bidi="ar"/>
              </w:rPr>
            </w:pPr>
            <w:r>
              <w:rPr>
                <w:rFonts w:hint="eastAsia" w:ascii="Times New Roman" w:hAnsi="Times New Roman"/>
                <w:color w:val="000000"/>
                <w:sz w:val="24"/>
                <w:szCs w:val="24"/>
                <w:lang w:bidi="ar"/>
              </w:rPr>
              <w:t>本项目设置1个喷漆房，漆房内设置</w:t>
            </w:r>
            <w:r>
              <w:rPr>
                <w:rFonts w:hint="eastAsia" w:ascii="Times New Roman" w:hAnsi="Times New Roman"/>
                <w:color w:val="000000"/>
                <w:sz w:val="24"/>
                <w:szCs w:val="24"/>
                <w:lang w:val="en-US" w:eastAsia="zh-CN" w:bidi="ar"/>
              </w:rPr>
              <w:t>1个喷枪，喷嘴口径为1.2mm，喷枪与工件距离约为15～20cm，流速最大为90g/min，本项目油漆（配比后）用量为6.199t/a（油漆5.876t/a、稀释剂0.323t/a）。经计算，本项目喷涂时间约1148h/a，建设单位每天喷涂后晾干时间大约为4h/次，晾干时间即1200h/a。</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喷枪清洗用稀释剂核算：</w:t>
            </w:r>
          </w:p>
          <w:p>
            <w:pPr>
              <w:pStyle w:val="11"/>
              <w:spacing w:before="0" w:after="0" w:line="360" w:lineRule="auto"/>
              <w:ind w:right="0" w:firstLine="480" w:firstLineChars="200"/>
              <w:rPr>
                <w:rFonts w:hint="default" w:ascii="Times New Roman" w:hAnsi="Times New Roman" w:cs="Times New Roman"/>
                <w:b/>
                <w:bCs/>
                <w:sz w:val="24"/>
                <w:szCs w:val="24"/>
              </w:rPr>
            </w:pPr>
            <w:r>
              <w:rPr>
                <w:rFonts w:hint="default" w:ascii="Times New Roman" w:hAnsi="Times New Roman" w:eastAsia="宋体" w:cs="宋体"/>
                <w:sz w:val="24"/>
                <w:szCs w:val="24"/>
              </w:rPr>
              <w:t>根据建设单位提供的资料，项目每天喷涂完成后均需对</w:t>
            </w:r>
            <w:r>
              <w:rPr>
                <w:rFonts w:hint="eastAsia" w:ascii="Times New Roman" w:hAnsi="Times New Roman" w:eastAsia="宋体" w:cs="宋体"/>
                <w:sz w:val="24"/>
                <w:szCs w:val="24"/>
                <w:lang w:val="en-US" w:eastAsia="zh-CN"/>
              </w:rPr>
              <w:t>1</w:t>
            </w:r>
            <w:r>
              <w:rPr>
                <w:rFonts w:hint="default" w:ascii="Times New Roman" w:hAnsi="Times New Roman" w:eastAsia="宋体" w:cs="宋体"/>
                <w:sz w:val="24"/>
                <w:szCs w:val="24"/>
              </w:rPr>
              <w:t>个油性喷枪进行清洗， 喷枪清洗在喷漆房内进行，将</w:t>
            </w:r>
            <w:r>
              <w:rPr>
                <w:rFonts w:hint="eastAsia" w:ascii="Times New Roman" w:hAnsi="Times New Roman" w:eastAsia="宋体" w:cs="宋体"/>
                <w:sz w:val="24"/>
                <w:szCs w:val="24"/>
                <w:lang w:val="en-US" w:eastAsia="zh-CN"/>
              </w:rPr>
              <w:t>稀释剂</w:t>
            </w:r>
            <w:r>
              <w:rPr>
                <w:rFonts w:hint="default" w:ascii="Times New Roman" w:hAnsi="Times New Roman" w:eastAsia="宋体" w:cs="宋体"/>
                <w:sz w:val="24"/>
                <w:szCs w:val="24"/>
              </w:rPr>
              <w:t>接入喷枪，由喷枪喷出</w:t>
            </w:r>
            <w:r>
              <w:rPr>
                <w:rFonts w:hint="eastAsia" w:ascii="Times New Roman" w:hAnsi="Times New Roman" w:eastAsia="宋体" w:cs="宋体"/>
                <w:sz w:val="24"/>
                <w:szCs w:val="24"/>
                <w:lang w:val="en-US" w:eastAsia="zh-CN"/>
              </w:rPr>
              <w:t>稀释剂</w:t>
            </w:r>
            <w:r>
              <w:rPr>
                <w:rFonts w:hint="default" w:ascii="Times New Roman" w:hAnsi="Times New Roman" w:eastAsia="宋体" w:cs="宋体"/>
                <w:sz w:val="24"/>
                <w:szCs w:val="24"/>
              </w:rPr>
              <w:t>，以</w:t>
            </w:r>
            <w:r>
              <w:rPr>
                <w:rFonts w:hint="eastAsia" w:ascii="Times New Roman" w:hAnsi="Times New Roman" w:eastAsia="宋体" w:cs="宋体"/>
                <w:sz w:val="24"/>
                <w:szCs w:val="24"/>
                <w:lang w:val="en-US" w:eastAsia="zh-CN"/>
              </w:rPr>
              <w:t>5</w:t>
            </w:r>
            <w:r>
              <w:rPr>
                <w:rFonts w:hint="default" w:ascii="Times New Roman" w:hAnsi="Times New Roman" w:eastAsia="宋体" w:cs="宋体"/>
                <w:sz w:val="24"/>
                <w:szCs w:val="24"/>
              </w:rPr>
              <w:t>mL/min喷速清洗，每天总清洗时长</w:t>
            </w:r>
            <w:r>
              <w:rPr>
                <w:rFonts w:hint="eastAsia" w:ascii="Times New Roman" w:hAnsi="Times New Roman" w:eastAsia="宋体" w:cs="宋体"/>
                <w:sz w:val="24"/>
                <w:szCs w:val="24"/>
                <w:lang w:val="en-US" w:eastAsia="zh-CN"/>
              </w:rPr>
              <w:t>5</w:t>
            </w:r>
            <w:r>
              <w:rPr>
                <w:rFonts w:hint="default" w:ascii="Times New Roman" w:hAnsi="Times New Roman" w:eastAsia="宋体" w:cs="宋体"/>
                <w:sz w:val="24"/>
                <w:szCs w:val="24"/>
              </w:rPr>
              <w:t>min，则年用</w:t>
            </w:r>
            <w:r>
              <w:rPr>
                <w:rFonts w:hint="eastAsia" w:ascii="Times New Roman" w:hAnsi="Times New Roman" w:eastAsia="宋体" w:cs="宋体"/>
                <w:sz w:val="24"/>
                <w:szCs w:val="24"/>
                <w:lang w:val="en-US" w:eastAsia="zh-CN"/>
              </w:rPr>
              <w:t>稀释剂7500</w:t>
            </w:r>
            <w:r>
              <w:rPr>
                <w:rFonts w:hint="default" w:ascii="Times New Roman" w:hAnsi="Times New Roman" w:eastAsia="宋体" w:cs="宋体"/>
                <w:sz w:val="24"/>
                <w:szCs w:val="24"/>
              </w:rPr>
              <w:t>mL （</w:t>
            </w:r>
            <w:r>
              <w:rPr>
                <w:rFonts w:hint="eastAsia" w:ascii="Times New Roman" w:hAnsi="Times New Roman" w:eastAsia="宋体" w:cs="宋体"/>
                <w:sz w:val="24"/>
                <w:szCs w:val="24"/>
                <w:lang w:val="en-US" w:eastAsia="zh-CN"/>
              </w:rPr>
              <w:t>1</w:t>
            </w:r>
            <w:r>
              <w:rPr>
                <w:rFonts w:hint="default" w:ascii="Times New Roman" w:hAnsi="Times New Roman" w:eastAsia="宋体" w:cs="宋体"/>
                <w:sz w:val="24"/>
                <w:szCs w:val="24"/>
              </w:rPr>
              <w:t>×</w:t>
            </w:r>
            <w:r>
              <w:rPr>
                <w:rFonts w:hint="eastAsia" w:ascii="Times New Roman" w:hAnsi="Times New Roman" w:eastAsia="宋体" w:cs="宋体"/>
                <w:sz w:val="24"/>
                <w:szCs w:val="24"/>
                <w:lang w:val="en-US" w:eastAsia="zh-CN"/>
              </w:rPr>
              <w:t>5</w:t>
            </w:r>
            <w:r>
              <w:rPr>
                <w:rFonts w:hint="default" w:ascii="Times New Roman" w:hAnsi="Times New Roman" w:eastAsia="宋体" w:cs="宋体"/>
                <w:sz w:val="24"/>
                <w:szCs w:val="24"/>
              </w:rPr>
              <w:t>mL/min×</w:t>
            </w:r>
            <w:r>
              <w:rPr>
                <w:rFonts w:hint="eastAsia" w:ascii="Times New Roman" w:hAnsi="Times New Roman" w:eastAsia="宋体" w:cs="宋体"/>
                <w:sz w:val="24"/>
                <w:szCs w:val="24"/>
                <w:lang w:val="en-US" w:eastAsia="zh-CN"/>
              </w:rPr>
              <w:t>5</w:t>
            </w:r>
            <w:r>
              <w:rPr>
                <w:rFonts w:hint="default" w:ascii="Times New Roman" w:hAnsi="Times New Roman" w:eastAsia="宋体" w:cs="宋体"/>
                <w:sz w:val="24"/>
                <w:szCs w:val="24"/>
              </w:rPr>
              <w:t>min×300d=</w:t>
            </w:r>
            <w:r>
              <w:rPr>
                <w:rFonts w:hint="eastAsia" w:ascii="Times New Roman" w:hAnsi="Times New Roman" w:eastAsia="宋体" w:cs="宋体"/>
                <w:sz w:val="24"/>
                <w:szCs w:val="24"/>
                <w:lang w:val="en-US" w:eastAsia="zh-CN"/>
              </w:rPr>
              <w:t>7500</w:t>
            </w:r>
            <w:r>
              <w:rPr>
                <w:rFonts w:hint="default" w:ascii="Times New Roman" w:hAnsi="Times New Roman" w:eastAsia="宋体" w:cs="宋体"/>
                <w:sz w:val="24"/>
                <w:szCs w:val="24"/>
              </w:rPr>
              <w:t>mL/a）。根据MSDS报告，</w:t>
            </w:r>
            <w:r>
              <w:rPr>
                <w:rFonts w:hint="eastAsia" w:ascii="Times New Roman" w:hAnsi="Times New Roman" w:eastAsia="宋体" w:cs="宋体"/>
                <w:sz w:val="24"/>
                <w:szCs w:val="24"/>
                <w:lang w:val="en-US" w:eastAsia="zh-CN"/>
              </w:rPr>
              <w:t>稀释剂</w:t>
            </w:r>
            <w:r>
              <w:rPr>
                <w:rFonts w:hint="default" w:ascii="Times New Roman" w:hAnsi="Times New Roman" w:eastAsia="宋体" w:cs="宋体"/>
                <w:sz w:val="24"/>
                <w:szCs w:val="24"/>
              </w:rPr>
              <w:t>的相对密度</w:t>
            </w:r>
            <w:r>
              <w:rPr>
                <w:rFonts w:hint="eastAsia" w:ascii="Times New Roman" w:hAnsi="Times New Roman" w:eastAsia="宋体" w:cs="宋体"/>
                <w:sz w:val="24"/>
                <w:szCs w:val="24"/>
                <w:lang w:val="en-US" w:eastAsia="zh-CN"/>
              </w:rPr>
              <w:t>0.88</w:t>
            </w:r>
            <w:r>
              <w:rPr>
                <w:rFonts w:hint="default" w:ascii="Times New Roman" w:hAnsi="Times New Roman" w:eastAsia="宋体" w:cs="宋体"/>
                <w:sz w:val="24"/>
                <w:szCs w:val="24"/>
              </w:rPr>
              <w:t>g/cm</w:t>
            </w:r>
            <w:r>
              <w:rPr>
                <w:rFonts w:hint="default" w:ascii="Times New Roman" w:hAnsi="Times New Roman" w:eastAsia="宋体" w:cs="宋体"/>
                <w:sz w:val="24"/>
                <w:szCs w:val="24"/>
                <w:vertAlign w:val="superscript"/>
              </w:rPr>
              <w:t>3</w:t>
            </w:r>
            <w:r>
              <w:rPr>
                <w:rFonts w:hint="default" w:ascii="Times New Roman" w:hAnsi="Times New Roman" w:eastAsia="宋体" w:cs="宋体"/>
                <w:sz w:val="24"/>
                <w:szCs w:val="24"/>
              </w:rPr>
              <w:t>，故项目</w:t>
            </w:r>
            <w:r>
              <w:rPr>
                <w:rFonts w:hint="eastAsia" w:ascii="Times New Roman" w:hAnsi="Times New Roman" w:eastAsia="宋体" w:cs="宋体"/>
                <w:sz w:val="24"/>
                <w:szCs w:val="24"/>
                <w:lang w:val="en-US" w:eastAsia="zh-CN"/>
              </w:rPr>
              <w:t>喷枪头清洗年使用稀释剂</w:t>
            </w:r>
            <w:r>
              <w:rPr>
                <w:rFonts w:hint="default" w:ascii="Times New Roman" w:hAnsi="Times New Roman" w:eastAsia="宋体" w:cs="宋体"/>
                <w:sz w:val="24"/>
                <w:szCs w:val="24"/>
              </w:rPr>
              <w:t>量为</w:t>
            </w:r>
            <w:r>
              <w:rPr>
                <w:rFonts w:hint="eastAsia" w:ascii="Times New Roman" w:hAnsi="Times New Roman" w:eastAsia="宋体" w:cs="宋体"/>
                <w:sz w:val="24"/>
                <w:szCs w:val="24"/>
                <w:lang w:val="en-US" w:eastAsia="zh-CN"/>
              </w:rPr>
              <w:t>0.0066</w:t>
            </w:r>
            <w:r>
              <w:rPr>
                <w:rFonts w:hint="default" w:ascii="Times New Roman" w:hAnsi="Times New Roman" w:eastAsia="宋体" w:cs="宋体"/>
                <w:sz w:val="24"/>
                <w:szCs w:val="24"/>
              </w:rPr>
              <w:t>t/a，由于挥发、损耗，本项目</w:t>
            </w:r>
            <w:r>
              <w:rPr>
                <w:rFonts w:hint="eastAsia" w:ascii="Times New Roman" w:hAnsi="Times New Roman" w:eastAsia="宋体" w:cs="宋体"/>
                <w:sz w:val="24"/>
                <w:szCs w:val="24"/>
                <w:lang w:eastAsia="zh-CN"/>
              </w:rPr>
              <w:t>清洗过程</w:t>
            </w:r>
            <w:r>
              <w:rPr>
                <w:rFonts w:hint="eastAsia" w:ascii="Times New Roman" w:hAnsi="Times New Roman" w:eastAsia="宋体" w:cs="宋体"/>
                <w:sz w:val="24"/>
                <w:szCs w:val="24"/>
                <w:lang w:val="en-US" w:eastAsia="zh-CN"/>
              </w:rPr>
              <w:t>30%的稀释剂挥发，70%的稀释剂为喷枪头清洗废液，作危废处置，委托有资质单位处置</w:t>
            </w:r>
            <w:r>
              <w:rPr>
                <w:rFonts w:hint="eastAsia" w:ascii="Times New Roman" w:hAnsi="Times New Roman" w:eastAsia="宋体" w:cs="宋体"/>
                <w:sz w:val="24"/>
                <w:szCs w:val="24"/>
                <w:lang w:eastAsia="zh-CN"/>
              </w:rPr>
              <w:t>。</w:t>
            </w:r>
          </w:p>
          <w:p>
            <w:pPr>
              <w:pStyle w:val="11"/>
              <w:spacing w:before="0" w:after="0" w:line="360" w:lineRule="auto"/>
              <w:ind w:right="0" w:firstLine="482" w:firstLineChars="200"/>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用塑粉量核算：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auto"/>
                <w:kern w:val="0"/>
                <w:sz w:val="24"/>
                <w:szCs w:val="24"/>
              </w:rPr>
            </w:pPr>
            <w:r>
              <w:rPr>
                <w:rFonts w:hint="eastAsia" w:ascii="Times New Roman" w:hAnsi="Times New Roman"/>
                <w:color w:val="auto"/>
                <w:kern w:val="0"/>
                <w:sz w:val="24"/>
                <w:szCs w:val="24"/>
              </w:rPr>
              <w:t>依据喷涂行业对粉末涂料使用量的计算方法：单位产品喷涂量计算公式参考油漆用量计算公式，并考虑到项目未附着粉末经回收装置收集后回用，则本项目单位产品粉末涂料喷涂量计算公式按下式：</w:t>
            </w:r>
          </w:p>
          <w:p>
            <w:pPr>
              <w:pStyle w:val="48"/>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lang w:val="en-US" w:eastAsia="zh-CN"/>
              </w:rPr>
              <w:t>Q=（A</w:t>
            </w:r>
            <w:r>
              <w:rPr>
                <w:rFonts w:hint="default" w:ascii="Arial" w:hAnsi="Arial" w:eastAsia="宋体" w:cs="Arial"/>
                <w:color w:val="auto"/>
                <w:sz w:val="24"/>
                <w:szCs w:val="24"/>
                <w:lang w:val="en-US" w:eastAsia="zh-CN"/>
              </w:rPr>
              <w:t>×</w:t>
            </w:r>
            <w:r>
              <w:rPr>
                <w:rFonts w:hint="eastAsia" w:ascii="Times New Roman" w:hAnsi="Times New Roman" w:eastAsia="宋体"/>
                <w:color w:val="auto"/>
                <w:sz w:val="24"/>
                <w:szCs w:val="24"/>
                <w:lang w:val="en-US" w:eastAsia="zh-CN"/>
              </w:rPr>
              <w:t>D</w:t>
            </w:r>
            <w:r>
              <w:rPr>
                <w:rFonts w:hint="default" w:ascii="Arial" w:hAnsi="Arial" w:eastAsia="宋体" w:cs="Arial"/>
                <w:color w:val="auto"/>
                <w:sz w:val="24"/>
                <w:szCs w:val="24"/>
                <w:lang w:val="en-US" w:eastAsia="zh-CN"/>
              </w:rPr>
              <w:t>×</w:t>
            </w:r>
            <w:r>
              <w:rPr>
                <w:rFonts w:hint="default" w:ascii="Times New Roman" w:hAnsi="Times New Roman" w:eastAsia="宋体" w:cs="Times New Roman"/>
                <w:color w:val="auto"/>
                <w:sz w:val="24"/>
                <w:szCs w:val="24"/>
                <w:lang w:val="en-US" w:eastAsia="zh-CN"/>
              </w:rPr>
              <w:t>ρ</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-6</w:t>
            </w:r>
            <w:r>
              <w:rPr>
                <w:rFonts w:hint="eastAsia" w:ascii="Times New Roman" w:hAnsi="Times New Roman" w:eastAsia="宋体"/>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olor w:val="auto"/>
                <w:sz w:val="24"/>
                <w:szCs w:val="24"/>
                <w:lang w:val="en-US" w:eastAsia="zh-CN"/>
              </w:rPr>
              <w:t>（</w:t>
            </w:r>
            <w:r>
              <w:rPr>
                <w:rFonts w:hint="eastAsia" w:ascii="Times New Roman" w:hAnsi="Times New Roman" w:eastAsia="宋体" w:cs="Times New Roman"/>
                <w:color w:val="auto"/>
                <w:sz w:val="24"/>
                <w:szCs w:val="24"/>
                <w:lang w:val="en-US" w:eastAsia="zh-CN"/>
              </w:rPr>
              <w:t>B</w:t>
            </w:r>
            <w:r>
              <w:rPr>
                <w:rFonts w:hint="default" w:ascii="Arial" w:hAnsi="Arial" w:eastAsia="宋体" w:cs="Arial"/>
                <w:color w:val="auto"/>
                <w:sz w:val="24"/>
                <w:szCs w:val="24"/>
                <w:lang w:val="en-US" w:eastAsia="zh-CN"/>
              </w:rPr>
              <w:t>×</w:t>
            </w:r>
            <w:r>
              <w:rPr>
                <w:rFonts w:hint="default" w:ascii="Times New Roman" w:hAnsi="Times New Roman" w:eastAsia="宋体" w:cs="Times New Roman"/>
                <w:color w:val="auto"/>
                <w:sz w:val="24"/>
                <w:szCs w:val="24"/>
                <w:lang w:val="en-US" w:eastAsia="zh-CN"/>
              </w:rPr>
              <w:t>λ</w:t>
            </w:r>
            <w:r>
              <w:rPr>
                <w:rFonts w:hint="eastAsia" w:ascii="Times New Roman" w:hAnsi="Times New Roman" w:eastAsia="宋体"/>
                <w:color w:val="auto"/>
                <w:sz w:val="24"/>
                <w:szCs w:val="24"/>
                <w:lang w:val="en-US" w:eastAsia="zh-CN"/>
              </w:rPr>
              <w:t>）</w:t>
            </w:r>
          </w:p>
          <w:p>
            <w:pPr>
              <w:pStyle w:val="48"/>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式中：Q--用量，t；</w:t>
            </w:r>
          </w:p>
          <w:p>
            <w:pPr>
              <w:pStyle w:val="4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A--工件涂装面积，m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vertAlign w:val="baseline"/>
                <w:lang w:val="en-US" w:eastAsia="zh-CN"/>
              </w:rPr>
              <w:t>；</w:t>
            </w:r>
          </w:p>
          <w:p>
            <w:pPr>
              <w:pStyle w:val="48"/>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涂层</w:t>
            </w:r>
            <w:r>
              <w:rPr>
                <w:rFonts w:hint="default" w:ascii="Times New Roman" w:hAnsi="Times New Roman" w:eastAsia="宋体" w:cs="Times New Roman"/>
                <w:color w:val="auto"/>
                <w:sz w:val="24"/>
                <w:szCs w:val="24"/>
                <w:lang w:val="en-US" w:eastAsia="zh-CN"/>
              </w:rPr>
              <w:t>厚度，</w:t>
            </w:r>
            <w:r>
              <w:rPr>
                <w:rFonts w:hint="default" w:ascii="Times New Roman" w:hAnsi="Times New Roman" w:eastAsia="宋体" w:cs="Times New Roman"/>
                <w:color w:val="auto"/>
                <w:sz w:val="24"/>
                <w:szCs w:val="24"/>
                <w:vertAlign w:val="baseline"/>
                <w:lang w:val="en-US" w:eastAsia="zh-CN"/>
              </w:rPr>
              <w:t>μm；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ρ--塑粉密度，</w:t>
            </w:r>
            <w:r>
              <w:rPr>
                <w:rFonts w:hint="default" w:ascii="Times New Roman" w:hAnsi="Times New Roman" w:eastAsia="宋体" w:cs="Times New Roman"/>
                <w:color w:val="auto"/>
                <w:sz w:val="24"/>
                <w:szCs w:val="24"/>
                <w:vertAlign w:val="baseline"/>
                <w:lang w:val="en-US" w:eastAsia="zh-CN"/>
              </w:rPr>
              <w:t>g/cm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-塑粉的固含量，%；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eastAsia="宋体"/>
                <w:color w:val="auto"/>
                <w:sz w:val="24"/>
                <w:szCs w:val="24"/>
                <w:lang w:val="en-US" w:eastAsia="zh-CN"/>
              </w:rPr>
            </w:pPr>
            <w:r>
              <w:rPr>
                <w:rFonts w:hint="default" w:ascii="Times New Roman" w:hAnsi="Times New Roman" w:eastAsia="宋体" w:cs="Times New Roman"/>
                <w:color w:val="auto"/>
                <w:sz w:val="24"/>
                <w:szCs w:val="24"/>
                <w:lang w:val="en-US" w:eastAsia="zh-CN"/>
              </w:rPr>
              <w:t>λ</w:t>
            </w:r>
            <w:r>
              <w:rPr>
                <w:rFonts w:hint="default" w:ascii="Times New Roman" w:hAnsi="Times New Roman" w:cs="Times New Roman"/>
                <w:color w:val="auto"/>
                <w:sz w:val="24"/>
                <w:szCs w:val="24"/>
                <w:lang w:val="en-US" w:eastAsia="zh-CN"/>
              </w:rPr>
              <w:t>--喷涂利用率，%。</w:t>
            </w:r>
          </w:p>
          <w:p>
            <w:pPr>
              <w:keepNext w:val="0"/>
              <w:keepLines w:val="0"/>
              <w:suppressLineNumbers w:val="0"/>
              <w:snapToGrid w:val="0"/>
              <w:spacing w:before="0" w:beforeAutospacing="0" w:after="0" w:afterAutospacing="0" w:line="240" w:lineRule="auto"/>
              <w:ind w:left="0" w:right="0" w:firstLine="482" w:firstLineChars="200"/>
              <w:jc w:val="center"/>
              <w:rPr>
                <w:rFonts w:hint="default" w:ascii="Times New Roman" w:hAnsi="Times New Roman" w:eastAsia="宋体" w:cs="宋体"/>
                <w:b/>
                <w:bCs/>
                <w:color w:val="000000"/>
                <w:sz w:val="24"/>
                <w:szCs w:val="24"/>
              </w:rPr>
            </w:pPr>
            <w:r>
              <w:rPr>
                <w:rFonts w:hint="default" w:ascii="Times New Roman" w:hAnsi="Times New Roman" w:eastAsia="宋体" w:cs="宋体"/>
                <w:b/>
                <w:bCs/>
                <w:color w:val="000000"/>
                <w:sz w:val="24"/>
                <w:szCs w:val="24"/>
              </w:rPr>
              <w:t>表</w:t>
            </w:r>
            <w:r>
              <w:rPr>
                <w:rFonts w:hint="eastAsia" w:ascii="Times New Roman" w:hAnsi="Times New Roman" w:cs="宋体"/>
                <w:b/>
                <w:bCs/>
                <w:color w:val="000000"/>
                <w:sz w:val="24"/>
                <w:szCs w:val="24"/>
                <w:lang w:val="en-US" w:eastAsia="zh-CN"/>
              </w:rPr>
              <w:t>2-10</w:t>
            </w:r>
            <w:r>
              <w:rPr>
                <w:rFonts w:hint="default" w:ascii="Times New Roman" w:hAnsi="Times New Roman" w:eastAsia="宋体" w:cs="宋体"/>
                <w:b/>
                <w:bCs/>
                <w:color w:val="000000"/>
                <w:sz w:val="24"/>
                <w:szCs w:val="24"/>
              </w:rPr>
              <w:t xml:space="preserve"> 工件涂装面积一览表</w:t>
            </w:r>
          </w:p>
          <w:tbl>
            <w:tblPr>
              <w:tblStyle w:val="26"/>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425"/>
              <w:gridCol w:w="1425"/>
              <w:gridCol w:w="1425"/>
              <w:gridCol w:w="1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6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lang w:val="en-US" w:eastAsia="zh-CN"/>
                    </w:rPr>
                  </w:pPr>
                  <w:r>
                    <w:rPr>
                      <w:rFonts w:hint="default" w:ascii="Times New Roman" w:hAnsi="Times New Roman"/>
                      <w:b/>
                      <w:bCs/>
                      <w:color w:val="auto"/>
                      <w:sz w:val="21"/>
                      <w:szCs w:val="21"/>
                      <w:lang w:val="en-US" w:eastAsia="zh-CN"/>
                    </w:rPr>
                    <w:t>货种</w:t>
                  </w:r>
                </w:p>
              </w:tc>
              <w:tc>
                <w:tcPr>
                  <w:tcW w:w="93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用量（t/a）</w:t>
                  </w:r>
                </w:p>
              </w:tc>
              <w:tc>
                <w:tcPr>
                  <w:tcW w:w="93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厚度（mm）</w:t>
                  </w:r>
                </w:p>
              </w:tc>
              <w:tc>
                <w:tcPr>
                  <w:tcW w:w="93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密度（t/m</w:t>
                  </w:r>
                  <w:r>
                    <w:rPr>
                      <w:rFonts w:hint="eastAsia" w:ascii="Times New Roman" w:hAnsi="Times New Roman"/>
                      <w:b/>
                      <w:bCs/>
                      <w:color w:val="auto"/>
                      <w:sz w:val="21"/>
                      <w:szCs w:val="21"/>
                      <w:vertAlign w:val="superscript"/>
                      <w:lang w:val="en-US" w:eastAsia="zh-CN"/>
                    </w:rPr>
                    <w:t>3</w:t>
                  </w:r>
                  <w:r>
                    <w:rPr>
                      <w:rFonts w:hint="eastAsia" w:ascii="Times New Roman" w:hAnsi="Times New Roman"/>
                      <w:b/>
                      <w:bCs/>
                      <w:color w:val="auto"/>
                      <w:sz w:val="21"/>
                      <w:szCs w:val="21"/>
                      <w:lang w:val="en-US" w:eastAsia="zh-CN"/>
                    </w:rPr>
                    <w:t>）</w:t>
                  </w:r>
                </w:p>
              </w:tc>
              <w:tc>
                <w:tcPr>
                  <w:tcW w:w="123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喷涂总</w:t>
                  </w:r>
                  <w:r>
                    <w:rPr>
                      <w:rFonts w:hint="default" w:ascii="Times New Roman" w:hAnsi="Times New Roman"/>
                      <w:b/>
                      <w:bCs/>
                      <w:color w:val="auto"/>
                      <w:sz w:val="21"/>
                      <w:szCs w:val="21"/>
                      <w:lang w:val="en-US" w:eastAsia="zh-CN"/>
                    </w:rPr>
                    <w:t>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6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板件</w:t>
                  </w:r>
                </w:p>
              </w:tc>
              <w:tc>
                <w:tcPr>
                  <w:tcW w:w="93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1000</w:t>
                  </w:r>
                </w:p>
              </w:tc>
              <w:tc>
                <w:tcPr>
                  <w:tcW w:w="93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6.5</w:t>
                  </w:r>
                </w:p>
              </w:tc>
              <w:tc>
                <w:tcPr>
                  <w:tcW w:w="93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7.85</w:t>
                  </w:r>
                </w:p>
              </w:tc>
              <w:tc>
                <w:tcPr>
                  <w:tcW w:w="123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19598</w:t>
                  </w:r>
                  <w:r>
                    <w:rPr>
                      <w:rFonts w:hint="default" w:ascii="Times New Roman" w:hAnsi="Times New Roman"/>
                      <w:color w:val="auto"/>
                      <w:sz w:val="21"/>
                      <w:szCs w:val="21"/>
                      <w:lang w:val="en-US" w:eastAsia="zh-CN"/>
                    </w:rPr>
                    <w:t>m</w:t>
                  </w:r>
                  <w:r>
                    <w:rPr>
                      <w:rFonts w:hint="default" w:ascii="Times New Roman" w:hAnsi="Times New Roman"/>
                      <w:color w:val="auto"/>
                      <w:sz w:val="21"/>
                      <w:szCs w:val="21"/>
                      <w:vertAlign w:val="superscript"/>
                      <w:lang w:val="en-US" w:eastAsia="zh-CN"/>
                    </w:rPr>
                    <w:t>2</w:t>
                  </w:r>
                </w:p>
              </w:tc>
            </w:tr>
          </w:tbl>
          <w:p>
            <w:pPr>
              <w:keepNext w:val="0"/>
              <w:keepLines w:val="0"/>
              <w:suppressLineNumbers w:val="0"/>
              <w:snapToGrid w:val="0"/>
              <w:spacing w:before="0" w:beforeAutospacing="0" w:after="0" w:afterAutospacing="0" w:line="240" w:lineRule="auto"/>
              <w:ind w:left="0" w:right="0" w:firstLine="482" w:firstLineChars="200"/>
              <w:jc w:val="center"/>
              <w:rPr>
                <w:rFonts w:hint="default" w:ascii="Times New Roman" w:hAnsi="Times New Roman" w:eastAsia="宋体" w:cs="宋体"/>
                <w:b/>
                <w:bCs/>
                <w:color w:val="000000"/>
                <w:sz w:val="24"/>
                <w:szCs w:val="24"/>
              </w:rPr>
            </w:pPr>
            <w:r>
              <w:rPr>
                <w:rFonts w:hint="default" w:ascii="Times New Roman" w:hAnsi="Times New Roman" w:eastAsia="宋体" w:cs="宋体"/>
                <w:b/>
                <w:bCs/>
                <w:color w:val="000000"/>
                <w:sz w:val="24"/>
                <w:szCs w:val="24"/>
              </w:rPr>
              <w:t>表</w:t>
            </w:r>
            <w:r>
              <w:rPr>
                <w:rFonts w:hint="eastAsia" w:ascii="Times New Roman" w:hAnsi="Times New Roman" w:cs="宋体"/>
                <w:b/>
                <w:bCs/>
                <w:color w:val="000000"/>
                <w:sz w:val="24"/>
                <w:szCs w:val="24"/>
                <w:lang w:val="en-US" w:eastAsia="zh-CN"/>
              </w:rPr>
              <w:t>2-11</w:t>
            </w:r>
            <w:r>
              <w:rPr>
                <w:rFonts w:hint="default" w:ascii="Times New Roman" w:hAnsi="Times New Roman" w:eastAsia="宋体" w:cs="宋体"/>
                <w:b/>
                <w:bCs/>
                <w:color w:val="000000"/>
                <w:sz w:val="24"/>
                <w:szCs w:val="24"/>
              </w:rPr>
              <w:t xml:space="preserve">   喷涂参数表</w:t>
            </w:r>
          </w:p>
          <w:tbl>
            <w:tblPr>
              <w:tblStyle w:val="2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64"/>
              <w:gridCol w:w="1551"/>
              <w:gridCol w:w="1268"/>
              <w:gridCol w:w="1146"/>
              <w:gridCol w:w="854"/>
              <w:gridCol w:w="796"/>
              <w:gridCol w:w="9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货种</w:t>
                  </w:r>
                </w:p>
              </w:tc>
              <w:tc>
                <w:tcPr>
                  <w:tcW w:w="101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喷涂面积（m</w:t>
                  </w:r>
                  <w:r>
                    <w:rPr>
                      <w:rFonts w:hint="eastAsia" w:ascii="Times New Roman" w:hAnsi="Times New Roman"/>
                      <w:b/>
                      <w:color w:val="auto"/>
                      <w:sz w:val="21"/>
                      <w:szCs w:val="21"/>
                      <w:vertAlign w:val="superscript"/>
                      <w:lang w:val="en-US" w:eastAsia="zh-CN"/>
                    </w:rPr>
                    <w:t>2</w:t>
                  </w:r>
                  <w:r>
                    <w:rPr>
                      <w:rFonts w:hint="eastAsia" w:ascii="Times New Roman" w:hAnsi="Times New Roman"/>
                      <w:b/>
                      <w:color w:val="auto"/>
                      <w:sz w:val="21"/>
                      <w:szCs w:val="21"/>
                      <w:lang w:val="en-US" w:eastAsia="zh-CN"/>
                    </w:rPr>
                    <w:t>）</w:t>
                  </w:r>
                </w:p>
              </w:tc>
              <w:tc>
                <w:tcPr>
                  <w:tcW w:w="82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单位产品喷涂厚度（</w:t>
                  </w:r>
                  <w:r>
                    <w:rPr>
                      <w:rFonts w:hint="default" w:ascii="Times New Roman" w:hAnsi="Times New Roman" w:cs="Times New Roman"/>
                      <w:b/>
                      <w:color w:val="auto"/>
                      <w:sz w:val="21"/>
                      <w:szCs w:val="21"/>
                      <w:lang w:val="en-US" w:eastAsia="zh-CN"/>
                    </w:rPr>
                    <w:t>μm</w:t>
                  </w:r>
                  <w:r>
                    <w:rPr>
                      <w:rFonts w:hint="eastAsia" w:ascii="Times New Roman" w:hAnsi="Times New Roman"/>
                      <w:b/>
                      <w:color w:val="auto"/>
                      <w:sz w:val="21"/>
                      <w:szCs w:val="21"/>
                      <w:lang w:val="en-US" w:eastAsia="zh-CN"/>
                    </w:rPr>
                    <w:t>）</w:t>
                  </w:r>
                </w:p>
              </w:tc>
              <w:tc>
                <w:tcPr>
                  <w:tcW w:w="74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涂料密度（g/cm</w:t>
                  </w:r>
                  <w:r>
                    <w:rPr>
                      <w:rFonts w:hint="eastAsia" w:ascii="Times New Roman" w:hAnsi="Times New Roman"/>
                      <w:b/>
                      <w:color w:val="auto"/>
                      <w:sz w:val="21"/>
                      <w:szCs w:val="21"/>
                      <w:vertAlign w:val="superscript"/>
                      <w:lang w:val="en-US" w:eastAsia="zh-CN"/>
                    </w:rPr>
                    <w:t>3</w:t>
                  </w:r>
                  <w:r>
                    <w:rPr>
                      <w:rFonts w:hint="eastAsia" w:ascii="Times New Roman" w:hAnsi="Times New Roman"/>
                      <w:b/>
                      <w:color w:val="auto"/>
                      <w:sz w:val="21"/>
                      <w:szCs w:val="21"/>
                      <w:lang w:val="en-US" w:eastAsia="zh-CN"/>
                    </w:rPr>
                    <w:t>）</w:t>
                  </w:r>
                </w:p>
              </w:tc>
              <w:tc>
                <w:tcPr>
                  <w:tcW w:w="55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喷涂利用率（%）</w:t>
                  </w:r>
                </w:p>
              </w:tc>
              <w:tc>
                <w:tcPr>
                  <w:tcW w:w="52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固含率（%）</w:t>
                  </w:r>
                </w:p>
              </w:tc>
              <w:tc>
                <w:tcPr>
                  <w:tcW w:w="62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年用量</w:t>
                  </w:r>
                  <w:r>
                    <w:rPr>
                      <w:rFonts w:hint="eastAsia" w:ascii="Times New Roman" w:hAnsi="Times New Roman"/>
                      <w:b/>
                      <w:color w:val="auto"/>
                      <w:sz w:val="21"/>
                      <w:szCs w:val="21"/>
                      <w:lang w:val="en-US" w:eastAsia="zh-CN"/>
                    </w:rPr>
                    <w:br w:type="textWrapping"/>
                  </w:r>
                  <w:r>
                    <w:rPr>
                      <w:rFonts w:hint="eastAsia" w:ascii="Times New Roman" w:hAnsi="Times New Roman"/>
                      <w:b/>
                      <w:color w:val="auto"/>
                      <w:sz w:val="21"/>
                      <w:szCs w:val="21"/>
                      <w:lang w:val="en-US" w:eastAsia="zh-CN"/>
                    </w:rPr>
                    <w:t>（含回收）（t）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板件</w:t>
                  </w:r>
                </w:p>
              </w:tc>
              <w:tc>
                <w:tcPr>
                  <w:tcW w:w="101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19598</w:t>
                  </w:r>
                </w:p>
              </w:tc>
              <w:tc>
                <w:tcPr>
                  <w:tcW w:w="82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60（1层）</w:t>
                  </w:r>
                </w:p>
              </w:tc>
              <w:tc>
                <w:tcPr>
                  <w:tcW w:w="74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1.55</w:t>
                  </w:r>
                </w:p>
              </w:tc>
              <w:tc>
                <w:tcPr>
                  <w:tcW w:w="55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97.075</w:t>
                  </w:r>
                </w:p>
              </w:tc>
              <w:tc>
                <w:tcPr>
                  <w:tcW w:w="52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100</w:t>
                  </w:r>
                </w:p>
              </w:tc>
              <w:tc>
                <w:tcPr>
                  <w:tcW w:w="62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1.8775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370" w:type="pct"/>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合计</w:t>
                  </w:r>
                </w:p>
              </w:tc>
              <w:tc>
                <w:tcPr>
                  <w:tcW w:w="62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1.8775</w:t>
                  </w:r>
                </w:p>
              </w:tc>
            </w:tr>
          </w:tbl>
          <w:p>
            <w:pPr>
              <w:keepNext w:val="0"/>
              <w:keepLines w:val="0"/>
              <w:suppressLineNumbers w:val="0"/>
              <w:snapToGrid w:val="0"/>
              <w:spacing w:before="0" w:beforeAutospacing="0" w:after="0" w:afterAutospacing="0" w:line="240" w:lineRule="auto"/>
              <w:ind w:right="0"/>
              <w:jc w:val="both"/>
              <w:rPr>
                <w:rFonts w:hint="default"/>
                <w:lang w:val="en-US" w:eastAsia="zh-CN"/>
              </w:rPr>
            </w:pPr>
            <w:r>
              <w:rPr>
                <w:rFonts w:hint="default" w:ascii="Times New Roman" w:hAnsi="Times New Roman" w:cs="Times New Roman"/>
                <w:color w:val="auto"/>
                <w:sz w:val="21"/>
                <w:szCs w:val="21"/>
                <w:lang w:val="en-US" w:eastAsia="zh-CN"/>
              </w:rPr>
              <w:t>备注：</w:t>
            </w:r>
            <w:r>
              <w:rPr>
                <w:rFonts w:hint="eastAsia" w:ascii="Times New Roman" w:hAnsi="Times New Roman" w:cs="Times New Roman"/>
                <w:sz w:val="21"/>
                <w:szCs w:val="21"/>
                <w:lang w:val="en-US" w:eastAsia="zh-CN"/>
              </w:rPr>
              <w:t>①</w:t>
            </w:r>
            <w:r>
              <w:rPr>
                <w:rFonts w:hint="default" w:ascii="Times New Roman" w:hAnsi="Times New Roman" w:cs="Times New Roman"/>
                <w:color w:val="auto"/>
                <w:sz w:val="21"/>
                <w:szCs w:val="21"/>
                <w:lang w:val="en-US" w:eastAsia="zh-CN"/>
              </w:rPr>
              <w:t>根据《涂装作业安全规程 粉末静电喷涂工艺安全》（GB15607-2023）粉尘上粉率0.4~0.8，本项目取0.7，喷粉过程中约有30%的塑粉未附着在工件表面，即喷粉过程中约有30%逸散到空气中形成粉尘，其中经管式滤筒除尘器装置回收后全部回用于喷粉工序，收集效率为</w:t>
            </w:r>
            <w:r>
              <w:rPr>
                <w:rFonts w:hint="eastAsia" w:ascii="Times New Roman" w:hAnsi="Times New Roman" w:cs="Times New Roman"/>
                <w:color w:val="auto"/>
                <w:sz w:val="21"/>
                <w:szCs w:val="21"/>
                <w:lang w:val="en-US" w:eastAsia="zh-CN"/>
              </w:rPr>
              <w:t>95</w:t>
            </w:r>
            <w:r>
              <w:rPr>
                <w:rFonts w:hint="default" w:ascii="Times New Roman" w:hAnsi="Times New Roman" w:cs="Times New Roman"/>
                <w:color w:val="auto"/>
                <w:sz w:val="21"/>
                <w:szCs w:val="21"/>
                <w:lang w:val="en-US" w:eastAsia="zh-CN"/>
              </w:rPr>
              <w:t>%，回收效率为95%，因此喷粉过程中塑粉的有效利用率为70%+30%×</w:t>
            </w:r>
            <w:r>
              <w:rPr>
                <w:rFonts w:hint="eastAsia" w:ascii="Times New Roman" w:hAnsi="Times New Roman" w:cs="Times New Roman"/>
                <w:color w:val="auto"/>
                <w:sz w:val="21"/>
                <w:szCs w:val="21"/>
                <w:lang w:val="en-US" w:eastAsia="zh-CN"/>
              </w:rPr>
              <w:t>95</w:t>
            </w:r>
            <w:r>
              <w:rPr>
                <w:rFonts w:hint="default" w:ascii="Times New Roman" w:hAnsi="Times New Roman" w:cs="Times New Roman"/>
                <w:color w:val="auto"/>
                <w:sz w:val="21"/>
                <w:szCs w:val="21"/>
                <w:lang w:val="en-US" w:eastAsia="zh-CN"/>
              </w:rPr>
              <w:t>%×95%=9</w:t>
            </w:r>
            <w:r>
              <w:rPr>
                <w:rFonts w:hint="eastAsia" w:ascii="Times New Roman" w:hAnsi="Times New Roman" w:cs="Times New Roman"/>
                <w:color w:val="auto"/>
                <w:sz w:val="21"/>
                <w:szCs w:val="21"/>
                <w:lang w:val="en-US" w:eastAsia="zh-CN"/>
              </w:rPr>
              <w:t>7.075</w:t>
            </w:r>
            <w:r>
              <w:rPr>
                <w:rFonts w:hint="default" w:ascii="Times New Roman" w:hAnsi="Times New Roman" w:cs="Times New Roman"/>
                <w:color w:val="auto"/>
                <w:sz w:val="21"/>
                <w:szCs w:val="21"/>
                <w:lang w:val="en-US" w:eastAsia="zh-CN"/>
              </w:rPr>
              <w:t>%。</w:t>
            </w:r>
          </w:p>
          <w:p>
            <w:pPr>
              <w:pStyle w:val="11"/>
              <w:spacing w:before="0" w:after="0" w:line="360" w:lineRule="auto"/>
              <w:ind w:right="0" w:firstLine="480" w:firstLineChars="200"/>
              <w:rPr>
                <w:rFonts w:hint="default" w:ascii="Times New Roman" w:hAnsi="Times New Roman" w:cs="Times New Roman"/>
                <w:b/>
                <w:bCs/>
                <w:sz w:val="24"/>
                <w:szCs w:val="24"/>
              </w:rPr>
            </w:pPr>
            <w:r>
              <w:rPr>
                <w:rFonts w:hint="eastAsia" w:ascii="Times New Roman" w:hAnsi="Times New Roman" w:cs="Times New Roman"/>
                <w:color w:val="auto"/>
                <w:sz w:val="24"/>
                <w:szCs w:val="24"/>
                <w:lang w:val="en-US" w:eastAsia="zh-CN" w:bidi="ar"/>
              </w:rPr>
              <w:t>喷塑线</w:t>
            </w:r>
            <w:r>
              <w:rPr>
                <w:rFonts w:hint="default" w:ascii="Times New Roman" w:hAnsi="Times New Roman" w:cs="Times New Roman"/>
                <w:color w:val="auto"/>
                <w:sz w:val="24"/>
                <w:szCs w:val="24"/>
                <w:lang w:bidi="ar"/>
              </w:rPr>
              <w:t>设置喷枪</w:t>
            </w:r>
            <w:r>
              <w:rPr>
                <w:rFonts w:hint="eastAsia" w:ascii="Times New Roman" w:hAnsi="Times New Roman" w:cs="Times New Roman"/>
                <w:color w:val="auto"/>
                <w:sz w:val="24"/>
                <w:szCs w:val="24"/>
                <w:lang w:val="en-US" w:eastAsia="zh-CN" w:bidi="ar"/>
              </w:rPr>
              <w:t>1</w:t>
            </w:r>
            <w:r>
              <w:rPr>
                <w:rFonts w:hint="default" w:ascii="Times New Roman" w:hAnsi="Times New Roman" w:cs="Times New Roman"/>
                <w:color w:val="auto"/>
                <w:sz w:val="24"/>
                <w:szCs w:val="24"/>
                <w:lang w:bidi="ar"/>
              </w:rPr>
              <w:t>个，单支喷枪正常出粉量为</w:t>
            </w:r>
            <w:r>
              <w:rPr>
                <w:rFonts w:hint="eastAsia" w:ascii="Times New Roman" w:hAnsi="Times New Roman" w:cs="Times New Roman"/>
                <w:color w:val="auto"/>
                <w:sz w:val="24"/>
                <w:szCs w:val="24"/>
                <w:lang w:val="en-US" w:eastAsia="zh-CN" w:bidi="ar"/>
              </w:rPr>
              <w:t>60</w:t>
            </w:r>
            <w:r>
              <w:rPr>
                <w:rFonts w:hint="default" w:ascii="Times New Roman" w:hAnsi="Times New Roman" w:cs="Times New Roman"/>
                <w:color w:val="auto"/>
                <w:sz w:val="24"/>
                <w:szCs w:val="24"/>
                <w:lang w:bidi="ar"/>
              </w:rPr>
              <w:t>g/min，则</w:t>
            </w:r>
            <w:r>
              <w:rPr>
                <w:rFonts w:hint="eastAsia" w:ascii="Times New Roman" w:hAnsi="Times New Roman" w:cs="Times New Roman"/>
                <w:color w:val="auto"/>
                <w:sz w:val="24"/>
                <w:szCs w:val="24"/>
                <w:lang w:val="en-US" w:eastAsia="zh-CN" w:bidi="ar"/>
              </w:rPr>
              <w:t>喷塑</w:t>
            </w:r>
            <w:r>
              <w:rPr>
                <w:rFonts w:hint="default" w:ascii="Times New Roman" w:hAnsi="Times New Roman" w:cs="Times New Roman"/>
                <w:color w:val="auto"/>
                <w:sz w:val="24"/>
                <w:szCs w:val="24"/>
                <w:lang w:bidi="ar"/>
              </w:rPr>
              <w:t>时间为</w:t>
            </w:r>
            <w:r>
              <w:rPr>
                <w:rFonts w:hint="eastAsia" w:ascii="Times New Roman" w:hAnsi="Times New Roman" w:cs="Times New Roman"/>
                <w:color w:val="auto"/>
                <w:sz w:val="24"/>
                <w:szCs w:val="24"/>
                <w:lang w:val="en-US" w:eastAsia="zh-CN" w:bidi="ar"/>
              </w:rPr>
              <w:t>521</w:t>
            </w:r>
            <w:r>
              <w:rPr>
                <w:rFonts w:hint="default" w:ascii="Times New Roman" w:hAnsi="Times New Roman" w:cs="Times New Roman"/>
                <w:color w:val="auto"/>
                <w:sz w:val="24"/>
                <w:szCs w:val="24"/>
                <w:lang w:bidi="ar"/>
              </w:rPr>
              <w:t>h/a</w:t>
            </w:r>
            <w:r>
              <w:rPr>
                <w:rFonts w:hint="eastAsia" w:ascii="Times New Roman" w:hAnsi="Times New Roman" w:cs="Times New Roman"/>
                <w:color w:val="auto"/>
                <w:sz w:val="24"/>
                <w:szCs w:val="24"/>
                <w:lang w:eastAsia="zh-CN" w:bidi="ar"/>
              </w:rPr>
              <w:t>。</w:t>
            </w:r>
          </w:p>
          <w:p>
            <w:pPr>
              <w:pStyle w:val="11"/>
              <w:spacing w:before="0" w:after="0" w:line="360" w:lineRule="auto"/>
              <w:ind w:right="0"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6、劳动动员和工作制度</w:t>
            </w:r>
          </w:p>
          <w:p>
            <w:pPr>
              <w:pStyle w:val="11"/>
              <w:spacing w:before="0" w:after="0" w:line="360" w:lineRule="auto"/>
              <w:ind w:right="0"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①劳动定员：本项目拟定职工人数为100人，提供食</w:t>
            </w:r>
            <w:r>
              <w:rPr>
                <w:rFonts w:hint="default" w:ascii="Times New Roman" w:hAnsi="Times New Roman" w:cs="Times New Roman"/>
                <w:kern w:val="2"/>
                <w:sz w:val="24"/>
                <w:szCs w:val="24"/>
                <w:lang w:val="en-US" w:eastAsia="zh-CN"/>
              </w:rPr>
              <w:t>堂，不提供住</w:t>
            </w:r>
            <w:r>
              <w:rPr>
                <w:rFonts w:hint="default" w:ascii="Times New Roman" w:hAnsi="Times New Roman" w:cs="Times New Roman"/>
                <w:kern w:val="2"/>
                <w:sz w:val="24"/>
                <w:szCs w:val="24"/>
              </w:rPr>
              <w:t>宿；</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②工作制度：本项目实行单班制，每班工作8小时，全年工作300天，共计2400h。</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7、四至情况及厂区平面布置情况</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①四至情况：</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本项目位于如皋市搬经镇搬经社区10组、19组、村集体，项目北侧为空地，西侧为江苏凌志玻璃钢科技有限公司，南侧为北二环路及江苏斯伯特精密制造有限公司，东侧为南通久顶节能科技有限公司。</w:t>
            </w:r>
          </w:p>
          <w:p>
            <w:pPr>
              <w:adjustRightInd w:val="0"/>
              <w:snapToGrid w:val="0"/>
              <w:spacing w:line="360" w:lineRule="auto"/>
              <w:ind w:firstLine="480" w:firstLineChars="200"/>
              <w:jc w:val="left"/>
              <w:rPr>
                <w:rFonts w:hint="default" w:ascii="Times New Roman" w:hAnsi="Times New Roman" w:cs="Times New Roman"/>
                <w:b/>
                <w:sz w:val="24"/>
              </w:rPr>
            </w:pPr>
            <w:r>
              <w:rPr>
                <w:rFonts w:hint="default" w:ascii="Times New Roman" w:hAnsi="Times New Roman" w:cs="Times New Roman"/>
                <w:sz w:val="24"/>
              </w:rPr>
              <w:t>本项目厂界周边最近的环境敏感目标为东侧搬东村十四组，距离约</w:t>
            </w:r>
            <w:r>
              <w:rPr>
                <w:rFonts w:hint="default" w:ascii="Times New Roman" w:hAnsi="Times New Roman" w:cs="Times New Roman"/>
                <w:sz w:val="24"/>
                <w:lang w:val="en-US" w:eastAsia="zh-CN"/>
              </w:rPr>
              <w:t>176</w:t>
            </w:r>
            <w:r>
              <w:rPr>
                <w:rFonts w:hint="default" w:ascii="Times New Roman" w:hAnsi="Times New Roman" w:cs="Times New Roman"/>
                <w:sz w:val="24"/>
              </w:rPr>
              <w:t>m。</w:t>
            </w:r>
            <w:r>
              <w:rPr>
                <w:rFonts w:hint="default" w:ascii="Times New Roman" w:hAnsi="Times New Roman" w:cs="Times New Roman"/>
                <w:bCs/>
                <w:sz w:val="24"/>
              </w:rPr>
              <w:t>本项目地理位置图见附图1，周边500米环境概况图见附图2。</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②厂区平面布置</w:t>
            </w:r>
          </w:p>
          <w:p>
            <w:pPr>
              <w:adjustRightInd w:val="0"/>
              <w:snapToGrid w:val="0"/>
              <w:spacing w:line="360" w:lineRule="auto"/>
              <w:ind w:firstLine="480" w:firstLineChars="200"/>
              <w:jc w:val="left"/>
              <w:rPr>
                <w:rFonts w:hint="default" w:ascii="Times New Roman" w:hAnsi="Times New Roman" w:cs="Times New Roman"/>
                <w:szCs w:val="21"/>
              </w:rPr>
            </w:pPr>
            <w:r>
              <w:rPr>
                <w:rFonts w:hint="default" w:ascii="Times New Roman" w:hAnsi="Times New Roman" w:cs="Times New Roman"/>
                <w:sz w:val="24"/>
              </w:rPr>
              <w:t>本项目新建厂房，厂区大门设在厂区南侧，厂区由西往东、由南往北依次为车间一、</w:t>
            </w:r>
            <w:r>
              <w:rPr>
                <w:rFonts w:hint="eastAsia" w:cs="Times New Roman"/>
                <w:sz w:val="24"/>
                <w:lang w:val="en-US" w:eastAsia="zh-CN"/>
              </w:rPr>
              <w:t>预留的</w:t>
            </w:r>
            <w:r>
              <w:rPr>
                <w:rFonts w:hint="default" w:ascii="Times New Roman" w:hAnsi="Times New Roman" w:cs="Times New Roman"/>
                <w:sz w:val="24"/>
              </w:rPr>
              <w:t>研发楼一</w:t>
            </w:r>
            <w:r>
              <w:rPr>
                <w:rFonts w:hint="eastAsia" w:cs="Times New Roman"/>
                <w:sz w:val="24"/>
                <w:lang w:val="en-US" w:eastAsia="zh-CN"/>
              </w:rPr>
              <w:t>和</w:t>
            </w:r>
            <w:r>
              <w:rPr>
                <w:rFonts w:hint="default" w:ascii="Times New Roman" w:hAnsi="Times New Roman" w:cs="Times New Roman"/>
                <w:sz w:val="24"/>
              </w:rPr>
              <w:t>研发楼二等。建设项目厂区平面布置见图</w:t>
            </w:r>
            <w:r>
              <w:rPr>
                <w:rFonts w:hint="default" w:ascii="Times New Roman" w:hAnsi="Times New Roman" w:cs="Times New Roman"/>
                <w:sz w:val="24"/>
                <w:lang w:val="en-US" w:eastAsia="zh-CN"/>
              </w:rPr>
              <w:t>5</w:t>
            </w:r>
            <w:r>
              <w:rPr>
                <w:rFonts w:hint="default" w:ascii="Times New Roman" w:hAnsi="Times New Roman" w:cs="Times New Roman"/>
                <w:bCs/>
                <w:sz w:val="24"/>
              </w:rPr>
              <w:t>。</w:t>
            </w:r>
          </w:p>
        </w:tc>
      </w:tr>
    </w:tbl>
    <w:p>
      <w:pPr>
        <w:rPr>
          <w:rFonts w:hint="default" w:ascii="Times New Roman" w:hAnsi="Times New Roman" w:cs="Times New Roman"/>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23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6" w:hRule="atLeast"/>
          <w:jc w:val="center"/>
        </w:trPr>
        <w:tc>
          <w:tcPr>
            <w:tcW w:w="822" w:type="dxa"/>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
                <w:bCs/>
                <w:sz w:val="21"/>
                <w:szCs w:val="21"/>
              </w:rPr>
              <w:t>建设内容</w:t>
            </w:r>
          </w:p>
        </w:tc>
        <w:tc>
          <w:tcPr>
            <w:tcW w:w="7891" w:type="dxa"/>
            <w:vAlign w:val="top"/>
          </w:tcPr>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8</w:t>
            </w:r>
            <w:r>
              <w:rPr>
                <w:rFonts w:hint="default" w:ascii="Times New Roman" w:hAnsi="Times New Roman" w:cs="Times New Roman"/>
                <w:b/>
                <w:bCs/>
                <w:sz w:val="24"/>
              </w:rPr>
              <w:t>、</w:t>
            </w:r>
            <w:r>
              <w:rPr>
                <w:rFonts w:hint="default" w:ascii="Times New Roman" w:hAnsi="Times New Roman" w:cs="Times New Roman"/>
                <w:b/>
                <w:bCs/>
                <w:sz w:val="24"/>
                <w:lang w:val="en-US" w:eastAsia="zh-CN"/>
              </w:rPr>
              <w:t>油漆</w:t>
            </w:r>
            <w:r>
              <w:rPr>
                <w:rFonts w:hint="default" w:ascii="Times New Roman" w:hAnsi="Times New Roman" w:cs="Times New Roman"/>
                <w:b/>
                <w:bCs/>
                <w:sz w:val="24"/>
              </w:rPr>
              <w:t>平衡</w:t>
            </w:r>
          </w:p>
          <w:p>
            <w:pPr>
              <w:pStyle w:val="11"/>
              <w:widowControl w:val="0"/>
              <w:snapToGrid/>
              <w:spacing w:before="0" w:after="0" w:line="240" w:lineRule="auto"/>
              <w:ind w:right="0"/>
              <w:jc w:val="center"/>
              <w:rPr>
                <w:rFonts w:hint="default" w:ascii="Times New Roman" w:hAnsi="Times New Roman" w:cs="Times New Roman"/>
                <w:color w:val="000000"/>
                <w:sz w:val="21"/>
                <w:szCs w:val="21"/>
              </w:rPr>
            </w:pPr>
            <w:r>
              <w:rPr>
                <w:rFonts w:hint="default" w:ascii="Times New Roman" w:hAnsi="Times New Roman" w:cs="Times New Roman"/>
                <w:b/>
                <w:color w:val="000000"/>
                <w:sz w:val="24"/>
                <w:szCs w:val="24"/>
              </w:rPr>
              <w:t>表2-</w:t>
            </w:r>
            <w:r>
              <w:rPr>
                <w:rFonts w:hint="eastAsia" w:cs="Times New Roman"/>
                <w:b/>
                <w:color w:val="000000"/>
                <w:sz w:val="24"/>
                <w:szCs w:val="24"/>
                <w:lang w:val="en-US" w:eastAsia="zh-CN"/>
              </w:rPr>
              <w:t>12</w:t>
            </w:r>
            <w:r>
              <w:rPr>
                <w:rFonts w:hint="default" w:ascii="Times New Roman" w:hAnsi="Times New Roman" w:cs="Times New Roman"/>
                <w:b/>
                <w:color w:val="000000"/>
                <w:sz w:val="24"/>
                <w:szCs w:val="24"/>
              </w:rPr>
              <w:t xml:space="preserve">  </w:t>
            </w:r>
            <w:r>
              <w:rPr>
                <w:rFonts w:hint="default" w:ascii="Times New Roman" w:hAnsi="Times New Roman" w:cs="Times New Roman"/>
                <w:b/>
                <w:bCs/>
                <w:color w:val="000000"/>
                <w:sz w:val="24"/>
                <w:szCs w:val="24"/>
                <w:lang w:val="en-US" w:eastAsia="zh-CN"/>
              </w:rPr>
              <w:t>油漆</w:t>
            </w:r>
            <w:r>
              <w:rPr>
                <w:rFonts w:hint="default" w:ascii="Times New Roman" w:hAnsi="Times New Roman" w:cs="Times New Roman"/>
                <w:b/>
                <w:bCs/>
                <w:color w:val="000000"/>
                <w:sz w:val="24"/>
                <w:szCs w:val="24"/>
              </w:rPr>
              <w:t>物料平衡表</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33"/>
              <w:gridCol w:w="793"/>
              <w:gridCol w:w="1192"/>
              <w:gridCol w:w="980"/>
              <w:gridCol w:w="1393"/>
              <w:gridCol w:w="1079"/>
              <w:gridCol w:w="1312"/>
              <w:gridCol w:w="1266"/>
              <w:gridCol w:w="907"/>
              <w:gridCol w:w="1384"/>
              <w:gridCol w:w="12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004" w:type="pct"/>
                  <w:gridSpan w:val="7"/>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投入（t/a)</w:t>
                  </w:r>
                </w:p>
              </w:tc>
              <w:tc>
                <w:tcPr>
                  <w:tcW w:w="1995" w:type="pct"/>
                  <w:gridSpan w:val="4"/>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产出（t/a)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19" w:type="pct"/>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面漆</w:t>
                  </w:r>
                </w:p>
              </w:tc>
              <w:tc>
                <w:tcPr>
                  <w:tcW w:w="327"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油漆</w:t>
                  </w:r>
                </w:p>
              </w:tc>
              <w:tc>
                <w:tcPr>
                  <w:tcW w:w="491"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5.876</w:t>
                  </w:r>
                </w:p>
              </w:tc>
              <w:tc>
                <w:tcPr>
                  <w:tcW w:w="979"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固体份</w:t>
                  </w:r>
                </w:p>
              </w:tc>
              <w:tc>
                <w:tcPr>
                  <w:tcW w:w="986"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3.8988</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进入产品</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固体份</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2.7291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4"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79"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86"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被去除</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漆雾</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0.3593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04"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挥发份</w:t>
                  </w: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二甲苯</w:t>
                  </w:r>
                </w:p>
              </w:tc>
              <w:tc>
                <w:tcPr>
                  <w:tcW w:w="445"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1.9772</w:t>
                  </w:r>
                </w:p>
              </w:tc>
              <w:tc>
                <w:tcPr>
                  <w:tcW w:w="54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0.4113</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VOCs（以非甲烷总烃计）</w:t>
                  </w:r>
                </w:p>
              </w:tc>
              <w:tc>
                <w:tcPr>
                  <w:tcW w:w="527"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1.9684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3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40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w:t>
                  </w:r>
                </w:p>
              </w:tc>
              <w:tc>
                <w:tcPr>
                  <w:tcW w:w="445"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4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1.5659</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45"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稀释剂</w:t>
                  </w:r>
                </w:p>
              </w:tc>
              <w:tc>
                <w:tcPr>
                  <w:tcW w:w="491"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0.323</w:t>
                  </w:r>
                </w:p>
              </w:tc>
              <w:tc>
                <w:tcPr>
                  <w:tcW w:w="404"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挥发份</w:t>
                  </w:r>
                </w:p>
              </w:tc>
              <w:tc>
                <w:tcPr>
                  <w:tcW w:w="574"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445"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0.323</w:t>
                  </w:r>
                </w:p>
              </w:tc>
              <w:tc>
                <w:tcPr>
                  <w:tcW w:w="541"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0.0775</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其中</w:t>
                  </w:r>
                </w:p>
              </w:tc>
              <w:tc>
                <w:tcPr>
                  <w:tcW w:w="57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0.4183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0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7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45"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4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7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0.2112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0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100#溶剂油（三甲苯）</w:t>
                  </w:r>
                </w:p>
              </w:tc>
              <w:tc>
                <w:tcPr>
                  <w:tcW w:w="445"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4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0.2455</w:t>
                  </w: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有组织排放</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漆雾</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219" w:type="pct"/>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喷枪头清洗</w:t>
                  </w:r>
                </w:p>
              </w:tc>
              <w:tc>
                <w:tcPr>
                  <w:tcW w:w="327" w:type="pct"/>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稀释剂</w:t>
                  </w:r>
                </w:p>
              </w:tc>
              <w:tc>
                <w:tcPr>
                  <w:tcW w:w="491" w:type="pct"/>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0.0066</w:t>
                  </w:r>
                </w:p>
              </w:tc>
              <w:tc>
                <w:tcPr>
                  <w:tcW w:w="404" w:type="pct"/>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挥发份</w:t>
                  </w:r>
                </w:p>
              </w:tc>
              <w:tc>
                <w:tcPr>
                  <w:tcW w:w="574" w:type="pct"/>
                  <w:tcBorders>
                    <w:tl2br w:val="nil"/>
                    <w:tr2bl w:val="nil"/>
                  </w:tcBorders>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二甲苯</w:t>
                  </w:r>
                </w:p>
              </w:tc>
              <w:tc>
                <w:tcPr>
                  <w:tcW w:w="445"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0.0020</w:t>
                  </w:r>
                </w:p>
              </w:tc>
              <w:tc>
                <w:tcPr>
                  <w:tcW w:w="54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0.0005</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VOCs（以非甲烷总烃计）</w:t>
                  </w:r>
                </w:p>
              </w:tc>
              <w:tc>
                <w:tcPr>
                  <w:tcW w:w="527"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327"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491"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404"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rPr>
                  </w:pPr>
                </w:p>
              </w:tc>
              <w:tc>
                <w:tcPr>
                  <w:tcW w:w="574" w:type="pct"/>
                  <w:tcBorders>
                    <w:tl2br w:val="nil"/>
                    <w:tr2bl w:val="nil"/>
                  </w:tcBorders>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100#溶剂油（三甲苯）</w:t>
                  </w:r>
                </w:p>
              </w:tc>
              <w:tc>
                <w:tcPr>
                  <w:tcW w:w="445"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4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0.0015</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7"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19"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79" w:type="pct"/>
                  <w:gridSpan w:val="2"/>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eastAsia" w:cs="Times New Roman"/>
                      <w:color w:val="auto"/>
                      <w:kern w:val="0"/>
                      <w:sz w:val="21"/>
                      <w:szCs w:val="21"/>
                      <w:highlight w:val="none"/>
                      <w:shd w:val="clear" w:color="auto" w:fill="auto"/>
                      <w:lang w:val="en-US" w:eastAsia="zh-CN" w:bidi="ar"/>
                    </w:rPr>
                    <w:t>清洗过程未挥发量</w:t>
                  </w: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0.0046</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其中</w:t>
                  </w:r>
                </w:p>
              </w:tc>
              <w:tc>
                <w:tcPr>
                  <w:tcW w:w="57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0.0465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018" w:type="pct"/>
                  <w:gridSpan w:val="5"/>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7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0.0235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18" w:type="pct"/>
                  <w:gridSpan w:val="5"/>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986" w:type="pct"/>
                  <w:gridSpan w:val="2"/>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无组织排放</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漆雾</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18" w:type="pct"/>
                  <w:gridSpan w:val="5"/>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86"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VOCs</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018" w:type="pct"/>
                  <w:gridSpan w:val="5"/>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86"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其中</w:t>
                  </w:r>
                </w:p>
              </w:tc>
              <w:tc>
                <w:tcPr>
                  <w:tcW w:w="57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2018" w:type="pct"/>
                  <w:gridSpan w:val="5"/>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86"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7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0.0123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18" w:type="pct"/>
                  <w:gridSpan w:val="5"/>
                  <w:tcBorders>
                    <w:tl2br w:val="nil"/>
                    <w:tr2bl w:val="nil"/>
                  </w:tcBorders>
                  <w:noWrap w:val="0"/>
                  <w:vAlign w:val="center"/>
                </w:tcPr>
                <w:p>
                  <w:pPr>
                    <w:pStyle w:val="10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rPr>
                  </w:pP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进入固废</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漆渣</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0.7798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18" w:type="pct"/>
                  <w:gridSpan w:val="5"/>
                  <w:tcBorders>
                    <w:tl2br w:val="nil"/>
                    <w:tr2bl w:val="nil"/>
                  </w:tcBorders>
                  <w:noWrap w:val="0"/>
                  <w:vAlign w:val="center"/>
                </w:tcPr>
                <w:p>
                  <w:pPr>
                    <w:pStyle w:val="104"/>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rPr>
                  </w:pP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喷枪头清洗废液</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18" w:type="pct"/>
                  <w:gridSpan w:val="5"/>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合计</w:t>
                  </w: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6.2056</w:t>
                  </w:r>
                </w:p>
              </w:tc>
              <w:tc>
                <w:tcPr>
                  <w:tcW w:w="1467" w:type="pct"/>
                  <w:gridSpan w:val="3"/>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总计</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6.2056</w:t>
                  </w:r>
                </w:p>
              </w:tc>
            </w:tr>
          </w:tbl>
          <w:p>
            <w:pPr>
              <w:spacing w:line="360" w:lineRule="auto"/>
              <w:jc w:val="center"/>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drawing>
                <wp:inline distT="0" distB="0" distL="114300" distR="114300">
                  <wp:extent cx="7691120" cy="3379470"/>
                  <wp:effectExtent l="0" t="0" r="5080" b="11430"/>
                  <wp:docPr id="5" name="图片 5" descr="油漆平衡图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油漆平衡图_Sheet1"/>
                          <pic:cNvPicPr>
                            <a:picLocks noChangeAspect="1"/>
                          </pic:cNvPicPr>
                        </pic:nvPicPr>
                        <pic:blipFill>
                          <a:blip r:embed="rId11"/>
                          <a:stretch>
                            <a:fillRect/>
                          </a:stretch>
                        </pic:blipFill>
                        <pic:spPr>
                          <a:xfrm>
                            <a:off x="0" y="0"/>
                            <a:ext cx="7691120" cy="3379470"/>
                          </a:xfrm>
                          <a:prstGeom prst="rect">
                            <a:avLst/>
                          </a:prstGeom>
                        </pic:spPr>
                      </pic:pic>
                    </a:graphicData>
                  </a:graphic>
                </wp:inline>
              </w:drawing>
            </w:r>
          </w:p>
          <w:p>
            <w:pPr>
              <w:spacing w:line="360" w:lineRule="auto"/>
              <w:jc w:val="center"/>
              <w:rPr>
                <w:rFonts w:hint="default" w:ascii="Times New Roman" w:hAnsi="Times New Roman" w:cs="Times New Roman"/>
                <w:b/>
                <w:bCs/>
                <w:sz w:val="24"/>
              </w:rPr>
            </w:pPr>
            <w:r>
              <w:rPr>
                <w:rFonts w:hint="default" w:ascii="Times New Roman" w:hAnsi="Times New Roman" w:cs="Times New Roman"/>
                <w:b/>
                <w:sz w:val="24"/>
              </w:rPr>
              <w:t xml:space="preserve">图2-1  </w:t>
            </w:r>
            <w:r>
              <w:rPr>
                <w:rFonts w:hint="default" w:ascii="Times New Roman" w:hAnsi="Times New Roman" w:cs="Times New Roman"/>
                <w:b/>
                <w:sz w:val="24"/>
                <w:lang w:val="en-US" w:eastAsia="zh-CN"/>
              </w:rPr>
              <w:t>油漆</w:t>
            </w:r>
            <w:r>
              <w:rPr>
                <w:rFonts w:hint="default" w:ascii="Times New Roman" w:hAnsi="Times New Roman" w:cs="Times New Roman"/>
                <w:b/>
                <w:sz w:val="24"/>
              </w:rPr>
              <w:t>物料平衡图（t/a）</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9</w:t>
            </w:r>
            <w:r>
              <w:rPr>
                <w:rFonts w:hint="default" w:ascii="Times New Roman" w:hAnsi="Times New Roman" w:cs="Times New Roman"/>
                <w:b/>
                <w:bCs/>
                <w:sz w:val="24"/>
              </w:rPr>
              <w:t>、塑粉</w:t>
            </w:r>
            <w:r>
              <w:rPr>
                <w:rFonts w:hint="eastAsia" w:cs="Times New Roman"/>
                <w:b/>
                <w:bCs/>
                <w:sz w:val="24"/>
                <w:lang w:val="en-US" w:eastAsia="zh-CN"/>
              </w:rPr>
              <w:t>物料平衡</w:t>
            </w:r>
          </w:p>
          <w:p>
            <w:pPr>
              <w:pStyle w:val="11"/>
              <w:widowControl w:val="0"/>
              <w:snapToGrid/>
              <w:spacing w:before="0" w:after="0" w:line="240" w:lineRule="auto"/>
              <w:ind w:right="0"/>
              <w:jc w:val="center"/>
              <w:rPr>
                <w:rFonts w:hint="default" w:ascii="Times New Roman" w:hAnsi="Times New Roman" w:cs="Times New Roman"/>
                <w:color w:val="000000"/>
                <w:sz w:val="21"/>
                <w:szCs w:val="21"/>
              </w:rPr>
            </w:pPr>
            <w:r>
              <w:rPr>
                <w:rFonts w:hint="default" w:ascii="Times New Roman" w:hAnsi="Times New Roman" w:cs="Times New Roman"/>
                <w:b/>
                <w:color w:val="000000"/>
                <w:sz w:val="24"/>
                <w:szCs w:val="24"/>
              </w:rPr>
              <w:t>表2-</w:t>
            </w:r>
            <w:r>
              <w:rPr>
                <w:rFonts w:hint="eastAsia" w:cs="Times New Roman"/>
                <w:b/>
                <w:color w:val="000000"/>
                <w:sz w:val="24"/>
                <w:szCs w:val="24"/>
                <w:lang w:val="en-US" w:eastAsia="zh-CN"/>
              </w:rPr>
              <w:t>13</w:t>
            </w:r>
            <w:r>
              <w:rPr>
                <w:rFonts w:hint="default" w:ascii="Times New Roman" w:hAnsi="Times New Roman" w:cs="Times New Roman"/>
                <w:b/>
                <w:color w:val="000000"/>
                <w:sz w:val="24"/>
                <w:szCs w:val="24"/>
              </w:rPr>
              <w:t xml:space="preserve">  </w:t>
            </w:r>
            <w:r>
              <w:rPr>
                <w:rFonts w:hint="default" w:ascii="Times New Roman" w:hAnsi="Times New Roman" w:cs="Times New Roman"/>
                <w:b/>
                <w:bCs/>
                <w:color w:val="000000"/>
                <w:sz w:val="24"/>
                <w:szCs w:val="24"/>
              </w:rPr>
              <w:t>塑粉物料平衡表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1162"/>
              <w:gridCol w:w="1927"/>
              <w:gridCol w:w="1566"/>
              <w:gridCol w:w="1370"/>
              <w:gridCol w:w="1915"/>
              <w:gridCol w:w="2016"/>
              <w:gridCol w:w="2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920" w:type="pct"/>
                  <w:gridSpan w:val="3"/>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入方</w:t>
                  </w:r>
                </w:p>
              </w:tc>
              <w:tc>
                <w:tcPr>
                  <w:tcW w:w="3079" w:type="pct"/>
                  <w:gridSpan w:val="4"/>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出方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794"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原料</w:t>
                  </w:r>
                </w:p>
              </w:tc>
              <w:tc>
                <w:tcPr>
                  <w:tcW w:w="646"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数量</w:t>
                  </w:r>
                </w:p>
              </w:tc>
              <w:tc>
                <w:tcPr>
                  <w:tcW w:w="2187" w:type="pct"/>
                  <w:gridSpan w:val="3"/>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种类</w:t>
                  </w:r>
                </w:p>
              </w:tc>
              <w:tc>
                <w:tcPr>
                  <w:tcW w:w="892"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794"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新塑粉</w:t>
                  </w:r>
                </w:p>
              </w:tc>
              <w:tc>
                <w:tcPr>
                  <w:tcW w:w="646" w:type="pct"/>
                  <w:vMerge w:val="restart"/>
                  <w:tcBorders>
                    <w:tl2br w:val="nil"/>
                    <w:tr2bl w:val="nil"/>
                  </w:tcBorders>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1.3692</w:t>
                  </w:r>
                </w:p>
              </w:tc>
              <w:tc>
                <w:tcPr>
                  <w:tcW w:w="565"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产品</w:t>
                  </w:r>
                </w:p>
              </w:tc>
              <w:tc>
                <w:tcPr>
                  <w:tcW w:w="1621" w:type="pct"/>
                  <w:gridSpan w:val="2"/>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产品表面附着</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1.3126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4"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646"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565"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1621" w:type="pct"/>
                  <w:gridSpan w:val="2"/>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厂内回收利用</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0.5083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4"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646"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565"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废气</w:t>
                  </w:r>
                </w:p>
              </w:tc>
              <w:tc>
                <w:tcPr>
                  <w:tcW w:w="790"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粉尘</w:t>
                  </w:r>
                </w:p>
              </w:tc>
              <w:tc>
                <w:tcPr>
                  <w:tcW w:w="831"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有组织</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794"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回收塑粉</w:t>
                  </w:r>
                </w:p>
              </w:tc>
              <w:tc>
                <w:tcPr>
                  <w:tcW w:w="646" w:type="pct"/>
                  <w:vMerge w:val="restart"/>
                  <w:tcBorders>
                    <w:tl2br w:val="nil"/>
                    <w:tr2bl w:val="nil"/>
                  </w:tcBorders>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0.5083</w:t>
                  </w:r>
                </w:p>
              </w:tc>
              <w:tc>
                <w:tcPr>
                  <w:tcW w:w="565"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0"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831"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无组织</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4"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646"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565"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0"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非甲烷总烃</w:t>
                  </w:r>
                </w:p>
              </w:tc>
              <w:tc>
                <w:tcPr>
                  <w:tcW w:w="831"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有组织</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4"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646"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565"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0"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831" w:type="pc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无组织</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794"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646"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565" w:type="pct"/>
                  <w:vMerge w:val="restart"/>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固废</w:t>
                  </w:r>
                </w:p>
              </w:tc>
              <w:tc>
                <w:tcPr>
                  <w:tcW w:w="1621" w:type="pct"/>
                  <w:gridSpan w:val="2"/>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废塑粉</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9"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794"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646"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565" w:type="pct"/>
                  <w:vMerge w:val="continue"/>
                  <w:tcBorders>
                    <w:tl2br w:val="nil"/>
                    <w:tr2bl w:val="nil"/>
                  </w:tcBorders>
                  <w:noWrap/>
                  <w:vAlign w:val="center"/>
                </w:tcPr>
                <w:p>
                  <w:pPr>
                    <w:adjustRightInd w:val="0"/>
                    <w:snapToGrid w:val="0"/>
                    <w:jc w:val="center"/>
                    <w:rPr>
                      <w:rFonts w:hint="default" w:ascii="Times New Roman" w:hAnsi="Times New Roman" w:cs="Times New Roman"/>
                      <w:szCs w:val="21"/>
                    </w:rPr>
                  </w:pPr>
                </w:p>
              </w:tc>
              <w:tc>
                <w:tcPr>
                  <w:tcW w:w="1621" w:type="pct"/>
                  <w:gridSpan w:val="2"/>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进入活性炭</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1274" w:type="pct"/>
                  <w:gridSpan w:val="2"/>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646" w:type="pct"/>
                  <w:tcBorders>
                    <w:tl2br w:val="nil"/>
                    <w:tr2bl w:val="nil"/>
                  </w:tcBorders>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1.8775</w:t>
                  </w:r>
                </w:p>
              </w:tc>
              <w:tc>
                <w:tcPr>
                  <w:tcW w:w="2187" w:type="pct"/>
                  <w:gridSpan w:val="3"/>
                  <w:tcBorders>
                    <w:tl2br w:val="nil"/>
                    <w:tr2bl w:val="nil"/>
                  </w:tcBorders>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合计</w:t>
                  </w:r>
                </w:p>
              </w:tc>
              <w:tc>
                <w:tcPr>
                  <w:tcW w:w="892" w:type="pct"/>
                  <w:tcBorders>
                    <w:tl2br w:val="nil"/>
                    <w:tr2bl w:val="nil"/>
                  </w:tcBorders>
                  <w:noWrap/>
                  <w:vAlign w:val="center"/>
                </w:tcPr>
                <w:p>
                  <w:pPr>
                    <w:widowControl/>
                    <w:jc w:val="center"/>
                    <w:textAlignment w:val="center"/>
                    <w:rPr>
                      <w:rFonts w:hint="default" w:ascii="Times New Roman" w:hAnsi="Times New Roman" w:eastAsia="宋体" w:cs="Times New Roman"/>
                      <w:szCs w:val="21"/>
                      <w:lang w:val="en-US" w:eastAsia="zh-CN"/>
                    </w:rPr>
                  </w:pPr>
                  <w:r>
                    <w:rPr>
                      <w:rFonts w:hint="eastAsia" w:cs="Times New Roman"/>
                      <w:szCs w:val="21"/>
                      <w:lang w:val="en-US" w:eastAsia="zh-CN"/>
                    </w:rPr>
                    <w:t>1.8775</w:t>
                  </w:r>
                </w:p>
              </w:tc>
            </w:tr>
          </w:tbl>
          <w:p>
            <w:pPr>
              <w:pStyle w:val="11"/>
              <w:widowControl w:val="0"/>
              <w:snapToGrid/>
              <w:spacing w:before="0" w:after="0" w:line="240" w:lineRule="auto"/>
              <w:ind w:right="0"/>
              <w:jc w:val="center"/>
              <w:rPr>
                <w:rFonts w:hint="default" w:ascii="Times New Roman" w:hAnsi="Times New Roman" w:cs="Times New Roman"/>
                <w:color w:val="000000"/>
                <w:sz w:val="21"/>
                <w:szCs w:val="21"/>
              </w:rPr>
            </w:pPr>
          </w:p>
          <w:p>
            <w:pPr>
              <w:spacing w:line="360" w:lineRule="auto"/>
              <w:jc w:val="center"/>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drawing>
                <wp:inline distT="0" distB="0" distL="114300" distR="114300">
                  <wp:extent cx="7702550" cy="3911600"/>
                  <wp:effectExtent l="0" t="0" r="6350" b="0"/>
                  <wp:docPr id="7" name="图片 7" descr="塑粉平衡图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塑粉平衡图_Sheet1"/>
                          <pic:cNvPicPr>
                            <a:picLocks noChangeAspect="1"/>
                          </pic:cNvPicPr>
                        </pic:nvPicPr>
                        <pic:blipFill>
                          <a:blip r:embed="rId12"/>
                          <a:stretch>
                            <a:fillRect/>
                          </a:stretch>
                        </pic:blipFill>
                        <pic:spPr>
                          <a:xfrm>
                            <a:off x="0" y="0"/>
                            <a:ext cx="7702550" cy="3911600"/>
                          </a:xfrm>
                          <a:prstGeom prst="rect">
                            <a:avLst/>
                          </a:prstGeom>
                        </pic:spPr>
                      </pic:pic>
                    </a:graphicData>
                  </a:graphic>
                </wp:inline>
              </w:drawing>
            </w:r>
          </w:p>
          <w:p>
            <w:pPr>
              <w:spacing w:line="360" w:lineRule="auto"/>
              <w:jc w:val="center"/>
              <w:rPr>
                <w:rFonts w:hint="default" w:ascii="Times New Roman" w:hAnsi="Times New Roman" w:cs="Times New Roman"/>
                <w:b/>
                <w:bCs/>
                <w:sz w:val="24"/>
              </w:rPr>
            </w:pPr>
            <w:r>
              <w:rPr>
                <w:rFonts w:hint="default" w:ascii="Times New Roman" w:hAnsi="Times New Roman" w:cs="Times New Roman"/>
                <w:b/>
                <w:sz w:val="24"/>
              </w:rPr>
              <w:t>图2-2 塑粉平衡图（t/a）</w:t>
            </w:r>
          </w:p>
          <w:p>
            <w:pPr>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cs="Times New Roman"/>
                <w:b/>
                <w:bCs/>
                <w:sz w:val="24"/>
                <w:lang w:val="en-US" w:eastAsia="zh-CN"/>
              </w:rPr>
              <w:t>10、腻子物料平衡</w:t>
            </w:r>
          </w:p>
          <w:p>
            <w:pPr>
              <w:pStyle w:val="11"/>
              <w:widowControl w:val="0"/>
              <w:snapToGrid/>
              <w:spacing w:before="0" w:after="0" w:line="240" w:lineRule="auto"/>
              <w:ind w:right="0"/>
              <w:jc w:val="center"/>
              <w:rPr>
                <w:rFonts w:hint="default" w:ascii="Times New Roman" w:hAnsi="Times New Roman" w:cs="Times New Roman"/>
                <w:color w:val="000000"/>
                <w:sz w:val="21"/>
                <w:szCs w:val="21"/>
              </w:rPr>
            </w:pPr>
            <w:r>
              <w:rPr>
                <w:rFonts w:hint="default" w:ascii="Times New Roman" w:hAnsi="Times New Roman" w:cs="Times New Roman"/>
                <w:b/>
                <w:color w:val="000000"/>
                <w:sz w:val="24"/>
                <w:szCs w:val="24"/>
              </w:rPr>
              <w:t>表2-</w:t>
            </w:r>
            <w:r>
              <w:rPr>
                <w:rFonts w:hint="default" w:ascii="Times New Roman" w:hAnsi="Times New Roman" w:cs="Times New Roman"/>
                <w:b/>
                <w:color w:val="000000"/>
                <w:sz w:val="24"/>
                <w:szCs w:val="24"/>
                <w:lang w:val="en-US" w:eastAsia="zh-CN"/>
              </w:rPr>
              <w:t>1</w:t>
            </w:r>
            <w:r>
              <w:rPr>
                <w:rFonts w:hint="eastAsia" w:cs="Times New Roman"/>
                <w:b/>
                <w:color w:val="000000"/>
                <w:sz w:val="24"/>
                <w:szCs w:val="24"/>
                <w:lang w:val="en-US" w:eastAsia="zh-CN"/>
              </w:rPr>
              <w:t>4</w:t>
            </w:r>
            <w:r>
              <w:rPr>
                <w:rFonts w:hint="default" w:ascii="Times New Roman" w:hAnsi="Times New Roman" w:cs="Times New Roman"/>
                <w:b/>
                <w:color w:val="000000"/>
                <w:sz w:val="24"/>
                <w:szCs w:val="24"/>
              </w:rPr>
              <w:t xml:space="preserve"> </w:t>
            </w:r>
            <w:r>
              <w:rPr>
                <w:rFonts w:hint="default" w:ascii="Times New Roman" w:hAnsi="Times New Roman" w:cs="Times New Roman"/>
                <w:b/>
                <w:bCs/>
                <w:color w:val="000000"/>
                <w:sz w:val="24"/>
                <w:szCs w:val="24"/>
                <w:lang w:val="en-US" w:eastAsia="zh-CN"/>
              </w:rPr>
              <w:t>腻子</w:t>
            </w:r>
            <w:r>
              <w:rPr>
                <w:rFonts w:hint="default" w:ascii="Times New Roman" w:hAnsi="Times New Roman" w:cs="Times New Roman"/>
                <w:b/>
                <w:bCs/>
                <w:color w:val="000000"/>
                <w:sz w:val="24"/>
                <w:szCs w:val="24"/>
              </w:rPr>
              <w:t>物料平衡表</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33"/>
              <w:gridCol w:w="793"/>
              <w:gridCol w:w="1192"/>
              <w:gridCol w:w="980"/>
              <w:gridCol w:w="1393"/>
              <w:gridCol w:w="1079"/>
              <w:gridCol w:w="1312"/>
              <w:gridCol w:w="1266"/>
              <w:gridCol w:w="907"/>
              <w:gridCol w:w="1384"/>
              <w:gridCol w:w="12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3004" w:type="pct"/>
                  <w:gridSpan w:val="7"/>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投入（t/a)</w:t>
                  </w:r>
                </w:p>
              </w:tc>
              <w:tc>
                <w:tcPr>
                  <w:tcW w:w="1995" w:type="pct"/>
                  <w:gridSpan w:val="4"/>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产出（t/a)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547" w:type="pct"/>
                  <w:gridSpan w:val="2"/>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腻子</w:t>
                  </w:r>
                </w:p>
              </w:tc>
              <w:tc>
                <w:tcPr>
                  <w:tcW w:w="491"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79"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固体份</w:t>
                  </w:r>
                </w:p>
              </w:tc>
              <w:tc>
                <w:tcPr>
                  <w:tcW w:w="986"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4.756</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进入产品</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固体份</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547" w:type="pct"/>
                  <w:gridSpan w:val="2"/>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79"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86"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被去除</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颗粒物</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0.7096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1" w:hRule="atLeast"/>
                <w:jc w:val="center"/>
              </w:trPr>
              <w:tc>
                <w:tcPr>
                  <w:tcW w:w="547" w:type="pct"/>
                  <w:gridSpan w:val="2"/>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0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挥发份</w:t>
                  </w: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其中：苯系物</w:t>
                  </w:r>
                </w:p>
              </w:tc>
              <w:tc>
                <w:tcPr>
                  <w:tcW w:w="445"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0.244</w:t>
                  </w:r>
                </w:p>
              </w:tc>
              <w:tc>
                <w:tcPr>
                  <w:tcW w:w="54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0.055</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VOCs（以非甲烷总烃计）</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0.2086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19"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9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0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其中</w:t>
                  </w:r>
                </w:p>
              </w:tc>
              <w:tc>
                <w:tcPr>
                  <w:tcW w:w="571"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0.0471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19"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0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有组织排放</w:t>
                  </w:r>
                </w:p>
              </w:tc>
              <w:tc>
                <w:tcPr>
                  <w:tcW w:w="945" w:type="pct"/>
                  <w:gridSpan w:val="2"/>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VOCs（以非甲烷总烃计）</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19"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27"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91"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404"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86" w:type="pct"/>
                  <w:gridSpan w:val="2"/>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其中</w:t>
                  </w:r>
                </w:p>
              </w:tc>
              <w:tc>
                <w:tcPr>
                  <w:tcW w:w="571"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0.0052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1" w:hRule="atLeast"/>
                <w:jc w:val="center"/>
              </w:trPr>
              <w:tc>
                <w:tcPr>
                  <w:tcW w:w="219"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3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491"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404"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574"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986" w:type="pct"/>
                  <w:gridSpan w:val="2"/>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无组织排放</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颗粒物</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018" w:type="pct"/>
                  <w:gridSpan w:val="5"/>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86" w:type="pct"/>
                  <w:gridSpan w:val="2"/>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VOCs</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018" w:type="pct"/>
                  <w:gridSpan w:val="5"/>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86" w:type="pct"/>
                  <w:gridSpan w:val="2"/>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374"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其中</w:t>
                  </w:r>
                </w:p>
              </w:tc>
              <w:tc>
                <w:tcPr>
                  <w:tcW w:w="571"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苯系物</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018" w:type="pct"/>
                  <w:gridSpan w:val="5"/>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合计</w:t>
                  </w:r>
                </w:p>
              </w:tc>
              <w:tc>
                <w:tcPr>
                  <w:tcW w:w="986"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467" w:type="pct"/>
                  <w:gridSpan w:val="3"/>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总计</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bl>
          <w:p>
            <w:pPr>
              <w:spacing w:line="360" w:lineRule="auto"/>
              <w:jc w:val="center"/>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drawing>
                <wp:inline distT="0" distB="0" distL="114300" distR="114300">
                  <wp:extent cx="7194550" cy="2619375"/>
                  <wp:effectExtent l="0" t="0" r="6350" b="9525"/>
                  <wp:docPr id="37" name="图片 37" descr="腻子平衡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腻子平衡_Sheet1"/>
                          <pic:cNvPicPr>
                            <a:picLocks noChangeAspect="1"/>
                          </pic:cNvPicPr>
                        </pic:nvPicPr>
                        <pic:blipFill>
                          <a:blip r:embed="rId13"/>
                          <a:stretch>
                            <a:fillRect/>
                          </a:stretch>
                        </pic:blipFill>
                        <pic:spPr>
                          <a:xfrm>
                            <a:off x="0" y="0"/>
                            <a:ext cx="7194550" cy="2619375"/>
                          </a:xfrm>
                          <a:prstGeom prst="rect">
                            <a:avLst/>
                          </a:prstGeom>
                        </pic:spPr>
                      </pic:pic>
                    </a:graphicData>
                  </a:graphic>
                </wp:inline>
              </w:drawing>
            </w:r>
          </w:p>
          <w:p>
            <w:pPr>
              <w:spacing w:line="360" w:lineRule="auto"/>
              <w:jc w:val="center"/>
              <w:rPr>
                <w:rFonts w:hint="default" w:ascii="Times New Roman" w:hAnsi="Times New Roman" w:cs="Times New Roman"/>
                <w:b/>
                <w:bCs/>
                <w:sz w:val="24"/>
              </w:rPr>
            </w:pPr>
            <w:r>
              <w:rPr>
                <w:rFonts w:hint="default" w:ascii="Times New Roman" w:hAnsi="Times New Roman" w:cs="Times New Roman"/>
                <w:b/>
                <w:sz w:val="24"/>
              </w:rPr>
              <w:t>图2-</w:t>
            </w:r>
            <w:r>
              <w:rPr>
                <w:rFonts w:hint="default" w:ascii="Times New Roman" w:hAnsi="Times New Roman" w:cs="Times New Roman"/>
                <w:b/>
                <w:sz w:val="24"/>
                <w:lang w:val="en-US" w:eastAsia="zh-CN"/>
              </w:rPr>
              <w:t>3</w:t>
            </w:r>
            <w:r>
              <w:rPr>
                <w:rFonts w:hint="default" w:ascii="Times New Roman" w:hAnsi="Times New Roman" w:cs="Times New Roman"/>
                <w:b/>
                <w:sz w:val="24"/>
              </w:rPr>
              <w:t xml:space="preserve"> </w:t>
            </w:r>
            <w:r>
              <w:rPr>
                <w:rFonts w:hint="default" w:ascii="Times New Roman" w:hAnsi="Times New Roman" w:cs="Times New Roman"/>
                <w:b/>
                <w:sz w:val="24"/>
                <w:lang w:val="en-US" w:eastAsia="zh-CN"/>
              </w:rPr>
              <w:t>腻子物料</w:t>
            </w:r>
            <w:r>
              <w:rPr>
                <w:rFonts w:hint="default" w:ascii="Times New Roman" w:hAnsi="Times New Roman" w:cs="Times New Roman"/>
                <w:b/>
                <w:sz w:val="24"/>
              </w:rPr>
              <w:t>平衡图（t/a）</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11、全厂VOCs平衡图</w:t>
            </w:r>
          </w:p>
          <w:p>
            <w:pPr>
              <w:pStyle w:val="11"/>
              <w:widowControl w:val="0"/>
              <w:snapToGrid/>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b/>
                <w:color w:val="auto"/>
                <w:sz w:val="24"/>
                <w:szCs w:val="24"/>
              </w:rPr>
              <w:t>表2-</w:t>
            </w:r>
            <w:r>
              <w:rPr>
                <w:rFonts w:hint="default" w:ascii="Times New Roman" w:hAnsi="Times New Roman" w:cs="Times New Roman"/>
                <w:b/>
                <w:color w:val="auto"/>
                <w:sz w:val="24"/>
                <w:szCs w:val="24"/>
                <w:lang w:val="en-US" w:eastAsia="zh-CN"/>
              </w:rPr>
              <w:t>1</w:t>
            </w:r>
            <w:r>
              <w:rPr>
                <w:rFonts w:hint="eastAsia" w:cs="Times New Roman"/>
                <w:b/>
                <w:color w:val="auto"/>
                <w:sz w:val="24"/>
                <w:szCs w:val="24"/>
                <w:lang w:val="en-US" w:eastAsia="zh-CN"/>
              </w:rPr>
              <w:t>5</w:t>
            </w:r>
            <w:r>
              <w:rPr>
                <w:rFonts w:hint="default" w:ascii="Times New Roman" w:hAnsi="Times New Roman" w:cs="Times New Roman"/>
                <w:b/>
                <w:color w:val="auto"/>
                <w:sz w:val="24"/>
                <w:szCs w:val="24"/>
              </w:rPr>
              <w:t xml:space="preserve"> </w:t>
            </w:r>
            <w:r>
              <w:rPr>
                <w:rFonts w:hint="default" w:ascii="Times New Roman" w:hAnsi="Times New Roman" w:cs="Times New Roman"/>
                <w:b/>
                <w:bCs/>
                <w:color w:val="auto"/>
                <w:sz w:val="24"/>
                <w:szCs w:val="24"/>
                <w:lang w:val="en-US" w:eastAsia="zh-CN"/>
              </w:rPr>
              <w:t>全厂VOCs</w:t>
            </w:r>
            <w:r>
              <w:rPr>
                <w:rFonts w:hint="default" w:ascii="Times New Roman" w:hAnsi="Times New Roman" w:cs="Times New Roman"/>
                <w:b/>
                <w:bCs/>
                <w:color w:val="auto"/>
                <w:sz w:val="24"/>
                <w:szCs w:val="24"/>
              </w:rPr>
              <w:t>平衡表</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18"/>
              <w:gridCol w:w="2373"/>
              <w:gridCol w:w="2391"/>
              <w:gridCol w:w="1266"/>
              <w:gridCol w:w="1340"/>
              <w:gridCol w:w="951"/>
              <w:gridCol w:w="12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3004" w:type="pct"/>
                  <w:gridSpan w:val="3"/>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产生量</w:t>
                  </w:r>
                  <w:r>
                    <w:rPr>
                      <w:rFonts w:hint="default" w:ascii="Times New Roman" w:hAnsi="Times New Roman" w:eastAsia="宋体" w:cs="Times New Roman"/>
                      <w:b/>
                      <w:bCs/>
                      <w:color w:val="auto"/>
                      <w:sz w:val="21"/>
                      <w:szCs w:val="21"/>
                      <w:lang w:val="en-US" w:eastAsia="zh-CN"/>
                    </w:rPr>
                    <w:t>（t/a)</w:t>
                  </w:r>
                </w:p>
              </w:tc>
              <w:tc>
                <w:tcPr>
                  <w:tcW w:w="1995" w:type="pct"/>
                  <w:gridSpan w:val="4"/>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产出（t/a)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restar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VOCs</w:t>
                  </w:r>
                </w:p>
              </w:tc>
              <w:tc>
                <w:tcPr>
                  <w:tcW w:w="979"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发泡工序</w:t>
                  </w:r>
                </w:p>
              </w:tc>
              <w:tc>
                <w:tcPr>
                  <w:tcW w:w="986"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有组织排放</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VOCs</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79"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冷芯制模工序</w:t>
                  </w:r>
                </w:p>
              </w:tc>
              <w:tc>
                <w:tcPr>
                  <w:tcW w:w="986"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0.0265</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无组织排放</w:t>
                  </w: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VOCs</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0.2266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979"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机加工工序</w:t>
                  </w:r>
                </w:p>
              </w:tc>
              <w:tc>
                <w:tcPr>
                  <w:tcW w:w="986"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0.0113</w:t>
                  </w:r>
                </w:p>
              </w:tc>
              <w:tc>
                <w:tcPr>
                  <w:tcW w:w="522" w:type="pct"/>
                  <w:vMerge w:val="restar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进入废气净化装置</w:t>
                  </w:r>
                </w:p>
              </w:tc>
              <w:tc>
                <w:tcPr>
                  <w:tcW w:w="55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活性炭</w:t>
                  </w:r>
                </w:p>
              </w:tc>
              <w:tc>
                <w:tcPr>
                  <w:tcW w:w="392"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VOCs</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2.673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79"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腻子工序</w:t>
                  </w:r>
                </w:p>
              </w:tc>
              <w:tc>
                <w:tcPr>
                  <w:tcW w:w="986"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0.244</w:t>
                  </w:r>
                </w:p>
              </w:tc>
              <w:tc>
                <w:tcPr>
                  <w:tcW w:w="522" w:type="pct"/>
                  <w:vMerge w:val="continue"/>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p>
              </w:tc>
              <w:tc>
                <w:tcPr>
                  <w:tcW w:w="552"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磷酸喷淋塔</w:t>
                  </w:r>
                </w:p>
              </w:tc>
              <w:tc>
                <w:tcPr>
                  <w:tcW w:w="392"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VOCs</w:t>
                  </w: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w:t>
                  </w:r>
                  <w:r>
                    <w:rPr>
                      <w:rFonts w:hint="eastAsia" w:cs="Times New Roman"/>
                      <w:color w:val="auto"/>
                      <w:kern w:val="0"/>
                      <w:sz w:val="21"/>
                      <w:szCs w:val="21"/>
                      <w:lang w:val="en-US" w:eastAsia="zh-CN" w:bidi="ar-SA"/>
                    </w:rPr>
                    <w:t>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continue"/>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79"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喷涂工序</w:t>
                  </w:r>
                </w:p>
              </w:tc>
              <w:tc>
                <w:tcPr>
                  <w:tcW w:w="986" w:type="pct"/>
                  <w:tcBorders>
                    <w:tl2br w:val="nil"/>
                    <w:tr2bl w:val="nil"/>
                  </w:tcBorders>
                  <w:noWrap w:val="0"/>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2.3022</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527" w:type="pct"/>
                  <w:tcBorders>
                    <w:tl2br w:val="nil"/>
                    <w:tr2bl w:val="nil"/>
                  </w:tcBorders>
                  <w:shd w:val="clear" w:color="auto" w:fill="auto"/>
                  <w:noWrap/>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continue"/>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979"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固化工序</w:t>
                  </w:r>
                </w:p>
              </w:tc>
              <w:tc>
                <w:tcPr>
                  <w:tcW w:w="986"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0.0016</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1038" w:type="pct"/>
                  <w:vMerge w:val="continue"/>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0"/>
                      <w:sz w:val="21"/>
                      <w:szCs w:val="21"/>
                      <w:lang w:val="en-US" w:eastAsia="zh-CN" w:bidi="ar-SA"/>
                    </w:rPr>
                  </w:pPr>
                </w:p>
              </w:tc>
              <w:tc>
                <w:tcPr>
                  <w:tcW w:w="979"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危废暂存</w:t>
                  </w:r>
                </w:p>
              </w:tc>
              <w:tc>
                <w:tcPr>
                  <w:tcW w:w="986" w:type="pct"/>
                  <w:tcBorders>
                    <w:tl2br w:val="nil"/>
                    <w:tr2bl w:val="nil"/>
                  </w:tcBorders>
                  <w:shd w:val="clear" w:color="auto" w:fill="auto"/>
                  <w:noWrap w:val="0"/>
                  <w:vAlign w:val="center"/>
                </w:tcPr>
                <w:p>
                  <w:pPr>
                    <w:pStyle w:val="104"/>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0.0252</w:t>
                  </w:r>
                </w:p>
              </w:tc>
              <w:tc>
                <w:tcPr>
                  <w:tcW w:w="522"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rPr>
                  </w:pPr>
                </w:p>
              </w:tc>
              <w:tc>
                <w:tcPr>
                  <w:tcW w:w="945"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2018" w:type="pct"/>
                  <w:gridSpan w:val="2"/>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合计</w:t>
                  </w:r>
                </w:p>
              </w:tc>
              <w:tc>
                <w:tcPr>
                  <w:tcW w:w="986"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3.2108</w:t>
                  </w:r>
                </w:p>
              </w:tc>
              <w:tc>
                <w:tcPr>
                  <w:tcW w:w="1467" w:type="pct"/>
                  <w:gridSpan w:val="3"/>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总计</w:t>
                  </w:r>
                </w:p>
              </w:tc>
              <w:tc>
                <w:tcPr>
                  <w:tcW w:w="527" w:type="pct"/>
                  <w:tcBorders>
                    <w:tl2br w:val="nil"/>
                    <w:tr2bl w:val="nil"/>
                  </w:tcBorders>
                  <w:noWrap/>
                  <w:vAlign w:val="center"/>
                </w:tcPr>
                <w:p>
                  <w:pPr>
                    <w:pStyle w:val="10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3.2108</w:t>
                  </w:r>
                </w:p>
              </w:tc>
            </w:tr>
          </w:tbl>
          <w:p>
            <w:pPr>
              <w:spacing w:line="360" w:lineRule="auto"/>
              <w:jc w:val="center"/>
              <w:rPr>
                <w:rFonts w:hint="default" w:ascii="Times New Roman" w:hAnsi="Times New Roman" w:eastAsia="宋体" w:cs="Times New Roman"/>
                <w:b/>
                <w:color w:val="FF0000"/>
                <w:sz w:val="24"/>
                <w:lang w:eastAsia="zh-CN"/>
              </w:rPr>
            </w:pPr>
            <w:r>
              <w:rPr>
                <w:rFonts w:hint="default" w:ascii="Times New Roman" w:hAnsi="Times New Roman" w:eastAsia="宋体" w:cs="Times New Roman"/>
                <w:b/>
                <w:color w:val="FF0000"/>
                <w:sz w:val="24"/>
                <w:lang w:eastAsia="zh-CN"/>
              </w:rPr>
              <w:drawing>
                <wp:inline distT="0" distB="0" distL="114300" distR="114300">
                  <wp:extent cx="5910580" cy="5125720"/>
                  <wp:effectExtent l="0" t="0" r="7620" b="5080"/>
                  <wp:docPr id="4" name="图片 4" descr="全厂VOCs_Shee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全厂VOCs_Sheet1(1)"/>
                          <pic:cNvPicPr>
                            <a:picLocks noChangeAspect="1"/>
                          </pic:cNvPicPr>
                        </pic:nvPicPr>
                        <pic:blipFill>
                          <a:blip r:embed="rId14"/>
                          <a:stretch>
                            <a:fillRect/>
                          </a:stretch>
                        </pic:blipFill>
                        <pic:spPr>
                          <a:xfrm>
                            <a:off x="0" y="0"/>
                            <a:ext cx="5910580" cy="5125720"/>
                          </a:xfrm>
                          <a:prstGeom prst="rect">
                            <a:avLst/>
                          </a:prstGeom>
                        </pic:spPr>
                      </pic:pic>
                    </a:graphicData>
                  </a:graphic>
                </wp:inline>
              </w:drawing>
            </w:r>
          </w:p>
          <w:p>
            <w:pPr>
              <w:spacing w:line="360" w:lineRule="auto"/>
              <w:jc w:val="center"/>
              <w:rPr>
                <w:rFonts w:hint="default" w:ascii="Times New Roman" w:hAnsi="Times New Roman" w:cs="Times New Roman"/>
                <w:szCs w:val="21"/>
              </w:rPr>
            </w:pPr>
            <w:r>
              <w:rPr>
                <w:rFonts w:hint="default" w:ascii="Times New Roman" w:hAnsi="Times New Roman" w:cs="Times New Roman"/>
                <w:b/>
                <w:color w:val="auto"/>
                <w:sz w:val="24"/>
              </w:rPr>
              <w:t>图2-</w:t>
            </w: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val="en-US" w:eastAsia="zh-CN"/>
              </w:rPr>
              <w:t>全厂VOCs</w:t>
            </w:r>
            <w:r>
              <w:rPr>
                <w:rFonts w:hint="default" w:ascii="Times New Roman" w:hAnsi="Times New Roman" w:cs="Times New Roman"/>
                <w:b/>
                <w:color w:val="auto"/>
                <w:sz w:val="24"/>
              </w:rPr>
              <w:t>平衡图（t/a）</w:t>
            </w:r>
          </w:p>
        </w:tc>
      </w:tr>
    </w:tbl>
    <w:p>
      <w:pPr>
        <w:pStyle w:val="2"/>
        <w:rPr>
          <w:rFonts w:hint="default" w:ascii="Times New Roman" w:hAnsi="Times New Roman" w:cs="Times New Roma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5" w:hRule="atLeast"/>
          <w:jc w:val="center"/>
        </w:trPr>
        <w:tc>
          <w:tcPr>
            <w:tcW w:w="822" w:type="dxa"/>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
                <w:bCs/>
                <w:sz w:val="21"/>
                <w:szCs w:val="21"/>
              </w:rPr>
              <w:t>建设内容</w:t>
            </w:r>
          </w:p>
        </w:tc>
        <w:tc>
          <w:tcPr>
            <w:tcW w:w="7891" w:type="dxa"/>
          </w:tcPr>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val="en-US" w:eastAsia="zh-CN"/>
              </w:rPr>
              <w:t>1</w:t>
            </w:r>
            <w:r>
              <w:rPr>
                <w:rFonts w:hint="default" w:ascii="Times New Roman" w:hAnsi="Times New Roman" w:cs="Times New Roman"/>
                <w:b/>
                <w:bCs/>
                <w:sz w:val="24"/>
              </w:rPr>
              <w:t>、水平衡图</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本项目用水、排水说明：</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（1）职工生活用水、排水</w:t>
            </w:r>
          </w:p>
          <w:p>
            <w:pPr>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①生活用水</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新增职工人数为100人，年工作时间为300天。生活用水参考《建筑给水排水设计标准》（GB50015-2019），员工用水定额为50L/人/天计。排水量以用水量的80%计，职工生活用水量约为1500t/a，生活污水产生量约为1200t/a，主要污染物为COD、SS、NH</w:t>
            </w:r>
            <w:r>
              <w:rPr>
                <w:rFonts w:hint="default" w:ascii="Times New Roman" w:hAnsi="Times New Roman" w:cs="Times New Roman"/>
                <w:sz w:val="24"/>
                <w:vertAlign w:val="subscript"/>
              </w:rPr>
              <w:t>3</w:t>
            </w:r>
            <w:r>
              <w:rPr>
                <w:rFonts w:hint="default" w:ascii="Times New Roman" w:hAnsi="Times New Roman" w:cs="Times New Roman"/>
                <w:sz w:val="24"/>
              </w:rPr>
              <w:t>-N、TP、TN。生活污水经化粪池处理后排放至如皋市搬经污水处理厂处理，尾水排入焦港河。</w:t>
            </w:r>
          </w:p>
          <w:p>
            <w:pPr>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②食堂用水</w:t>
            </w:r>
          </w:p>
          <w:p>
            <w:pPr>
              <w:adjustRightInd w:val="0"/>
              <w:snapToGrid w:val="0"/>
              <w:spacing w:line="360" w:lineRule="auto"/>
              <w:ind w:firstLine="480" w:firstLineChars="200"/>
              <w:jc w:val="left"/>
              <w:rPr>
                <w:rFonts w:hint="default" w:ascii="Times New Roman" w:hAnsi="Times New Roman" w:eastAsia="宋体" w:cs="Times New Roman"/>
                <w:sz w:val="24"/>
                <w:lang w:eastAsia="zh-CN"/>
              </w:rPr>
            </w:pPr>
            <w:r>
              <w:rPr>
                <w:rFonts w:hint="default" w:ascii="Times New Roman" w:hAnsi="Times New Roman" w:cs="Times New Roman"/>
                <w:sz w:val="24"/>
              </w:rPr>
              <w:t>项目食堂就餐职工约100人，服务天数300天。根据《江苏省林牧渔业、工业、生活和服务业用水定额（2019年修订）》（苏水节〔2020〕5号），食堂用水量按15L/人•d算，则员工食堂用水量为450t/a。产污系数以0.8计，则食堂废水量约为360t/a</w:t>
            </w:r>
            <w:r>
              <w:rPr>
                <w:rFonts w:hint="default" w:ascii="Times New Roman" w:hAnsi="Times New Roman" w:cs="Times New Roman"/>
                <w:sz w:val="24"/>
                <w:lang w:eastAsia="zh-CN"/>
              </w:rPr>
              <w:t>。</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（2）锅炉用水</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①生产用水</w:t>
            </w:r>
          </w:p>
          <w:p>
            <w:pPr>
              <w:adjustRightInd w:val="0"/>
              <w:snapToGrid w:val="0"/>
              <w:spacing w:line="360" w:lineRule="auto"/>
              <w:ind w:firstLine="480" w:firstLineChars="200"/>
              <w:jc w:val="left"/>
              <w:rPr>
                <w:rFonts w:hint="eastAsia" w:cs="Times New Roman"/>
                <w:sz w:val="24"/>
                <w:lang w:val="en-US" w:eastAsia="zh-CN"/>
              </w:rPr>
            </w:pPr>
            <w:r>
              <w:rPr>
                <w:rFonts w:hint="default" w:ascii="Times New Roman" w:hAnsi="Times New Roman" w:cs="Times New Roman"/>
                <w:sz w:val="24"/>
              </w:rPr>
              <w:t>根据企业介绍，</w:t>
            </w:r>
            <w:r>
              <w:rPr>
                <w:rFonts w:hint="eastAsia" w:cs="Times New Roman"/>
                <w:sz w:val="24"/>
                <w:lang w:val="en-US" w:eastAsia="zh-CN"/>
              </w:rPr>
              <w:t>每吨可发性聚苯乙烯塑料粒子发泡需使用</w:t>
            </w:r>
            <w:r>
              <w:rPr>
                <w:rFonts w:hint="default" w:ascii="Times New Roman" w:hAnsi="Times New Roman" w:cs="Times New Roman"/>
                <w:sz w:val="24"/>
                <w:lang w:val="en-US" w:eastAsia="zh-CN"/>
              </w:rPr>
              <w:t>2</w:t>
            </w:r>
            <w:r>
              <w:rPr>
                <w:rFonts w:hint="default" w:ascii="Times New Roman" w:hAnsi="Times New Roman" w:cs="Times New Roman"/>
                <w:sz w:val="24"/>
              </w:rPr>
              <w:t>吨蒸汽，则发泡制模过程中使用</w:t>
            </w:r>
            <w:r>
              <w:rPr>
                <w:rFonts w:hint="default" w:ascii="Times New Roman" w:hAnsi="Times New Roman" w:cs="Times New Roman"/>
                <w:sz w:val="24"/>
                <w:lang w:val="en-US" w:eastAsia="zh-CN"/>
              </w:rPr>
              <w:t>1000</w:t>
            </w:r>
            <w:r>
              <w:rPr>
                <w:rFonts w:hint="default" w:ascii="Times New Roman" w:hAnsi="Times New Roman" w:cs="Times New Roman"/>
                <w:sz w:val="24"/>
              </w:rPr>
              <w:t>吨蒸汽。</w:t>
            </w:r>
            <w:r>
              <w:rPr>
                <w:rFonts w:hint="eastAsia" w:cs="Times New Roman"/>
                <w:sz w:val="24"/>
                <w:lang w:val="en-US" w:eastAsia="zh-CN"/>
              </w:rPr>
              <w:t>天然气锅炉</w:t>
            </w:r>
            <w:r>
              <w:rPr>
                <w:rFonts w:hint="default" w:ascii="Times New Roman" w:hAnsi="Times New Roman" w:cs="Times New Roman"/>
                <w:sz w:val="24"/>
              </w:rPr>
              <w:t>产生的蒸汽在使用过程中与物料进行全面接触，约损耗</w:t>
            </w:r>
            <w:r>
              <w:rPr>
                <w:rFonts w:hint="default" w:ascii="Times New Roman" w:hAnsi="Times New Roman" w:cs="Times New Roman"/>
                <w:sz w:val="24"/>
                <w:lang w:val="en-US" w:eastAsia="zh-CN"/>
              </w:rPr>
              <w:t>8</w:t>
            </w:r>
            <w:r>
              <w:rPr>
                <w:rFonts w:hint="default" w:ascii="Times New Roman" w:hAnsi="Times New Roman" w:cs="Times New Roman"/>
                <w:sz w:val="24"/>
              </w:rPr>
              <w:t>0%，除了损耗之外，蒸汽冷凝之后形成冷凝水，</w:t>
            </w:r>
            <w:r>
              <w:rPr>
                <w:rFonts w:hint="default" w:ascii="Times New Roman" w:hAnsi="Times New Roman" w:cs="Times New Roman"/>
                <w:sz w:val="24"/>
                <w:lang w:val="en-US" w:eastAsia="zh-CN"/>
              </w:rPr>
              <w:t>则蒸汽</w:t>
            </w:r>
            <w:r>
              <w:rPr>
                <w:rFonts w:hint="default" w:ascii="Times New Roman" w:hAnsi="Times New Roman" w:cs="Times New Roman"/>
                <w:sz w:val="24"/>
              </w:rPr>
              <w:t>冷凝水</w:t>
            </w:r>
            <w:r>
              <w:rPr>
                <w:rFonts w:hint="default" w:ascii="Times New Roman" w:hAnsi="Times New Roman" w:cs="Times New Roman"/>
                <w:sz w:val="24"/>
                <w:lang w:val="en-US" w:eastAsia="zh-CN"/>
              </w:rPr>
              <w:t>收集</w:t>
            </w:r>
            <w:r>
              <w:rPr>
                <w:rFonts w:hint="default" w:ascii="Times New Roman" w:hAnsi="Times New Roman" w:cs="Times New Roman"/>
                <w:sz w:val="24"/>
              </w:rPr>
              <w:t>量为</w:t>
            </w:r>
            <w:r>
              <w:rPr>
                <w:rFonts w:hint="default" w:ascii="Times New Roman" w:hAnsi="Times New Roman" w:cs="Times New Roman"/>
                <w:sz w:val="24"/>
                <w:lang w:val="en-US" w:eastAsia="zh-CN"/>
              </w:rPr>
              <w:t>200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eastAsia" w:cs="Times New Roman"/>
                <w:sz w:val="24"/>
                <w:lang w:eastAsia="zh-CN"/>
              </w:rPr>
              <w:t>，</w:t>
            </w:r>
            <w:r>
              <w:rPr>
                <w:rFonts w:hint="eastAsia" w:cs="Times New Roman"/>
                <w:sz w:val="24"/>
                <w:lang w:val="en-US" w:eastAsia="zh-CN"/>
              </w:rPr>
              <w:t>用作冷却塔补充用水。</w:t>
            </w:r>
          </w:p>
          <w:p>
            <w:pPr>
              <w:adjustRightInd w:val="0"/>
              <w:snapToGrid w:val="0"/>
              <w:spacing w:line="360" w:lineRule="auto"/>
              <w:ind w:firstLine="482" w:firstLineChars="200"/>
              <w:jc w:val="left"/>
              <w:rPr>
                <w:rFonts w:hint="default" w:ascii="Times New Roman" w:hAnsi="Times New Roman" w:eastAsia="宋体" w:cs="Times New Roman"/>
                <w:sz w:val="24"/>
                <w:lang w:val="en-US" w:eastAsia="zh-CN"/>
              </w:rPr>
            </w:pPr>
            <w:r>
              <w:rPr>
                <w:rFonts w:hint="eastAsia" w:cs="Times New Roman"/>
                <w:b/>
                <w:bCs/>
                <w:sz w:val="24"/>
                <w:lang w:val="en-US" w:eastAsia="zh-CN"/>
              </w:rPr>
              <w:t>可行性分析：</w:t>
            </w:r>
            <w:r>
              <w:rPr>
                <w:rFonts w:hint="eastAsia" w:cs="Times New Roman"/>
                <w:b w:val="0"/>
                <w:bCs w:val="0"/>
                <w:sz w:val="24"/>
                <w:lang w:val="en-US" w:eastAsia="zh-CN"/>
              </w:rPr>
              <w:t>蒸汽冷凝水为脱盐水，硬度极低，不易结垢，戊烷可能随蒸汽携带出来，但由于戊烷难溶于水，因此蒸汽冷凝水中有机物含量极低，不会影响冷却塔的正常运行。因此蒸汽冷凝水用作冷却塔补充用水可行。</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②锅炉排污水</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根据《排放源统计调查产排污核算方法和系数手册》中锅炉产排污量核算系数手册，天然气锅炉工业废水量产污系数</w:t>
            </w:r>
            <w:r>
              <w:rPr>
                <w:rFonts w:hint="eastAsia" w:cs="Times New Roman"/>
                <w:sz w:val="24"/>
                <w:lang w:val="en-US" w:eastAsia="zh-CN"/>
              </w:rPr>
              <w:t>13.56</w:t>
            </w:r>
            <w:r>
              <w:rPr>
                <w:rFonts w:hint="default" w:ascii="Times New Roman" w:hAnsi="Times New Roman" w:cs="Times New Roman"/>
                <w:sz w:val="24"/>
              </w:rPr>
              <w:t>t/万m</w:t>
            </w:r>
            <w:r>
              <w:rPr>
                <w:rFonts w:hint="default" w:ascii="Times New Roman" w:hAnsi="Times New Roman" w:cs="Times New Roman"/>
                <w:sz w:val="24"/>
                <w:vertAlign w:val="superscript"/>
              </w:rPr>
              <w:t>3</w:t>
            </w:r>
            <w:r>
              <w:rPr>
                <w:rFonts w:hint="default" w:ascii="Times New Roman" w:hAnsi="Times New Roman" w:cs="Times New Roman"/>
                <w:sz w:val="24"/>
              </w:rPr>
              <w:t>-原料，本项目锅炉用天然气</w:t>
            </w:r>
            <w:r>
              <w:rPr>
                <w:rFonts w:hint="default" w:ascii="Times New Roman" w:hAnsi="Times New Roman" w:cs="Times New Roman"/>
                <w:sz w:val="24"/>
                <w:lang w:val="en-US" w:eastAsia="zh-CN"/>
              </w:rPr>
              <w:t>8</w:t>
            </w:r>
            <w:r>
              <w:rPr>
                <w:rFonts w:hint="default" w:ascii="Times New Roman" w:hAnsi="Times New Roman" w:cs="Times New Roman"/>
                <w:sz w:val="24"/>
              </w:rPr>
              <w:t>万m</w:t>
            </w:r>
            <w:r>
              <w:rPr>
                <w:rFonts w:hint="default" w:ascii="Times New Roman" w:hAnsi="Times New Roman" w:cs="Times New Roman"/>
                <w:sz w:val="24"/>
                <w:vertAlign w:val="superscript"/>
              </w:rPr>
              <w:t>3</w:t>
            </w:r>
            <w:r>
              <w:rPr>
                <w:rFonts w:hint="default" w:ascii="Times New Roman" w:hAnsi="Times New Roman" w:cs="Times New Roman"/>
                <w:sz w:val="24"/>
              </w:rPr>
              <w:t>/a，因此产生锅炉排水</w:t>
            </w:r>
            <w:r>
              <w:rPr>
                <w:rFonts w:hint="eastAsia" w:cs="Times New Roman"/>
                <w:sz w:val="24"/>
                <w:lang w:val="en-US" w:eastAsia="zh-CN"/>
              </w:rPr>
              <w:t>108.48</w:t>
            </w:r>
            <w:r>
              <w:rPr>
                <w:rFonts w:hint="default" w:ascii="Times New Roman" w:hAnsi="Times New Roman" w:cs="Times New Roman"/>
                <w:sz w:val="24"/>
              </w:rPr>
              <w:t>t/a。锅炉排水做喷淋塔补充用水。</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因此锅炉用水量为</w:t>
            </w:r>
            <w:r>
              <w:rPr>
                <w:rFonts w:hint="default" w:ascii="Times New Roman" w:hAnsi="Times New Roman" w:cs="Times New Roman"/>
                <w:sz w:val="24"/>
                <w:lang w:val="en-US" w:eastAsia="zh-CN"/>
              </w:rPr>
              <w:t>1</w:t>
            </w:r>
            <w:r>
              <w:rPr>
                <w:rFonts w:hint="eastAsia" w:cs="Times New Roman"/>
                <w:sz w:val="24"/>
                <w:lang w:val="en-US" w:eastAsia="zh-CN"/>
              </w:rPr>
              <w:t>108.48</w:t>
            </w:r>
            <w:r>
              <w:rPr>
                <w:rFonts w:hint="default" w:ascii="Times New Roman" w:hAnsi="Times New Roman" w:cs="Times New Roman"/>
                <w:sz w:val="24"/>
              </w:rPr>
              <w:t>t/a。</w:t>
            </w:r>
          </w:p>
          <w:p>
            <w:pPr>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（3）冷却用水</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项目生产工序中采用蒸汽冷凝水进行冷却</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5</w:t>
            </w:r>
            <w:r>
              <w:rPr>
                <w:rFonts w:hint="default" w:ascii="Times New Roman" w:hAnsi="Times New Roman" w:cs="Times New Roman"/>
                <w:sz w:val="24"/>
              </w:rPr>
              <w:t>t/h</w:t>
            </w:r>
            <w:r>
              <w:rPr>
                <w:rFonts w:hint="default" w:ascii="Times New Roman" w:hAnsi="Times New Roman" w:cs="Times New Roman"/>
                <w:sz w:val="24"/>
                <w:lang w:eastAsia="zh-CN"/>
              </w:rPr>
              <w:t>）</w:t>
            </w:r>
            <w:r>
              <w:rPr>
                <w:rFonts w:hint="default" w:ascii="Times New Roman" w:hAnsi="Times New Roman" w:cs="Times New Roman"/>
                <w:sz w:val="24"/>
              </w:rPr>
              <w:t>，由于冷却用水对水质要求不高，主要是用于间接冷却脱模的温度调控，因此冷却水可循环使用不排放（考虑到盐分累积对设备和管线影响，企业会增加设备检测维护频次），循环量</w:t>
            </w:r>
            <w:r>
              <w:rPr>
                <w:rFonts w:hint="default" w:ascii="Times New Roman" w:hAnsi="Times New Roman" w:cs="Times New Roman"/>
                <w:sz w:val="24"/>
                <w:lang w:val="en-US" w:eastAsia="zh-CN"/>
              </w:rPr>
              <w:t>1250</w:t>
            </w:r>
            <w:r>
              <w:rPr>
                <w:rFonts w:hint="default" w:ascii="Times New Roman" w:hAnsi="Times New Roman" w:cs="Times New Roman"/>
                <w:sz w:val="24"/>
              </w:rPr>
              <w:t>t/a，根据《工业循环冷却水处理设计规范》(GB/T50050-2017)，开式系统的补充水量可按下列公式计算：</w:t>
            </w:r>
          </w:p>
          <w:p>
            <w:pPr>
              <w:adjustRightInd w:val="0"/>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Qm=Qe*N/（N-1），Qe=k*∆t*Qr</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式中：Qm—补充水量（m</w:t>
            </w:r>
            <w:r>
              <w:rPr>
                <w:rFonts w:hint="default" w:ascii="Times New Roman" w:hAnsi="Times New Roman" w:cs="Times New Roman"/>
                <w:sz w:val="24"/>
                <w:vertAlign w:val="superscript"/>
              </w:rPr>
              <w:t>3</w:t>
            </w:r>
            <w:r>
              <w:rPr>
                <w:rFonts w:hint="default" w:ascii="Times New Roman" w:hAnsi="Times New Roman" w:cs="Times New Roman"/>
                <w:sz w:val="24"/>
              </w:rPr>
              <w:t>/h）；Qe—蒸发水量（m</w:t>
            </w:r>
            <w:r>
              <w:rPr>
                <w:rFonts w:hint="default" w:ascii="Times New Roman" w:hAnsi="Times New Roman" w:cs="Times New Roman"/>
                <w:sz w:val="24"/>
                <w:vertAlign w:val="superscript"/>
              </w:rPr>
              <w:t>3</w:t>
            </w:r>
            <w:r>
              <w:rPr>
                <w:rFonts w:hint="default" w:ascii="Times New Roman" w:hAnsi="Times New Roman" w:cs="Times New Roman"/>
                <w:sz w:val="24"/>
              </w:rPr>
              <w:t>/h）；N-浓缩倍数，取值3；Qr—循环冷却水量（m</w:t>
            </w:r>
            <w:r>
              <w:rPr>
                <w:rFonts w:hint="default" w:ascii="Times New Roman" w:hAnsi="Times New Roman" w:cs="Times New Roman"/>
                <w:sz w:val="24"/>
                <w:vertAlign w:val="superscript"/>
              </w:rPr>
              <w:t>3</w:t>
            </w:r>
            <w:r>
              <w:rPr>
                <w:rFonts w:hint="default" w:ascii="Times New Roman" w:hAnsi="Times New Roman" w:cs="Times New Roman"/>
                <w:sz w:val="24"/>
              </w:rPr>
              <w:t>/h）；∆t-温差（℃），取值</w:t>
            </w:r>
            <w:r>
              <w:rPr>
                <w:rFonts w:hint="default" w:ascii="Times New Roman" w:hAnsi="Times New Roman" w:cs="Times New Roman"/>
                <w:sz w:val="24"/>
                <w:lang w:val="en-US" w:eastAsia="zh-CN"/>
              </w:rPr>
              <w:t>80</w:t>
            </w:r>
            <w:r>
              <w:rPr>
                <w:rFonts w:hint="default" w:ascii="Times New Roman" w:hAnsi="Times New Roman" w:cs="Times New Roman"/>
                <w:sz w:val="24"/>
              </w:rPr>
              <w:t>；k-蒸发损失系数，取值0.0015。</w:t>
            </w:r>
          </w:p>
          <w:p>
            <w:pPr>
              <w:adjustRightInd w:val="0"/>
              <w:snapToGrid w:val="0"/>
              <w:spacing w:line="360" w:lineRule="auto"/>
              <w:ind w:firstLine="480" w:firstLineChars="200"/>
              <w:jc w:val="left"/>
              <w:rPr>
                <w:rFonts w:hint="default" w:ascii="Times New Roman" w:hAnsi="Times New Roman" w:cs="Times New Roman"/>
                <w:sz w:val="24"/>
              </w:rPr>
            </w:pPr>
            <w:r>
              <w:rPr>
                <w:rFonts w:hint="eastAsia" w:cs="Times New Roman"/>
                <w:sz w:val="24"/>
                <w:lang w:val="en-US" w:eastAsia="zh-CN"/>
              </w:rPr>
              <w:t>冷却塔需</w:t>
            </w:r>
            <w:r>
              <w:rPr>
                <w:rFonts w:hint="default" w:ascii="Times New Roman" w:hAnsi="Times New Roman" w:cs="Times New Roman"/>
                <w:sz w:val="24"/>
              </w:rPr>
              <w:t>补充水量约</w:t>
            </w:r>
            <w:r>
              <w:rPr>
                <w:rFonts w:hint="default" w:ascii="Times New Roman" w:hAnsi="Times New Roman" w:cs="Times New Roman"/>
                <w:sz w:val="24"/>
                <w:lang w:val="en-US" w:eastAsia="zh-CN"/>
              </w:rPr>
              <w:t>225</w:t>
            </w:r>
            <w:r>
              <w:rPr>
                <w:rFonts w:hint="default" w:ascii="Times New Roman" w:hAnsi="Times New Roman" w:cs="Times New Roman"/>
                <w:sz w:val="24"/>
              </w:rPr>
              <w:t>t/a，</w:t>
            </w:r>
            <w:r>
              <w:rPr>
                <w:rFonts w:hint="eastAsia" w:cs="Times New Roman"/>
                <w:sz w:val="24"/>
                <w:lang w:val="en-US" w:eastAsia="zh-CN"/>
              </w:rPr>
              <w:t>一</w:t>
            </w:r>
            <w:r>
              <w:rPr>
                <w:rFonts w:hint="default" w:ascii="Times New Roman" w:hAnsi="Times New Roman" w:cs="Times New Roman"/>
                <w:sz w:val="24"/>
              </w:rPr>
              <w:t>部分由蒸汽经冷凝后进行补充</w:t>
            </w:r>
            <w:r>
              <w:rPr>
                <w:rFonts w:hint="eastAsia" w:cs="Times New Roman"/>
                <w:sz w:val="24"/>
                <w:lang w:eastAsia="zh-CN"/>
              </w:rPr>
              <w:t>，</w:t>
            </w:r>
            <w:r>
              <w:rPr>
                <w:rFonts w:hint="eastAsia" w:cs="Times New Roman"/>
                <w:sz w:val="24"/>
                <w:lang w:val="en-US" w:eastAsia="zh-CN"/>
              </w:rPr>
              <w:t>其余部分用自来水补充</w:t>
            </w:r>
            <w:r>
              <w:rPr>
                <w:rFonts w:hint="default" w:ascii="Times New Roman" w:hAnsi="Times New Roman" w:cs="Times New Roman"/>
                <w:sz w:val="24"/>
              </w:rPr>
              <w:t>。本项目蒸汽冷凝水收集量为</w:t>
            </w:r>
            <w:r>
              <w:rPr>
                <w:rFonts w:hint="default" w:ascii="Times New Roman" w:hAnsi="Times New Roman" w:cs="Times New Roman"/>
                <w:sz w:val="24"/>
                <w:lang w:val="en-US" w:eastAsia="zh-CN"/>
              </w:rPr>
              <w:t>200</w:t>
            </w:r>
            <w:r>
              <w:rPr>
                <w:rFonts w:hint="default" w:ascii="Times New Roman" w:hAnsi="Times New Roman" w:cs="Times New Roman"/>
                <w:sz w:val="24"/>
              </w:rPr>
              <w:t>t/a</w:t>
            </w:r>
            <w:r>
              <w:rPr>
                <w:rFonts w:hint="eastAsia" w:cs="Times New Roman"/>
                <w:sz w:val="24"/>
                <w:lang w:eastAsia="zh-CN"/>
              </w:rPr>
              <w:t>，</w:t>
            </w:r>
            <w:r>
              <w:rPr>
                <w:rFonts w:hint="default" w:ascii="Times New Roman" w:hAnsi="Times New Roman" w:cs="Times New Roman"/>
                <w:sz w:val="24"/>
              </w:rPr>
              <w:t>另行补充水量</w:t>
            </w:r>
            <w:r>
              <w:rPr>
                <w:rFonts w:hint="default" w:ascii="Times New Roman" w:hAnsi="Times New Roman" w:cs="Times New Roman"/>
                <w:sz w:val="24"/>
                <w:lang w:val="en-US" w:eastAsia="zh-CN"/>
              </w:rPr>
              <w:t>25</w:t>
            </w:r>
            <w:r>
              <w:rPr>
                <w:rFonts w:hint="default" w:ascii="Times New Roman" w:hAnsi="Times New Roman" w:cs="Times New Roman"/>
                <w:sz w:val="24"/>
              </w:rPr>
              <w:t>t/a。</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cs="Times New Roman"/>
                <w:sz w:val="24"/>
                <w:lang w:val="en-US" w:eastAsia="zh-CN"/>
              </w:rPr>
              <w:t>4</w:t>
            </w:r>
            <w:r>
              <w:rPr>
                <w:rFonts w:hint="default" w:ascii="Times New Roman" w:hAnsi="Times New Roman" w:cs="Times New Roman"/>
                <w:sz w:val="24"/>
              </w:rPr>
              <w:t>）喷淋塔用水</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本项目酸雾处理喷淋塔参考《简明通风设计手册》（孙一坚主编）第527页表10-48“各种吸收装置的技术经济比较”，水喷淋塔的液气比0.1~1.0L/m</w:t>
            </w:r>
            <w:r>
              <w:rPr>
                <w:rFonts w:hint="default" w:ascii="Times New Roman" w:hAnsi="Times New Roman" w:cs="Times New Roman"/>
                <w:sz w:val="24"/>
                <w:vertAlign w:val="superscript"/>
              </w:rPr>
              <w:t>3</w:t>
            </w:r>
            <w:r>
              <w:rPr>
                <w:rFonts w:hint="default" w:ascii="Times New Roman" w:hAnsi="Times New Roman" w:cs="Times New Roman"/>
                <w:sz w:val="24"/>
              </w:rPr>
              <w:t>（取1.0L/m</w:t>
            </w:r>
            <w:r>
              <w:rPr>
                <w:rFonts w:hint="default" w:ascii="Times New Roman" w:hAnsi="Times New Roman" w:cs="Times New Roman"/>
                <w:sz w:val="24"/>
                <w:vertAlign w:val="superscript"/>
              </w:rPr>
              <w:t>3</w:t>
            </w:r>
            <w:r>
              <w:rPr>
                <w:rFonts w:hint="default" w:ascii="Times New Roman" w:hAnsi="Times New Roman" w:cs="Times New Roman"/>
                <w:sz w:val="24"/>
              </w:rPr>
              <w:t>），风量为18000m</w:t>
            </w:r>
            <w:r>
              <w:rPr>
                <w:rFonts w:hint="default" w:ascii="Times New Roman" w:hAnsi="Times New Roman" w:cs="Times New Roman"/>
                <w:sz w:val="24"/>
                <w:vertAlign w:val="superscript"/>
              </w:rPr>
              <w:t>3</w:t>
            </w:r>
            <w:r>
              <w:rPr>
                <w:rFonts w:hint="default" w:ascii="Times New Roman" w:hAnsi="Times New Roman" w:cs="Times New Roman"/>
                <w:sz w:val="24"/>
              </w:rPr>
              <w:t>/h，则循环水量为18t/h，喷淋塔年运行</w:t>
            </w:r>
            <w:r>
              <w:rPr>
                <w:rFonts w:hint="default" w:ascii="Times New Roman" w:hAnsi="Times New Roman" w:cs="Times New Roman"/>
                <w:sz w:val="24"/>
                <w:lang w:val="en-US" w:eastAsia="zh-CN"/>
              </w:rPr>
              <w:t>6</w:t>
            </w:r>
            <w:r>
              <w:rPr>
                <w:rFonts w:hint="default" w:ascii="Times New Roman" w:hAnsi="Times New Roman" w:cs="Times New Roman"/>
                <w:sz w:val="24"/>
              </w:rPr>
              <w:t>00h，总循环水量为1.</w:t>
            </w:r>
            <w:r>
              <w:rPr>
                <w:rFonts w:hint="default" w:ascii="Times New Roman" w:hAnsi="Times New Roman" w:cs="Times New Roman"/>
                <w:sz w:val="24"/>
                <w:lang w:val="en-US" w:eastAsia="zh-CN"/>
              </w:rPr>
              <w:t>08</w:t>
            </w:r>
            <w:r>
              <w:rPr>
                <w:rFonts w:hint="default" w:ascii="Times New Roman" w:hAnsi="Times New Roman" w:cs="Times New Roman"/>
                <w:sz w:val="24"/>
              </w:rPr>
              <w:t>万m</w:t>
            </w:r>
            <w:r>
              <w:rPr>
                <w:rFonts w:hint="default" w:ascii="Times New Roman" w:hAnsi="Times New Roman" w:cs="Times New Roman"/>
                <w:sz w:val="24"/>
                <w:vertAlign w:val="superscript"/>
              </w:rPr>
              <w:t>3</w:t>
            </w:r>
            <w:r>
              <w:rPr>
                <w:rFonts w:hint="default" w:ascii="Times New Roman" w:hAnsi="Times New Roman" w:cs="Times New Roman"/>
                <w:sz w:val="24"/>
              </w:rPr>
              <w:t>。喷淋塔损耗水量约占循环水量的1</w:t>
            </w:r>
            <w:r>
              <w:rPr>
                <w:rFonts w:hint="default" w:ascii="Times New Roman" w:hAnsi="Times New Roman" w:cs="Times New Roman"/>
                <w:sz w:val="24"/>
                <w:lang w:val="en-US" w:eastAsia="zh-CN"/>
              </w:rPr>
              <w:t>%</w:t>
            </w:r>
            <w:r>
              <w:rPr>
                <w:rFonts w:hint="default" w:ascii="Times New Roman" w:hAnsi="Times New Roman" w:cs="Times New Roman"/>
                <w:sz w:val="24"/>
              </w:rPr>
              <w:t>，则需补充水量为1</w:t>
            </w:r>
            <w:r>
              <w:rPr>
                <w:rFonts w:hint="default" w:ascii="Times New Roman" w:hAnsi="Times New Roman" w:cs="Times New Roman"/>
                <w:sz w:val="24"/>
                <w:lang w:val="en-US" w:eastAsia="zh-CN"/>
              </w:rPr>
              <w:t>08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/a。本项目喷淋塔每月更换一次用水，配备的水箱容积为3.44m</w:t>
            </w:r>
            <w:r>
              <w:rPr>
                <w:rFonts w:hint="default" w:ascii="Times New Roman" w:hAnsi="Times New Roman" w:cs="Times New Roman"/>
                <w:sz w:val="24"/>
                <w:vertAlign w:val="superscript"/>
              </w:rPr>
              <w:t>3</w:t>
            </w:r>
            <w:r>
              <w:rPr>
                <w:rFonts w:hint="default" w:ascii="Times New Roman" w:hAnsi="Times New Roman" w:cs="Times New Roman"/>
                <w:sz w:val="24"/>
              </w:rPr>
              <w:t>，则年更换水量为41.28m</w:t>
            </w:r>
            <w:r>
              <w:rPr>
                <w:rFonts w:hint="default" w:ascii="Times New Roman" w:hAnsi="Times New Roman" w:cs="Times New Roman"/>
                <w:sz w:val="24"/>
                <w:vertAlign w:val="superscript"/>
              </w:rPr>
              <w:t>3</w:t>
            </w:r>
            <w:r>
              <w:rPr>
                <w:rFonts w:hint="default" w:ascii="Times New Roman" w:hAnsi="Times New Roman" w:cs="Times New Roman"/>
                <w:sz w:val="24"/>
              </w:rPr>
              <w:t>，因此，项目喷淋塔年用水量为</w:t>
            </w:r>
            <w:r>
              <w:rPr>
                <w:rFonts w:hint="default" w:ascii="Times New Roman" w:hAnsi="Times New Roman" w:cs="Times New Roman"/>
                <w:sz w:val="24"/>
                <w:lang w:val="en-US" w:eastAsia="zh-CN"/>
              </w:rPr>
              <w:t>149.28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。产生的喷淋塔废水作危废处置。</w:t>
            </w:r>
          </w:p>
          <w:p>
            <w:pPr>
              <w:numPr>
                <w:ilvl w:val="0"/>
                <w:numId w:val="0"/>
              </w:numPr>
              <w:adjustRightInd w:val="0"/>
              <w:snapToGrid w:val="0"/>
              <w:spacing w:line="360" w:lineRule="auto"/>
              <w:ind w:firstLine="480" w:firstLineChars="20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t>（6）雨水</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color w:val="000000"/>
                <w:sz w:val="24"/>
                <w:lang w:val="en-US" w:eastAsia="zh-CN"/>
              </w:rPr>
              <w:t>本项目</w:t>
            </w:r>
            <w:r>
              <w:rPr>
                <w:rFonts w:hint="default" w:ascii="Times New Roman" w:hAnsi="Times New Roman" w:cs="Times New Roman"/>
                <w:color w:val="000000"/>
                <w:sz w:val="24"/>
              </w:rPr>
              <w:t>雨水经收集后排入雨水管网，最终汇入搬北河</w:t>
            </w:r>
            <w:r>
              <w:rPr>
                <w:rFonts w:hint="default" w:ascii="Times New Roman" w:hAnsi="Times New Roman" w:cs="Times New Roman"/>
                <w:color w:val="000000"/>
                <w:sz w:val="24"/>
                <w:lang w:eastAsia="zh-CN"/>
              </w:rPr>
              <w:t>。</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项目不对初期雨水进行收集接管：依照生态环境部部长信箱2019年4月曾针对雨水执行标准问题进行回复（关于雨水排放咨询的回复），指出：“企业在生产过程中，因物料遗撒、跑冒滴漏等原因，通常在厂区地面残留较多原辅料和废弃物，在降雨时被冲刷带入雨水管道，对雨水造成污染。因此，若不对污染雨水加以收集处理，任其通过雨水排口直接外排，将对水生态环境造成不利影响。为控制污染雨水，多项排放标准已将初期雨水或污染雨水纳入管控范围，要求达标排放。”本项目生产均在厂房内部进行，如因物料遗撒、跑冒滴漏均在厂房内部可进行防治，在降雨时不涉及冲刷带入雨水管道的情况，且项目属于〔C3421〕金属切削机床制造，不属于《江苏省重点行业工业企业雨水排放环境管理办法（试行）》范围内，故本项目不予考虑初期雨水。</w:t>
            </w:r>
          </w:p>
          <w:p>
            <w:pPr>
              <w:adjustRightInd w:val="0"/>
              <w:snapToGrid w:val="0"/>
              <w:spacing w:line="36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4942205" cy="3373755"/>
                  <wp:effectExtent l="0" t="0" r="0" b="0"/>
                  <wp:docPr id="15" name="ECB019B1-382A-4266-B25C-5B523AA43C14-1" descr="C:/Users/Administrator/AppData/Local/Temp/wps.wWWbI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 descr="C:/Users/Administrator/AppData/Local/Temp/wps.wWWbIdwps"/>
                          <pic:cNvPicPr>
                            <a:picLocks noChangeAspect="1"/>
                          </pic:cNvPicPr>
                        </pic:nvPicPr>
                        <pic:blipFill>
                          <a:blip r:embed="rId15"/>
                          <a:stretch>
                            <a:fillRect/>
                          </a:stretch>
                        </pic:blipFill>
                        <pic:spPr>
                          <a:xfrm>
                            <a:off x="0" y="0"/>
                            <a:ext cx="4942205" cy="3373755"/>
                          </a:xfrm>
                          <a:prstGeom prst="rect">
                            <a:avLst/>
                          </a:prstGeom>
                        </pic:spPr>
                      </pic:pic>
                    </a:graphicData>
                  </a:graphic>
                </wp:inline>
              </w:drawing>
            </w:r>
          </w:p>
          <w:p>
            <w:pPr>
              <w:spacing w:line="360" w:lineRule="auto"/>
              <w:ind w:firstLine="482"/>
              <w:jc w:val="center"/>
              <w:rPr>
                <w:rFonts w:hint="default" w:ascii="Times New Roman" w:hAnsi="Times New Roman" w:cs="Times New Roman"/>
                <w:szCs w:val="21"/>
              </w:rPr>
            </w:pPr>
            <w:r>
              <w:rPr>
                <w:rFonts w:hint="default" w:ascii="Times New Roman" w:hAnsi="Times New Roman" w:cs="Times New Roman"/>
                <w:b/>
                <w:sz w:val="24"/>
              </w:rPr>
              <w:t>图2-</w:t>
            </w:r>
            <w:r>
              <w:rPr>
                <w:rFonts w:hint="default" w:ascii="Times New Roman" w:hAnsi="Times New Roman" w:cs="Times New Roman"/>
                <w:b/>
                <w:sz w:val="24"/>
                <w:lang w:val="en-US" w:eastAsia="zh-CN"/>
              </w:rPr>
              <w:t>5</w:t>
            </w:r>
            <w:r>
              <w:rPr>
                <w:rFonts w:hint="default" w:ascii="Times New Roman" w:hAnsi="Times New Roman" w:cs="Times New Roman"/>
                <w:b/>
                <w:sz w:val="24"/>
              </w:rPr>
              <w:t xml:space="preserve">  本项目水平衡图（t/a）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25" w:hRule="atLeast"/>
          <w:jc w:val="center"/>
        </w:trPr>
        <w:tc>
          <w:tcPr>
            <w:tcW w:w="822" w:type="dxa"/>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工艺流程和产排污环节</w:t>
            </w: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工艺流程和产排污环节</w:t>
            </w: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center"/>
              <w:rPr>
                <w:rFonts w:hint="default" w:ascii="Times New Roman" w:hAnsi="Times New Roman" w:cs="Times New Roman"/>
                <w:sz w:val="21"/>
                <w:szCs w:val="21"/>
              </w:rPr>
            </w:pPr>
          </w:p>
          <w:p>
            <w:pPr>
              <w:pStyle w:val="22"/>
              <w:adjustRightInd w:val="0"/>
              <w:snapToGrid w:val="0"/>
              <w:spacing w:before="0" w:beforeAutospacing="0" w:after="0" w:afterAutospacing="0"/>
              <w:jc w:val="both"/>
              <w:rPr>
                <w:rFonts w:hint="default" w:ascii="Times New Roman" w:hAnsi="Times New Roman" w:cs="Times New Roman"/>
                <w:sz w:val="21"/>
                <w:szCs w:val="21"/>
              </w:rPr>
            </w:pPr>
          </w:p>
        </w:tc>
        <w:tc>
          <w:tcPr>
            <w:tcW w:w="7891" w:type="dxa"/>
          </w:tcPr>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1、施工期</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本项目新建生产车间及配套辅助用房，施工期工艺流程及产污环节见图2-</w:t>
            </w:r>
            <w:r>
              <w:rPr>
                <w:rFonts w:hint="default" w:ascii="Times New Roman" w:hAnsi="Times New Roman" w:cs="Times New Roman"/>
                <w:color w:val="000000"/>
                <w:sz w:val="24"/>
                <w:lang w:val="en-US" w:eastAsia="zh-CN"/>
              </w:rPr>
              <w:t>6</w:t>
            </w:r>
            <w:r>
              <w:rPr>
                <w:rFonts w:hint="default" w:ascii="Times New Roman" w:hAnsi="Times New Roman" w:cs="Times New Roman"/>
                <w:color w:val="000000"/>
                <w:sz w:val="24"/>
              </w:rPr>
              <w:t>。</w:t>
            </w:r>
          </w:p>
          <w:p>
            <w:pPr>
              <w:spacing w:line="360" w:lineRule="auto"/>
              <w:rPr>
                <w:rFonts w:hint="default" w:ascii="Times New Roman" w:hAnsi="Times New Roman" w:cs="Times New Roman"/>
                <w:color w:val="000000"/>
                <w:sz w:val="24"/>
              </w:rPr>
            </w:pPr>
            <w:r>
              <w:rPr>
                <w:rFonts w:hint="default" w:ascii="Times New Roman" w:hAnsi="Times New Roman" w:cs="Times New Roman"/>
                <w:color w:val="000000"/>
              </w:rPr>
              <w:drawing>
                <wp:inline distT="0" distB="0" distL="114300" distR="114300">
                  <wp:extent cx="4756785" cy="5624830"/>
                  <wp:effectExtent l="0" t="0" r="5715" b="139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rcRect b="8789"/>
                          <a:stretch>
                            <a:fillRect/>
                          </a:stretch>
                        </pic:blipFill>
                        <pic:spPr>
                          <a:xfrm>
                            <a:off x="0" y="0"/>
                            <a:ext cx="4756785" cy="5624830"/>
                          </a:xfrm>
                          <a:prstGeom prst="rect">
                            <a:avLst/>
                          </a:prstGeom>
                          <a:noFill/>
                          <a:ln>
                            <a:noFill/>
                          </a:ln>
                        </pic:spPr>
                      </pic:pic>
                    </a:graphicData>
                  </a:graphic>
                </wp:inline>
              </w:drawing>
            </w:r>
          </w:p>
          <w:p>
            <w:pPr>
              <w:spacing w:line="360" w:lineRule="auto"/>
              <w:ind w:firstLine="482"/>
              <w:jc w:val="center"/>
              <w:rPr>
                <w:rFonts w:hint="default" w:ascii="Times New Roman" w:hAnsi="Times New Roman" w:cs="Times New Roman"/>
                <w:b/>
                <w:sz w:val="24"/>
              </w:rPr>
            </w:pPr>
            <w:r>
              <w:rPr>
                <w:rFonts w:hint="default" w:ascii="Times New Roman" w:hAnsi="Times New Roman" w:cs="Times New Roman"/>
                <w:b/>
                <w:sz w:val="24"/>
              </w:rPr>
              <w:t>图2-</w:t>
            </w:r>
            <w:r>
              <w:rPr>
                <w:rFonts w:hint="default" w:ascii="Times New Roman" w:hAnsi="Times New Roman" w:cs="Times New Roman"/>
                <w:b/>
                <w:sz w:val="24"/>
                <w:lang w:val="en-US" w:eastAsia="zh-CN"/>
              </w:rPr>
              <w:t>6</w:t>
            </w:r>
            <w:r>
              <w:rPr>
                <w:rFonts w:hint="default" w:ascii="Times New Roman" w:hAnsi="Times New Roman" w:cs="Times New Roman"/>
                <w:b/>
                <w:sz w:val="24"/>
              </w:rPr>
              <w:t xml:space="preserve">  施工期施工流程图</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工艺流程简述：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（1）填土、夯实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填土是将软弱土层挖至天然好土，然后做砂框，用平板振荡器挡实，再进行分层填土，然后用10～12吨的压路机分遍碾压，碾压时需浇水湿润填土以利于密实。夯实是利用起重机械吊起特制的重锤来冲击基土表面，使地基受到压密。适用于加固稍湿的压缩不均的各种土和人工填土。一般夯打为8～12遍，重锤夯实应分段进行，第一遍按一夯挨一夯进行，在一次循环中同一夯位应连夯二下，下一循环有1/2锤底直径搭接，如此反复进行。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主要污染物是施工机械产生的噪声，挖填土的粉尘。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（2）钻孔灌注桩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钻孔设备钻孔后，用钢筋混凝土浇灌。浇灌时用光圆钢做导杆，放入钢筋笼（架），用溜筒注放预先拌制均匀的混凝土。浇注时应随灌、随振、随提棒，振捣均匀，不满振、不过振，防止混凝土不实和素浆上浮。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主要污染物是施工机械产生的噪声，拌制混凝土时的砂浆水、粉尘。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（3）现浇钢砼柱梁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根据施工图纸，首先进行钢筋的配料和加工，钢筋加工主要包括调直、下料剪切、接长、弯曲等物理过程，然后进行钢筋的绑扎，安装于架好模板之处。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混凝土的拌制则利用自落式和强制式搅拌机两种，向搅拌机料斗中依次加入砂、水泥、石子和水，装料量为搅拌机几何容积的1/2～1/3。拌制完后，根据</w:t>
            </w:r>
            <w:r>
              <w:rPr>
                <w:rFonts w:hint="default" w:ascii="Times New Roman" w:hAnsi="Times New Roman" w:cs="Times New Roman"/>
                <w:color w:val="000000"/>
                <w:sz w:val="24"/>
                <w:lang w:eastAsia="zh-CN"/>
              </w:rPr>
              <w:t>浇筑</w:t>
            </w:r>
            <w:r>
              <w:rPr>
                <w:rFonts w:hint="default" w:ascii="Times New Roman" w:hAnsi="Times New Roman" w:cs="Times New Roman"/>
                <w:color w:val="000000"/>
                <w:sz w:val="24"/>
              </w:rPr>
              <w:t xml:space="preserve">量、运输距离等选用运输工具，尽可能及时连续进行浇筑，在下一层初凝前，将上一层混凝土灌下，并捣实使上下层紧密结合。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混凝土成型后，为了保证水泥水化作用能正常进行，采用浇水养护，防止水分过早蒸发或冻结。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主要污染物是搅拌机产生的噪声，拌制混凝土时的砂浆水、粉尘，以及废钢筋等建筑垃圾。</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（4）砖墙砌筑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首先进行水泥砂浆的调配，用水泥砂浆抄平钢砼柱、梁的基面，利用经纬仪、垂球和龙门板放线，并弹出纵横墙边线。然后在弹好线的基面上按选定的组砌方式进行摆脚，立好匹数杆，再据此挂线砌筑。一般采用铺灰挤砌法和铲灰挤砌法，砖墙砌筑完毕后，进行勾缝隙。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该工段和现浇钢砼柱梁工段施工期长，是施工期的主体工程。主要污染物是搅拌机产生的噪声，拌制砂浆时的砂浆水、粉尘，以及碎砖等建筑垃圾。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（5）门窗制作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利用各种加工器械对木材、塑钢等按图进行加工，主要污染物是加工器械产生的噪声，各种废弃的下脚料等。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（6）屋面制作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屋面由结构层、防水层和保护层组成。防水层一般有柔性防水、刚性防水和涂料防水三种做法，本项目采用柔性防水。平屋面做法是在现浇制板上刷一道结合水泥浆，851隔气层一道，用水泥珍珠岩建隔热层，再抹20～30mm厚、内掺 5%防水剂的水泥砂浆，表面罩一层1:6:8防水水泥浆（防水剂：水：水泥）。防水剂选用高分子防水卷材。瓦屋面做法是在现浇制板上刷一道结合水泥浆，抄平，粉挂瓦条和水泥彩瓦。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主要污染物是搅拌机的噪声，拌制砂浆时的砂浆水、粉尘，以及碎砖瓦、废弃的防水剂包装桶等固废。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（7）管线安装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先对管线途经墙壁进行穿孔，安装水、电、管煤等管线，然后将其固定在墙壁上。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主要污染物是对墙壁进行敲打、钻孔时产生的噪声、粉尘，以及碎砖块等建筑垃圾。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（8）抹灰、贴面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抹灰先外墙后内墙。外墙由上而下，先阳角线、台口线，后抹窗台和墙面。用1:2水泥砂浆抹内外墙，根据要求，对外墙分别采用浅色环保型高级涂料和浅灰色仿石涂料喷刷。</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主要污染物是搅拌机的噪声，拌制砂浆时的砂浆水、粉尘，以及废砂浆、废弃的涂料包装桶等固废。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（9）油漆施工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本项目仅对外露的铁件进行油漆施工，先刷防锈底漆，再刷两遍调和漆。因需进行油漆作业的工件很少，油漆使用量较少，施工期短，挥发的有机废气量小，且呈无组织面源排放模式，对周围环境的影响是暂时和局部的。该工段还会有废弃的油漆包装桶等固废产生。 </w:t>
            </w:r>
          </w:p>
          <w:p>
            <w:pPr>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 xml:space="preserve">（10）附属工程 </w:t>
            </w:r>
          </w:p>
          <w:p>
            <w:pPr>
              <w:pStyle w:val="101"/>
              <w:ind w:firstLine="480"/>
              <w:rPr>
                <w:rFonts w:hint="default" w:ascii="Times New Roman" w:hAnsi="Times New Roman" w:cs="Times New Roman"/>
                <w:sz w:val="24"/>
                <w:szCs w:val="24"/>
              </w:rPr>
            </w:pPr>
            <w:r>
              <w:rPr>
                <w:rFonts w:hint="default" w:ascii="Times New Roman" w:hAnsi="Times New Roman" w:cs="Times New Roman"/>
                <w:color w:val="000000"/>
                <w:sz w:val="24"/>
                <w:szCs w:val="24"/>
              </w:rPr>
              <w:t>包括道路、围墙、化粪池、窨井、下水道等施工，主要污染物是施工机械的噪声，拌制砂浆时的砂浆水、粉尘，以及废砂浆、废弃的下脚料等固废。</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2、运营期</w:t>
            </w:r>
          </w:p>
          <w:p>
            <w:pPr>
              <w:adjustRightInd w:val="0"/>
              <w:snapToGrid w:val="0"/>
              <w:spacing w:line="360" w:lineRule="auto"/>
              <w:ind w:firstLine="480" w:firstLineChars="200"/>
              <w:rPr>
                <w:rFonts w:hint="default" w:ascii="Times New Roman" w:hAnsi="Times New Roman" w:cs="Times New Roman"/>
                <w:szCs w:val="21"/>
              </w:rPr>
            </w:pPr>
            <w:r>
              <w:rPr>
                <w:rFonts w:hint="default" w:ascii="Times New Roman" w:hAnsi="Times New Roman" w:cs="Times New Roman"/>
                <w:sz w:val="24"/>
              </w:rPr>
              <w:t>本项目生产工艺流程及产污节点图见图2-</w:t>
            </w:r>
            <w:r>
              <w:rPr>
                <w:rFonts w:hint="default" w:ascii="Times New Roman" w:hAnsi="Times New Roman" w:cs="Times New Roman"/>
                <w:sz w:val="24"/>
                <w:lang w:val="en-US" w:eastAsia="zh-CN"/>
              </w:rPr>
              <w:t>7</w:t>
            </w:r>
            <w:r>
              <w:rPr>
                <w:rFonts w:hint="default" w:ascii="Times New Roman" w:hAnsi="Times New Roman" w:cs="Times New Roman"/>
                <w:sz w:val="24"/>
              </w:rPr>
              <w:t>。</w:t>
            </w:r>
          </w:p>
          <w:p>
            <w:pPr>
              <w:adjustRightInd w:val="0"/>
              <w:snapToGrid w:val="0"/>
              <w:spacing w:line="360" w:lineRule="auto"/>
              <w:jc w:val="center"/>
              <w:rPr>
                <w:rFonts w:hint="default" w:ascii="Times New Roman" w:hAnsi="Times New Roman" w:cs="Times New Roman"/>
                <w:szCs w:val="21"/>
              </w:rPr>
            </w:pPr>
            <w:r>
              <w:rPr>
                <w:rFonts w:hint="default" w:ascii="Times New Roman" w:hAnsi="Times New Roman" w:cs="Times New Roman"/>
                <w:szCs w:val="21"/>
              </w:rPr>
              <w:drawing>
                <wp:inline distT="0" distB="0" distL="114300" distR="114300">
                  <wp:extent cx="4967605" cy="5195570"/>
                  <wp:effectExtent l="0" t="0" r="0" b="0"/>
                  <wp:docPr id="17" name="ECB019B1-382A-4266-B25C-5B523AA43C14-2" descr="C:/Users/Administrator/AppData/Local/Temp/wps.OtciN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2" descr="C:/Users/Administrator/AppData/Local/Temp/wps.OtciNRwps"/>
                          <pic:cNvPicPr>
                            <a:picLocks noChangeAspect="1"/>
                          </pic:cNvPicPr>
                        </pic:nvPicPr>
                        <pic:blipFill>
                          <a:blip r:embed="rId17"/>
                          <a:stretch>
                            <a:fillRect/>
                          </a:stretch>
                        </pic:blipFill>
                        <pic:spPr>
                          <a:xfrm>
                            <a:off x="0" y="0"/>
                            <a:ext cx="4967605" cy="5195570"/>
                          </a:xfrm>
                          <a:prstGeom prst="rect">
                            <a:avLst/>
                          </a:prstGeom>
                        </pic:spPr>
                      </pic:pic>
                    </a:graphicData>
                  </a:graphic>
                </wp:inline>
              </w:drawing>
            </w:r>
          </w:p>
          <w:p>
            <w:pPr>
              <w:spacing w:line="360" w:lineRule="auto"/>
              <w:ind w:firstLine="482"/>
              <w:jc w:val="center"/>
              <w:rPr>
                <w:rFonts w:hint="default" w:ascii="Times New Roman" w:hAnsi="Times New Roman" w:cs="Times New Roman"/>
                <w:b/>
                <w:sz w:val="24"/>
              </w:rPr>
            </w:pPr>
            <w:r>
              <w:rPr>
                <w:rFonts w:hint="default" w:ascii="Times New Roman" w:hAnsi="Times New Roman" w:cs="Times New Roman"/>
                <w:b/>
                <w:sz w:val="24"/>
              </w:rPr>
              <w:t>图2-</w:t>
            </w:r>
            <w:r>
              <w:rPr>
                <w:rFonts w:hint="default" w:ascii="Times New Roman" w:hAnsi="Times New Roman" w:cs="Times New Roman"/>
                <w:b/>
                <w:sz w:val="24"/>
                <w:lang w:val="en-US" w:eastAsia="zh-CN"/>
              </w:rPr>
              <w:t>7</w:t>
            </w:r>
            <w:r>
              <w:rPr>
                <w:rFonts w:hint="default" w:ascii="Times New Roman" w:hAnsi="Times New Roman" w:cs="Times New Roman"/>
                <w:b/>
                <w:sz w:val="24"/>
              </w:rPr>
              <w:t xml:space="preserve">  机床部件生产工艺流程及产污节点图</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生产工艺简述如下：</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（1）制模</w:t>
            </w:r>
          </w:p>
          <w:p>
            <w:pPr>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发泡制模</w:t>
            </w:r>
            <w:r>
              <w:rPr>
                <w:rFonts w:hint="eastAsia" w:cs="Times New Roman"/>
                <w:b/>
                <w:bCs/>
                <w:color w:val="auto"/>
                <w:sz w:val="24"/>
                <w:szCs w:val="24"/>
                <w:highlight w:val="none"/>
                <w:lang w:val="en-US" w:eastAsia="zh-CN"/>
              </w:rPr>
              <w:t>（年工作时间250h）</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①预发泡：可发性聚苯乙烯颗粒通过</w:t>
            </w:r>
            <w:r>
              <w:rPr>
                <w:rFonts w:hint="eastAsia" w:cs="Times New Roman"/>
                <w:color w:val="auto"/>
                <w:sz w:val="24"/>
                <w:szCs w:val="24"/>
                <w:highlight w:val="none"/>
                <w:lang w:val="en-US" w:eastAsia="zh-CN"/>
              </w:rPr>
              <w:t>发料机</w:t>
            </w:r>
            <w:r>
              <w:rPr>
                <w:rFonts w:hint="default" w:ascii="Times New Roman" w:hAnsi="Times New Roman" w:cs="Times New Roman"/>
                <w:color w:val="auto"/>
                <w:sz w:val="24"/>
                <w:szCs w:val="24"/>
                <w:highlight w:val="none"/>
                <w:lang w:val="en-US" w:eastAsia="zh-CN"/>
              </w:rPr>
              <w:t>输送至</w:t>
            </w:r>
            <w:r>
              <w:rPr>
                <w:rFonts w:hint="eastAsia" w:cs="Times New Roman"/>
                <w:color w:val="auto"/>
                <w:sz w:val="24"/>
                <w:szCs w:val="24"/>
                <w:highlight w:val="none"/>
                <w:lang w:val="en-US" w:eastAsia="zh-CN"/>
              </w:rPr>
              <w:t>发泡成型一体机</w:t>
            </w:r>
            <w:r>
              <w:rPr>
                <w:rFonts w:hint="default" w:ascii="Times New Roman" w:hAnsi="Times New Roman" w:cs="Times New Roman"/>
                <w:color w:val="auto"/>
                <w:sz w:val="24"/>
                <w:szCs w:val="24"/>
                <w:highlight w:val="none"/>
                <w:lang w:val="en-US" w:eastAsia="zh-CN"/>
              </w:rPr>
              <w:t>全封闭式预发泡装置内，通入蒸汽进行直接加热，温度为80~105℃，发泡剂内压力为0.03~0.04Mpa。当蒸汽加热至80℃左右，可发性聚苯乙烯受热软化，粒子中部分发泡剂（戊烷）开始挥发逸散，直至加热至105℃，可发性聚苯乙烯颗粒开始膨胀发泡，体积不断增大。</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发泡成型一体机</w:t>
            </w:r>
            <w:r>
              <w:rPr>
                <w:rFonts w:hint="default" w:ascii="Times New Roman" w:hAnsi="Times New Roman" w:cs="Times New Roman"/>
                <w:color w:val="auto"/>
                <w:sz w:val="24"/>
                <w:szCs w:val="24"/>
                <w:highlight w:val="none"/>
                <w:lang w:val="en-US" w:eastAsia="zh-CN"/>
              </w:rPr>
              <w:t>全封闭式预发泡装置内发泡出来的泡沫颗粒即进入自带流化干燥床装置进行强制干燥以便熟化过程的进行，流化床吹入的热风是鼓风机吸风，通过蒸汽加热器后由底网吹入流化床，与可发性聚苯乙烯珠粒接触，可发性聚苯乙烯珠粒在热风及珠粒流的推动下悬浮在气流中边干燥边推进，以便进入熟化仓熟化。</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该过程会产生发泡废气和少量冷凝水，冷凝水通过预发装置下方水口放出汇入冷却循环水池冷却后回用于成型冷却定型，不外排。发泡废气在单批发泡结束后，通过预发机上方泄压口引至废气治理措施进行处理，当压力卸至常压后，打开发泡装置下方出料口将发泡结束的泡沫放出，料口为1个上、下方开口的矩形出口，上方设置纱网隔挡并连接风机将泄压后残余的发泡废气引至废气治理设施，泡沫则通过下方放出送至熟化工段。</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②熟化：把预发泡好的物料由风机抽到</w:t>
            </w:r>
            <w:r>
              <w:rPr>
                <w:rFonts w:hint="eastAsia" w:cs="Times New Roman"/>
                <w:color w:val="auto"/>
                <w:sz w:val="24"/>
                <w:szCs w:val="24"/>
                <w:highlight w:val="none"/>
                <w:lang w:val="en-US" w:eastAsia="zh-CN"/>
              </w:rPr>
              <w:t>发泡成型一体机自带</w:t>
            </w:r>
            <w:r>
              <w:rPr>
                <w:rFonts w:hint="default" w:ascii="Times New Roman" w:hAnsi="Times New Roman" w:cs="Times New Roman"/>
                <w:color w:val="auto"/>
                <w:sz w:val="24"/>
                <w:szCs w:val="24"/>
                <w:highlight w:val="none"/>
                <w:lang w:val="en-US" w:eastAsia="zh-CN"/>
              </w:rPr>
              <w:t>熟化仓（密闭）中自然熟化，使膨胀的物料泡孔内充入自然空气，使内外压力平衡，以免泡孔塌瘪变形，不能直接成型。</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自然熟化使泡沫颗粒经一定时间的干燥、冷却和泡孔压力稳定而熟化成具有闭孔结构特征、有弹性的泡沫颗粒，此过程为5~6个小时。</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③成型：根据产品的规格，选择不同的模具。将熟化后的颗粒</w:t>
            </w:r>
            <w:r>
              <w:rPr>
                <w:rFonts w:hint="eastAsia" w:cs="Times New Roman"/>
                <w:color w:val="auto"/>
                <w:sz w:val="24"/>
                <w:szCs w:val="24"/>
                <w:highlight w:val="none"/>
                <w:lang w:val="en-US" w:eastAsia="zh-CN"/>
              </w:rPr>
              <w:t>通过物料输送管注入成型装置</w:t>
            </w:r>
            <w:r>
              <w:rPr>
                <w:rFonts w:hint="default" w:ascii="Times New Roman" w:hAnsi="Times New Roman" w:cs="Times New Roman"/>
                <w:color w:val="auto"/>
                <w:sz w:val="24"/>
                <w:szCs w:val="24"/>
                <w:highlight w:val="none"/>
                <w:lang w:val="en-US" w:eastAsia="zh-CN"/>
              </w:rPr>
              <w:t>特定型腔的模具中，当颗粒充满模具后模具压紧密闭，在较短的时间内将热蒸气通过型壁的气孔直接进入型腔中，使颗粒受热后软化膨胀。由于型腔的限制，膨胀的颗粒得以填满全部空隙，颗粒之间开始轻微粘接，完全黏结为一个整体。单次成型时间约为60~80s，成型温度约为70~80℃，当成型结束后，模具上方泄压口打开进行泄压。</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水冷脱模：用蒸汽冷凝水通过冷却塔对模具进行间接冷却，进塔温度65℃左右，出塔温度45℃左右，不需要添加脱模剂，将模具冷却至70℃左右即可进行脱模操作。约20%蒸汽成为蒸汽冷凝水（其余80%蒸发损耗），冷却用水对水质要求不高，主要是用于间接冷却脱模的温度调控，因此冷却水可循环使用不排放（考虑到盐分累积对设备和管线影响，企业会增加设备检测维护频次）。</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该工序产生G1天然气燃烧废气、G2</w:t>
            </w:r>
            <w:r>
              <w:rPr>
                <w:rFonts w:hint="eastAsia" w:cs="Times New Roman"/>
                <w:color w:val="auto"/>
                <w:sz w:val="24"/>
                <w:szCs w:val="24"/>
                <w:highlight w:val="none"/>
                <w:lang w:val="en-US" w:eastAsia="zh-CN"/>
              </w:rPr>
              <w:t>发泡（预发泡、熟化、成型）</w:t>
            </w:r>
            <w:r>
              <w:rPr>
                <w:rFonts w:hint="default" w:ascii="Times New Roman" w:hAnsi="Times New Roman" w:cs="Times New Roman"/>
                <w:color w:val="auto"/>
                <w:sz w:val="24"/>
                <w:szCs w:val="24"/>
                <w:highlight w:val="none"/>
                <w:lang w:val="en-US" w:eastAsia="zh-CN"/>
              </w:rPr>
              <w:t>废气、W1锅炉废水及N噪声。</w:t>
            </w:r>
          </w:p>
          <w:p>
            <w:pPr>
              <w:numPr>
                <w:ilvl w:val="0"/>
                <w:numId w:val="0"/>
              </w:numPr>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冷芯制模</w:t>
            </w:r>
            <w:r>
              <w:rPr>
                <w:rFonts w:hint="eastAsia" w:cs="Times New Roman"/>
                <w:b/>
                <w:bCs/>
                <w:color w:val="auto"/>
                <w:sz w:val="24"/>
                <w:szCs w:val="24"/>
                <w:highlight w:val="none"/>
                <w:lang w:val="en-US" w:eastAsia="zh-CN"/>
              </w:rPr>
              <w:t>（年工作时间300h）</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①混砂，使用混砂机将制冷芯所用的组分酚醛树脂、聚异氰酸酯与原砂混合，混合过程全密闭。混砂时间控制在35-50秒。混合好的砂子通过输料管输送至冷射芯机中。</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②制芯：</w:t>
            </w:r>
            <w:r>
              <w:rPr>
                <w:rFonts w:hint="default" w:ascii="Times New Roman" w:hAnsi="Times New Roman" w:cs="Times New Roman"/>
                <w:color w:val="auto"/>
                <w:sz w:val="24"/>
                <w:szCs w:val="24"/>
                <w:highlight w:val="none"/>
                <w:lang w:val="en-US" w:eastAsia="zh-CN"/>
              </w:rPr>
              <w:t>冷芯盒法是在室温下通过吹气使砂芯在芯盒内快速硬化的制芯方法。本项目采用三乙胺冷芯盒法，以酚醛树脂作为粘结剂，三乙胺作为固化反应的催化剂。冷射芯机将</w:t>
            </w:r>
            <w:r>
              <w:rPr>
                <w:rFonts w:hint="eastAsia" w:cs="Times New Roman"/>
                <w:color w:val="auto"/>
                <w:sz w:val="24"/>
                <w:szCs w:val="24"/>
                <w:highlight w:val="none"/>
                <w:lang w:val="en-US" w:eastAsia="zh-CN"/>
              </w:rPr>
              <w:t>混合好的树脂砂</w:t>
            </w:r>
            <w:r>
              <w:rPr>
                <w:rFonts w:hint="default" w:ascii="Times New Roman" w:hAnsi="Times New Roman" w:cs="Times New Roman"/>
                <w:color w:val="auto"/>
                <w:sz w:val="24"/>
                <w:szCs w:val="24"/>
                <w:highlight w:val="none"/>
                <w:lang w:val="en-US" w:eastAsia="zh-CN"/>
              </w:rPr>
              <w:t>射入芯盒。三乙胺经气化后以干燥的压缩空气为载体通过密闭管线吹入芯盒，砂粒表面的酚醛树脂中的羟基和聚异氰酸酯中的异氰酸根经胺催化结合生成氨基甲酸乙酯，使砂芯迅速固化。吹胺固化后的砂芯停留几秒后，向砂芯盒吹入压缩空气进行洗涤，以去除砂芯以及管道系统中残留的三乙胺。项目制芯过程中酚醛树脂中游离的苯酚、甲醛单体常温下比较稳定，只有在温度较高的时候才会从酚醛树脂中挥发出来。</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该工序产生G</w:t>
            </w:r>
            <w:r>
              <w:rPr>
                <w:rFonts w:hint="eastAsia" w:cs="Times New Roman"/>
                <w:color w:val="auto"/>
                <w:sz w:val="24"/>
                <w:szCs w:val="24"/>
                <w:highlight w:val="none"/>
                <w:lang w:val="en-US" w:eastAsia="zh-CN"/>
              </w:rPr>
              <w:t>3混砂废气、G4</w:t>
            </w:r>
            <w:r>
              <w:rPr>
                <w:rFonts w:hint="default" w:ascii="Times New Roman" w:hAnsi="Times New Roman" w:cs="Times New Roman"/>
                <w:color w:val="auto"/>
                <w:sz w:val="24"/>
                <w:szCs w:val="24"/>
                <w:highlight w:val="none"/>
                <w:lang w:val="en-US" w:eastAsia="zh-CN"/>
              </w:rPr>
              <w:t>制芯废气及N噪声。</w:t>
            </w:r>
          </w:p>
          <w:p>
            <w:pPr>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（2）浇注工序委外</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通过汽车运输，将发泡完成的模具与冷芯制模完成的砂芯模具外运至具备消失模铸造与自硬树脂砂铸造能力的铸造厂中进行浇注加工，</w:t>
            </w:r>
            <w:r>
              <w:rPr>
                <w:rFonts w:hint="default" w:ascii="Times New Roman" w:hAnsi="Times New Roman" w:cs="Times New Roman"/>
                <w:color w:val="auto"/>
                <w:sz w:val="24"/>
                <w:szCs w:val="24"/>
                <w:highlight w:val="none"/>
                <w:lang w:val="en-US" w:eastAsia="zh-CN"/>
              </w:rPr>
              <w:t>根据企业介绍，本项目生产的泡沫模具委外浇注约产2000t/a铸件，冷芯模具委外浇注约产1000t/a铸件。</w:t>
            </w:r>
          </w:p>
          <w:p>
            <w:pPr>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（3）精、粗加工</w:t>
            </w:r>
            <w:r>
              <w:rPr>
                <w:rFonts w:hint="eastAsia" w:cs="Times New Roman"/>
                <w:b/>
                <w:bCs/>
                <w:color w:val="auto"/>
                <w:sz w:val="24"/>
                <w:szCs w:val="24"/>
                <w:highlight w:val="none"/>
                <w:lang w:val="en-US" w:eastAsia="zh-CN"/>
              </w:rPr>
              <w:t>（年工作时间2400h）</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将委外</w:t>
            </w:r>
            <w:r>
              <w:rPr>
                <w:rFonts w:hint="eastAsia" w:ascii="Times New Roman" w:hAnsi="Times New Roman" w:cs="Times New Roman"/>
                <w:color w:val="auto"/>
                <w:sz w:val="24"/>
                <w:szCs w:val="24"/>
                <w:highlight w:val="none"/>
                <w:lang w:val="en-US" w:eastAsia="zh-CN"/>
              </w:rPr>
              <w:t>浇注</w:t>
            </w:r>
            <w:r>
              <w:rPr>
                <w:rFonts w:hint="default" w:ascii="Times New Roman" w:hAnsi="Times New Roman" w:cs="Times New Roman"/>
                <w:color w:val="auto"/>
                <w:sz w:val="24"/>
                <w:szCs w:val="24"/>
                <w:highlight w:val="none"/>
                <w:lang w:val="en-US" w:eastAsia="zh-CN"/>
              </w:rPr>
              <w:t>的铸件经下料后的工件进行各种机加工，机加工主要包括数控加工中心、镗床、磨床、铣床等对工件进行铣、镗削、钻削、磨削加工。机加工过程中机加工设备需添加精磨油，精磨油损耗需定期补充。本项目在机加工过程中，工件加工处会产生高温，导致该区域精磨油受热挥发，产生油雾（以非甲烷总烃计）。</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该工序产生G</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机加工废气、S</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废边角料、S</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废油泥及N噪声。</w:t>
            </w:r>
          </w:p>
          <w:p>
            <w:pPr>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（4）喷涂</w:t>
            </w:r>
            <w:r>
              <w:rPr>
                <w:rFonts w:hint="eastAsia" w:cs="Times New Roman"/>
                <w:b/>
                <w:bCs/>
                <w:color w:val="auto"/>
                <w:sz w:val="24"/>
                <w:szCs w:val="24"/>
                <w:highlight w:val="none"/>
                <w:lang w:val="en-US" w:eastAsia="zh-CN"/>
              </w:rPr>
              <w:t>（刮腻子（含电烘干）、腻子打磨年工作时间2400h，喷涂年工作时间1148h，晾干年工作时间1200h）</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①喷涂前准备</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工人先通过腻子</w:t>
            </w:r>
            <w:r>
              <w:rPr>
                <w:rFonts w:hint="eastAsia" w:cs="Times New Roman"/>
                <w:color w:val="auto"/>
                <w:sz w:val="24"/>
                <w:szCs w:val="24"/>
                <w:highlight w:val="none"/>
                <w:lang w:val="en-US" w:eastAsia="zh-CN"/>
              </w:rPr>
              <w:t>（外购调配好的腻子成品，无需二次调配）</w:t>
            </w:r>
            <w:r>
              <w:rPr>
                <w:rFonts w:hint="default" w:ascii="Times New Roman" w:hAnsi="Times New Roman" w:cs="Times New Roman"/>
                <w:color w:val="auto"/>
                <w:sz w:val="24"/>
                <w:szCs w:val="24"/>
                <w:highlight w:val="none"/>
                <w:lang w:val="en-US" w:eastAsia="zh-CN"/>
              </w:rPr>
              <w:t>将工件表面缺陷处进行填补，填补完的工件需进行加热烘干处理，烘干采用电加热，刮腻子与烘干均在烘干房内进行。</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固化好的腻子再通过砂纸，将多余涂抹的腻子进行人工打磨。</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该工序产生G</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腻子废气</w:t>
            </w:r>
            <w:r>
              <w:rPr>
                <w:rFonts w:hint="eastAsia" w:cs="Times New Roman"/>
                <w:color w:val="auto"/>
                <w:sz w:val="24"/>
                <w:szCs w:val="24"/>
                <w:highlight w:val="none"/>
                <w:lang w:val="en-US" w:eastAsia="zh-CN"/>
              </w:rPr>
              <w:t>、G7腻子烘干废气</w:t>
            </w:r>
            <w:r>
              <w:rPr>
                <w:rFonts w:hint="default" w:ascii="Times New Roman" w:hAnsi="Times New Roman" w:cs="Times New Roman"/>
                <w:color w:val="auto"/>
                <w:sz w:val="24"/>
                <w:szCs w:val="24"/>
                <w:highlight w:val="none"/>
                <w:lang w:val="en-US" w:eastAsia="zh-CN"/>
              </w:rPr>
              <w:t>、G</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打磨粉尘、S</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废砂纸及N噪声。</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②喷涂</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喷涂：对打磨后的工件进行喷漆处理使其表面形成漆膜，以保护工件不受外界侵蚀。本项目设有L12000×W6000×3000mm伸缩式喷漆房，其工作原理为：当需要进行喷漆作业时，通过电机驱动或手动操作，将喷漆房伸展至工作位置。此时，内部形成一个相对封闭的空间，新鲜空气从进风口进入，经过过滤系统净化后，为喷漆区域提供清洁的空气。喷漆过程中产生的漆雾和废气在负压作用下，被吸入通风系统，经过多层过滤处理，达标后排放。本项目喷枪属于高压无气喷涂，无需使用空压机，其工作原理是增压泵将液体状的涂料增压，进高压软管输送至无气喷枪，最后在无气喷嘴处释放液压，瞬时雾化后喷向涂物表面，形成涂膜层。喷涂后在喷漆房内放置3h，利用空气流加速有机废气的挥发，从而保证了漆膜的平整度和光泽度。喷漆后在喷漆房内自然晾干。本项目喷枪头采用</w:t>
            </w:r>
            <w:r>
              <w:rPr>
                <w:rFonts w:hint="eastAsia" w:cs="Times New Roman"/>
                <w:color w:val="auto"/>
                <w:sz w:val="24"/>
                <w:szCs w:val="24"/>
                <w:highlight w:val="none"/>
                <w:lang w:val="en-US" w:eastAsia="zh-CN"/>
              </w:rPr>
              <w:t>稀释剂</w:t>
            </w:r>
            <w:r>
              <w:rPr>
                <w:rFonts w:hint="default" w:ascii="Times New Roman" w:hAnsi="Times New Roman" w:cs="Times New Roman"/>
                <w:color w:val="auto"/>
                <w:sz w:val="24"/>
                <w:szCs w:val="24"/>
                <w:highlight w:val="none"/>
                <w:lang w:val="en-US" w:eastAsia="zh-CN"/>
              </w:rPr>
              <w:t>进行清洗，清洗后产生的喷枪头清洗废液委托有资质单位处置。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auto"/>
                <w:sz w:val="24"/>
                <w:szCs w:val="24"/>
                <w:highlight w:val="none"/>
                <w:lang w:val="en-US" w:eastAsia="zh-CN"/>
              </w:rPr>
              <w:t>该工序产生G</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喷涂废气</w:t>
            </w:r>
            <w:r>
              <w:rPr>
                <w:rFonts w:hint="eastAsia" w:cs="Times New Roman"/>
                <w:color w:val="auto"/>
                <w:sz w:val="24"/>
                <w:szCs w:val="24"/>
                <w:highlight w:val="none"/>
                <w:lang w:val="en-US" w:eastAsia="zh-CN"/>
              </w:rPr>
              <w:t>、G10晾干废气</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漆渣、S</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喷枪头清洗废液及N噪声</w:t>
            </w:r>
            <w:r>
              <w:rPr>
                <w:rFonts w:hint="default" w:ascii="Times New Roman" w:hAnsi="Times New Roman" w:cs="Times New Roman"/>
                <w:sz w:val="24"/>
              </w:rPr>
              <w:t>。</w:t>
            </w:r>
          </w:p>
          <w:p>
            <w:pPr>
              <w:adjustRightInd w:val="0"/>
              <w:snapToGrid w:val="0"/>
              <w:spacing w:line="360" w:lineRule="auto"/>
              <w:jc w:val="center"/>
              <w:rPr>
                <w:rFonts w:hint="default" w:ascii="Times New Roman" w:hAnsi="Times New Roman" w:cs="Times New Roman"/>
                <w:szCs w:val="21"/>
              </w:rPr>
            </w:pPr>
            <w:r>
              <w:rPr>
                <w:rFonts w:hint="default" w:ascii="Times New Roman" w:hAnsi="Times New Roman" w:cs="Times New Roman"/>
                <w:szCs w:val="21"/>
              </w:rPr>
              <w:drawing>
                <wp:inline distT="0" distB="0" distL="114300" distR="114300">
                  <wp:extent cx="3562985" cy="2914015"/>
                  <wp:effectExtent l="0" t="0" r="0" b="0"/>
                  <wp:docPr id="18" name="ECB019B1-382A-4266-B25C-5B523AA43C14-3" descr="C:/Users/Administrator/AppData/Local/Temp/wps.KZwCH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3" descr="C:/Users/Administrator/AppData/Local/Temp/wps.KZwCHAwps"/>
                          <pic:cNvPicPr>
                            <a:picLocks noChangeAspect="1"/>
                          </pic:cNvPicPr>
                        </pic:nvPicPr>
                        <pic:blipFill>
                          <a:blip r:embed="rId18"/>
                          <a:stretch>
                            <a:fillRect/>
                          </a:stretch>
                        </pic:blipFill>
                        <pic:spPr>
                          <a:xfrm>
                            <a:off x="0" y="0"/>
                            <a:ext cx="3562985" cy="2914015"/>
                          </a:xfrm>
                          <a:prstGeom prst="rect">
                            <a:avLst/>
                          </a:prstGeom>
                        </pic:spPr>
                      </pic:pic>
                    </a:graphicData>
                  </a:graphic>
                </wp:inline>
              </w:drawing>
            </w:r>
          </w:p>
          <w:p>
            <w:pPr>
              <w:spacing w:line="360" w:lineRule="auto"/>
              <w:ind w:firstLine="482"/>
              <w:jc w:val="center"/>
              <w:rPr>
                <w:rFonts w:hint="default" w:ascii="Times New Roman" w:hAnsi="Times New Roman" w:cs="Times New Roman"/>
                <w:b/>
                <w:sz w:val="24"/>
              </w:rPr>
            </w:pPr>
            <w:r>
              <w:rPr>
                <w:rFonts w:hint="default" w:ascii="Times New Roman" w:hAnsi="Times New Roman" w:cs="Times New Roman"/>
                <w:b/>
                <w:sz w:val="24"/>
              </w:rPr>
              <w:t>图2-</w:t>
            </w:r>
            <w:r>
              <w:rPr>
                <w:rFonts w:hint="default" w:ascii="Times New Roman" w:hAnsi="Times New Roman" w:cs="Times New Roman"/>
                <w:b/>
                <w:sz w:val="24"/>
                <w:lang w:val="en-US" w:eastAsia="zh-CN"/>
              </w:rPr>
              <w:t>8</w:t>
            </w:r>
            <w:r>
              <w:rPr>
                <w:rFonts w:hint="default" w:ascii="Times New Roman" w:hAnsi="Times New Roman" w:cs="Times New Roman"/>
                <w:b/>
                <w:sz w:val="24"/>
              </w:rPr>
              <w:t xml:space="preserve">  机床钣金生产工艺流程及产污节点图</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生产工艺简述如下：</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b/>
                <w:bCs/>
                <w:sz w:val="24"/>
                <w:szCs w:val="24"/>
              </w:rPr>
              <w:t>（1）下料</w:t>
            </w:r>
            <w:r>
              <w:rPr>
                <w:rFonts w:hint="eastAsia" w:cs="Times New Roman"/>
                <w:b/>
                <w:bCs/>
                <w:sz w:val="24"/>
                <w:szCs w:val="24"/>
                <w:lang w:eastAsia="zh-CN"/>
              </w:rPr>
              <w:t>（</w:t>
            </w:r>
            <w:r>
              <w:rPr>
                <w:rFonts w:hint="eastAsia" w:cs="Times New Roman"/>
                <w:b/>
                <w:bCs/>
                <w:sz w:val="24"/>
                <w:szCs w:val="24"/>
                <w:lang w:val="en-US" w:eastAsia="zh-CN"/>
              </w:rPr>
              <w:t>年工作时间2400h</w:t>
            </w:r>
            <w:r>
              <w:rPr>
                <w:rFonts w:hint="eastAsia" w:cs="Times New Roman"/>
                <w:b/>
                <w:bCs/>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根据订单要求利用激光切割机对板材进行下料。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该工序产生G</w:t>
            </w:r>
            <w:r>
              <w:rPr>
                <w:rFonts w:hint="eastAsia" w:cs="Times New Roman"/>
                <w:sz w:val="24"/>
                <w:szCs w:val="24"/>
                <w:lang w:val="en-US" w:eastAsia="zh-CN"/>
              </w:rPr>
              <w:t>11</w:t>
            </w:r>
            <w:r>
              <w:rPr>
                <w:rFonts w:hint="default" w:ascii="Times New Roman" w:hAnsi="Times New Roman" w:cs="Times New Roman"/>
                <w:sz w:val="24"/>
                <w:szCs w:val="24"/>
              </w:rPr>
              <w:t>下料废气、S</w:t>
            </w:r>
            <w:r>
              <w:rPr>
                <w:rFonts w:hint="eastAsia" w:cs="Times New Roman"/>
                <w:sz w:val="24"/>
                <w:szCs w:val="24"/>
                <w:lang w:val="en-US" w:eastAsia="zh-CN"/>
              </w:rPr>
              <w:t>1</w:t>
            </w:r>
            <w:r>
              <w:rPr>
                <w:rFonts w:hint="default" w:ascii="Times New Roman" w:hAnsi="Times New Roman" w:cs="Times New Roman"/>
                <w:sz w:val="24"/>
                <w:szCs w:val="24"/>
              </w:rPr>
              <w:t>废边角料及N噪声。</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sz w:val="24"/>
                <w:szCs w:val="24"/>
                <w:lang w:eastAsia="zh-CN"/>
              </w:rPr>
            </w:pPr>
            <w:r>
              <w:rPr>
                <w:rFonts w:hint="default" w:ascii="Times New Roman" w:hAnsi="Times New Roman" w:cs="Times New Roman"/>
                <w:b/>
                <w:bCs/>
                <w:sz w:val="24"/>
                <w:szCs w:val="24"/>
              </w:rPr>
              <w:t>（2）折弯、焊接</w:t>
            </w:r>
            <w:r>
              <w:rPr>
                <w:rFonts w:hint="eastAsia" w:cs="Times New Roman"/>
                <w:b/>
                <w:bCs/>
                <w:sz w:val="24"/>
                <w:szCs w:val="24"/>
                <w:lang w:eastAsia="zh-CN"/>
              </w:rPr>
              <w:t>（</w:t>
            </w:r>
            <w:r>
              <w:rPr>
                <w:rFonts w:hint="eastAsia" w:cs="Times New Roman"/>
                <w:b/>
                <w:bCs/>
                <w:sz w:val="24"/>
                <w:szCs w:val="24"/>
                <w:lang w:val="en-US" w:eastAsia="zh-CN"/>
              </w:rPr>
              <w:t>年工作时间2400h</w:t>
            </w:r>
            <w:r>
              <w:rPr>
                <w:rFonts w:hint="eastAsia" w:cs="Times New Roman"/>
                <w:b/>
                <w:bCs/>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利用折弯机对下料后的板材进行折弯处理，再通过焊接机将折弯后的板材进行焊接组装。</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该工序产生G</w:t>
            </w:r>
            <w:r>
              <w:rPr>
                <w:rFonts w:hint="eastAsia" w:cs="Times New Roman"/>
                <w:sz w:val="24"/>
                <w:szCs w:val="24"/>
                <w:lang w:val="en-US" w:eastAsia="zh-CN"/>
              </w:rPr>
              <w:t>12</w:t>
            </w:r>
            <w:r>
              <w:rPr>
                <w:rFonts w:hint="default" w:ascii="Times New Roman" w:hAnsi="Times New Roman" w:cs="Times New Roman"/>
                <w:sz w:val="24"/>
                <w:szCs w:val="24"/>
              </w:rPr>
              <w:t>焊接废气、S</w:t>
            </w:r>
            <w:r>
              <w:rPr>
                <w:rFonts w:hint="eastAsia" w:cs="Times New Roman"/>
                <w:sz w:val="24"/>
                <w:szCs w:val="24"/>
                <w:lang w:val="en-US" w:eastAsia="zh-CN"/>
              </w:rPr>
              <w:t>6</w:t>
            </w:r>
            <w:r>
              <w:rPr>
                <w:rFonts w:hint="default" w:ascii="Times New Roman" w:hAnsi="Times New Roman" w:cs="Times New Roman"/>
                <w:sz w:val="24"/>
                <w:szCs w:val="24"/>
              </w:rPr>
              <w:t>焊渣及N噪声。</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sz w:val="24"/>
                <w:szCs w:val="24"/>
                <w:lang w:eastAsia="zh-CN"/>
              </w:rPr>
            </w:pPr>
            <w:r>
              <w:rPr>
                <w:rFonts w:hint="default" w:ascii="Times New Roman" w:hAnsi="Times New Roman" w:cs="Times New Roman"/>
                <w:b/>
                <w:bCs/>
                <w:sz w:val="24"/>
                <w:szCs w:val="24"/>
              </w:rPr>
              <w:t>（3）表面处理</w:t>
            </w:r>
            <w:r>
              <w:rPr>
                <w:rFonts w:hint="eastAsia" w:cs="Times New Roman"/>
                <w:b/>
                <w:bCs/>
                <w:sz w:val="24"/>
                <w:szCs w:val="24"/>
                <w:lang w:eastAsia="zh-CN"/>
              </w:rPr>
              <w:t>（</w:t>
            </w:r>
            <w:r>
              <w:rPr>
                <w:rFonts w:hint="eastAsia" w:cs="Times New Roman"/>
                <w:b/>
                <w:bCs/>
                <w:sz w:val="24"/>
                <w:szCs w:val="24"/>
                <w:lang w:val="en-US" w:eastAsia="zh-CN"/>
              </w:rPr>
              <w:t>年工作时间2400h</w:t>
            </w:r>
            <w:r>
              <w:rPr>
                <w:rFonts w:hint="eastAsia" w:cs="Times New Roman"/>
                <w:b/>
                <w:bCs/>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利用抛丸机对板材焊接部位进行表面处理，去除表面多余焊渣。抛丸的原理是用电动机带动叶轮体旋转（直接带动或用V型皮带传动），靠离心力的作用，将直径约在0.2～3.0的弹丸（有铸钢丸、钢丝切丸、不锈钢丸等不同类型）抛向工件的表面。</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该工序产生G</w:t>
            </w:r>
            <w:r>
              <w:rPr>
                <w:rFonts w:hint="eastAsia" w:cs="Times New Roman"/>
                <w:sz w:val="24"/>
                <w:szCs w:val="24"/>
                <w:lang w:val="en-US" w:eastAsia="zh-CN"/>
              </w:rPr>
              <w:t>13</w:t>
            </w:r>
            <w:r>
              <w:rPr>
                <w:rFonts w:hint="default" w:ascii="Times New Roman" w:hAnsi="Times New Roman" w:cs="Times New Roman"/>
                <w:sz w:val="24"/>
                <w:szCs w:val="24"/>
              </w:rPr>
              <w:t>抛丸废气、S</w:t>
            </w:r>
            <w:r>
              <w:rPr>
                <w:rFonts w:hint="eastAsia" w:cs="Times New Roman"/>
                <w:sz w:val="24"/>
                <w:szCs w:val="24"/>
                <w:lang w:val="en-US" w:eastAsia="zh-CN"/>
              </w:rPr>
              <w:t>7</w:t>
            </w:r>
            <w:r>
              <w:rPr>
                <w:rFonts w:hint="default" w:ascii="Times New Roman" w:hAnsi="Times New Roman" w:cs="Times New Roman"/>
                <w:sz w:val="24"/>
                <w:szCs w:val="24"/>
              </w:rPr>
              <w:t>废钢丸及N噪声。</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sz w:val="24"/>
                <w:szCs w:val="24"/>
                <w:lang w:eastAsia="zh-CN"/>
              </w:rPr>
            </w:pPr>
            <w:r>
              <w:rPr>
                <w:rFonts w:hint="default" w:ascii="Times New Roman" w:hAnsi="Times New Roman" w:cs="Times New Roman"/>
                <w:b/>
                <w:bCs/>
                <w:sz w:val="24"/>
                <w:szCs w:val="24"/>
              </w:rPr>
              <w:t>（4）喷塑固化</w:t>
            </w:r>
            <w:r>
              <w:rPr>
                <w:rFonts w:hint="eastAsia" w:cs="Times New Roman"/>
                <w:b/>
                <w:bCs/>
                <w:sz w:val="24"/>
                <w:szCs w:val="24"/>
                <w:lang w:eastAsia="zh-CN"/>
              </w:rPr>
              <w:t>（</w:t>
            </w:r>
            <w:r>
              <w:rPr>
                <w:rFonts w:hint="eastAsia" w:cs="Times New Roman"/>
                <w:b/>
                <w:bCs/>
                <w:sz w:val="24"/>
                <w:szCs w:val="24"/>
                <w:lang w:val="en-US" w:eastAsia="zh-CN"/>
              </w:rPr>
              <w:t>喷塑年工作时间521h，固化年工作时间1111h</w:t>
            </w:r>
            <w:r>
              <w:rPr>
                <w:rFonts w:hint="eastAsia" w:cs="Times New Roman"/>
                <w:b/>
                <w:bCs/>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本项目喷粉工艺采用静电喷涂，将金属工件送至喷粉烘干房内喷粉室</w:t>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*2.5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）进行喷粉工作，将喷涂好的金属工件送至喷粉烘干房内烘道（20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w:t>
            </w:r>
            <w:r>
              <w:rPr>
                <w:rFonts w:hint="default" w:ascii="Times New Roman" w:hAnsi="Times New Roman" w:cs="Times New Roman"/>
                <w:sz w:val="24"/>
                <w:szCs w:val="24"/>
              </w:rPr>
              <w:t>进行固化处理，固化线采用电加热，加热到预定的温度（190℃左右，约10min），并保温相应的时间（约30min），使粉末固化，更好的附着在金属工件表面。喷粉工序废气采用管式滤筒除尘器进行回收利用。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静电粉末喷塑原理：在喷枪和金属工件之间形成一个高压电晕放电电场，当粉末粒子由喷枪口喷出经过放电区，便捕集了大量的电子，成为带负电的微粒，在静电吸引的作用下，被吸附到带正电电荷的金属上。当粉末附着到一定厚度时，则会发生“同性相斥”作用，不能再吸附粉末，从而使各部分的粉层厚度均匀。</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sz w:val="24"/>
              </w:rPr>
              <w:t>在静电粉末涂装中，由于静电吸附作用，粉末涂料不仅被吸附到工件上面，还被吸附到挂具上，经烘烤固化后形成涂层，影响被涂物的导电性能。随着挂具上粉末涂层的增加，工件与挂具之间的接触点面积也随之发生变化，这种变化将影响工件的电阻，从而影响粉末涂料的上粉率。</w:t>
            </w:r>
            <w:r>
              <w:rPr>
                <w:rFonts w:hint="eastAsia"/>
                <w:sz w:val="24"/>
                <w:lang w:val="en-US" w:eastAsia="zh-CN"/>
              </w:rPr>
              <w:t>因此企业需定期对挂具进行更换，才能保证粉末涂料的上粉率和涂膜厚度的均匀性，废挂具做危废委托有资质单位处置。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4"/>
              </w:rPr>
              <w:t>该工序产生G</w:t>
            </w:r>
            <w:r>
              <w:rPr>
                <w:rFonts w:hint="eastAsia" w:cs="Times New Roman"/>
                <w:sz w:val="24"/>
                <w:szCs w:val="24"/>
                <w:lang w:val="en-US" w:eastAsia="zh-CN"/>
              </w:rPr>
              <w:t>14</w:t>
            </w:r>
            <w:r>
              <w:rPr>
                <w:rFonts w:hint="default" w:ascii="Times New Roman" w:hAnsi="Times New Roman" w:cs="Times New Roman"/>
                <w:sz w:val="24"/>
                <w:szCs w:val="24"/>
              </w:rPr>
              <w:t>喷塑废气、G1</w:t>
            </w:r>
            <w:r>
              <w:rPr>
                <w:rFonts w:hint="eastAsia" w:cs="Times New Roman"/>
                <w:sz w:val="24"/>
                <w:szCs w:val="24"/>
                <w:lang w:val="en-US" w:eastAsia="zh-CN"/>
              </w:rPr>
              <w:t>5</w:t>
            </w:r>
            <w:r>
              <w:rPr>
                <w:rFonts w:hint="default" w:ascii="Times New Roman" w:hAnsi="Times New Roman" w:cs="Times New Roman"/>
                <w:sz w:val="24"/>
                <w:szCs w:val="24"/>
              </w:rPr>
              <w:t>固化废气、S</w:t>
            </w:r>
            <w:r>
              <w:rPr>
                <w:rFonts w:hint="eastAsia" w:cs="Times New Roman"/>
                <w:sz w:val="24"/>
                <w:szCs w:val="24"/>
                <w:lang w:val="en-US" w:eastAsia="zh-CN"/>
              </w:rPr>
              <w:t>8</w:t>
            </w:r>
            <w:r>
              <w:rPr>
                <w:rFonts w:hint="default" w:ascii="Times New Roman" w:hAnsi="Times New Roman" w:cs="Times New Roman"/>
                <w:sz w:val="24"/>
                <w:szCs w:val="24"/>
              </w:rPr>
              <w:t>废塑粉</w:t>
            </w:r>
            <w:r>
              <w:rPr>
                <w:rFonts w:hint="eastAsia" w:cs="Times New Roman"/>
                <w:sz w:val="24"/>
                <w:szCs w:val="24"/>
                <w:lang w:eastAsia="zh-CN"/>
              </w:rPr>
              <w:t>、</w:t>
            </w:r>
            <w:r>
              <w:rPr>
                <w:rFonts w:hint="eastAsia" w:cs="Times New Roman"/>
                <w:sz w:val="24"/>
                <w:szCs w:val="24"/>
                <w:lang w:val="en-US" w:eastAsia="zh-CN"/>
              </w:rPr>
              <w:t>S9废挂具</w:t>
            </w:r>
            <w:r>
              <w:rPr>
                <w:rFonts w:hint="default" w:ascii="Times New Roman" w:hAnsi="Times New Roman" w:cs="Times New Roman"/>
                <w:sz w:val="24"/>
                <w:szCs w:val="24"/>
              </w:rPr>
              <w:t>及N噪声</w:t>
            </w:r>
            <w:r>
              <w:rPr>
                <w:rFonts w:hint="default" w:ascii="Times New Roman" w:hAnsi="Times New Roman" w:cs="Times New Roman"/>
                <w:sz w:val="24"/>
              </w:rPr>
              <w:t>。</w:t>
            </w:r>
          </w:p>
          <w:p>
            <w:pPr>
              <w:adjustRightInd w:val="0"/>
              <w:snapToGrid w:val="0"/>
              <w:spacing w:line="360" w:lineRule="auto"/>
              <w:jc w:val="center"/>
              <w:rPr>
                <w:rFonts w:hint="default" w:ascii="Times New Roman" w:hAnsi="Times New Roman" w:cs="Times New Roman"/>
                <w:szCs w:val="21"/>
              </w:rPr>
            </w:pPr>
            <w:r>
              <w:rPr>
                <w:rFonts w:hint="default" w:ascii="Times New Roman" w:hAnsi="Times New Roman" w:cs="Times New Roman"/>
                <w:szCs w:val="21"/>
              </w:rPr>
              <w:drawing>
                <wp:inline distT="0" distB="0" distL="114300" distR="114300">
                  <wp:extent cx="3606165" cy="1923415"/>
                  <wp:effectExtent l="0" t="0" r="0" b="0"/>
                  <wp:docPr id="19" name="ECB019B1-382A-4266-B25C-5B523AA43C14-4" descr="C:/Users/Administrator/AppData/Local/Temp/wps.FRfBt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4" descr="C:/Users/Administrator/AppData/Local/Temp/wps.FRfBttwps"/>
                          <pic:cNvPicPr>
                            <a:picLocks noChangeAspect="1"/>
                          </pic:cNvPicPr>
                        </pic:nvPicPr>
                        <pic:blipFill>
                          <a:blip r:embed="rId19"/>
                          <a:stretch>
                            <a:fillRect/>
                          </a:stretch>
                        </pic:blipFill>
                        <pic:spPr>
                          <a:xfrm>
                            <a:off x="0" y="0"/>
                            <a:ext cx="3606165" cy="1923415"/>
                          </a:xfrm>
                          <a:prstGeom prst="rect">
                            <a:avLst/>
                          </a:prstGeom>
                        </pic:spPr>
                      </pic:pic>
                    </a:graphicData>
                  </a:graphic>
                </wp:inline>
              </w:drawing>
            </w:r>
          </w:p>
          <w:p>
            <w:pPr>
              <w:spacing w:line="360" w:lineRule="auto"/>
              <w:ind w:firstLine="482"/>
              <w:jc w:val="center"/>
              <w:rPr>
                <w:rFonts w:hint="default" w:ascii="Times New Roman" w:hAnsi="Times New Roman" w:cs="Times New Roman"/>
                <w:b/>
                <w:sz w:val="24"/>
              </w:rPr>
            </w:pPr>
            <w:r>
              <w:rPr>
                <w:rFonts w:hint="default" w:ascii="Times New Roman" w:hAnsi="Times New Roman" w:cs="Times New Roman"/>
                <w:b/>
                <w:sz w:val="24"/>
              </w:rPr>
              <w:t>图2-</w:t>
            </w:r>
            <w:r>
              <w:rPr>
                <w:rFonts w:hint="default" w:ascii="Times New Roman" w:hAnsi="Times New Roman" w:cs="Times New Roman"/>
                <w:b/>
                <w:sz w:val="24"/>
                <w:lang w:val="en-US" w:eastAsia="zh-CN"/>
              </w:rPr>
              <w:t>9</w:t>
            </w:r>
            <w:r>
              <w:rPr>
                <w:rFonts w:hint="default" w:ascii="Times New Roman" w:hAnsi="Times New Roman" w:cs="Times New Roman"/>
                <w:b/>
                <w:sz w:val="24"/>
              </w:rPr>
              <w:t xml:space="preserve">  组装生产工艺流程及产污节点图</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生产工艺简述如下：</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（1）组装</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将加工好的机床部件、机床</w:t>
            </w:r>
            <w:r>
              <w:rPr>
                <w:rFonts w:hint="eastAsia" w:cs="Times New Roman"/>
                <w:sz w:val="24"/>
                <w:lang w:val="en-US" w:eastAsia="zh-CN"/>
              </w:rPr>
              <w:t>板件</w:t>
            </w:r>
            <w:r>
              <w:rPr>
                <w:rFonts w:hint="default" w:ascii="Times New Roman" w:hAnsi="Times New Roman" w:cs="Times New Roman"/>
                <w:sz w:val="24"/>
              </w:rPr>
              <w:t>与外购丝杠、导轨、螺丝螺母通过人工组装成设备，设备出库前需对设备添加导轨油与防锈油。</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该工序产生S</w:t>
            </w:r>
            <w:r>
              <w:rPr>
                <w:rFonts w:hint="eastAsia" w:cs="Times New Roman"/>
                <w:sz w:val="24"/>
                <w:lang w:val="en-US" w:eastAsia="zh-CN"/>
              </w:rPr>
              <w:t>10</w:t>
            </w:r>
            <w:r>
              <w:rPr>
                <w:rFonts w:hint="default" w:ascii="Times New Roman" w:hAnsi="Times New Roman" w:cs="Times New Roman"/>
                <w:sz w:val="24"/>
              </w:rPr>
              <w:t>废油桶及N噪声。</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3、主要污染工序汇总</w:t>
            </w:r>
          </w:p>
          <w:p>
            <w:pPr>
              <w:jc w:val="center"/>
              <w:rPr>
                <w:rFonts w:hint="default" w:ascii="Times New Roman" w:hAnsi="Times New Roman" w:cs="Times New Roman"/>
              </w:rPr>
            </w:pPr>
            <w:r>
              <w:rPr>
                <w:rFonts w:hint="default" w:ascii="Times New Roman" w:hAnsi="Times New Roman" w:cs="Times New Roman"/>
                <w:b/>
                <w:bCs/>
                <w:sz w:val="24"/>
              </w:rPr>
              <w:t>表2-</w:t>
            </w:r>
            <w:r>
              <w:rPr>
                <w:rFonts w:hint="default" w:ascii="Times New Roman" w:hAnsi="Times New Roman" w:cs="Times New Roman"/>
                <w:b/>
                <w:bCs/>
                <w:sz w:val="24"/>
                <w:lang w:val="en-US" w:eastAsia="zh-CN"/>
              </w:rPr>
              <w:t>12</w:t>
            </w:r>
            <w:r>
              <w:rPr>
                <w:rFonts w:hint="default" w:ascii="Times New Roman" w:hAnsi="Times New Roman" w:cs="Times New Roman"/>
                <w:b/>
                <w:bCs/>
                <w:sz w:val="24"/>
              </w:rPr>
              <w:t xml:space="preserve">  本项目运营期主要污染工序汇总表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
              <w:gridCol w:w="928"/>
              <w:gridCol w:w="1698"/>
              <w:gridCol w:w="2109"/>
              <w:gridCol w:w="1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污染因素</w:t>
                  </w: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编号</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产污环节</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废水</w:t>
                  </w: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W1</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锅炉废水</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天然气燃烧</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COD、SS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废气</w:t>
                  </w: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vertAlign w:val="subscript"/>
                    </w:rPr>
                  </w:pPr>
                  <w:r>
                    <w:rPr>
                      <w:rFonts w:hint="default" w:ascii="Times New Roman" w:hAnsi="Times New Roman" w:cs="Times New Roman"/>
                      <w:bCs/>
                      <w:szCs w:val="21"/>
                    </w:rPr>
                    <w:t>G1</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天然气燃烧废气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天然气燃烧</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颗粒物、SO</w:t>
                  </w:r>
                  <w:r>
                    <w:rPr>
                      <w:rFonts w:hint="default" w:ascii="Times New Roman" w:hAnsi="Times New Roman" w:cs="Times New Roman"/>
                      <w:szCs w:val="21"/>
                      <w:vertAlign w:val="subscript"/>
                    </w:rPr>
                    <w:t>2</w:t>
                  </w:r>
                  <w:r>
                    <w:rPr>
                      <w:rFonts w:hint="default" w:ascii="Times New Roman" w:hAnsi="Times New Roman" w:cs="Times New Roman"/>
                      <w:szCs w:val="21"/>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vertAlign w:val="subscript"/>
                    </w:rPr>
                  </w:pPr>
                  <w:r>
                    <w:rPr>
                      <w:rFonts w:hint="default" w:ascii="Times New Roman" w:hAnsi="Times New Roman" w:cs="Times New Roman"/>
                      <w:bCs/>
                      <w:szCs w:val="21"/>
                    </w:rPr>
                    <w:t>G2</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发泡废气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发泡制模</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戊烷（以</w:t>
                  </w:r>
                  <w:r>
                    <w:rPr>
                      <w:rFonts w:hint="default" w:ascii="Times New Roman" w:hAnsi="Times New Roman" w:cs="Times New Roman"/>
                      <w:szCs w:val="21"/>
                    </w:rPr>
                    <w:t>非甲烷总烃</w:t>
                  </w:r>
                  <w:r>
                    <w:rPr>
                      <w:rFonts w:hint="default" w:ascii="Times New Roman" w:hAnsi="Times New Roman" w:cs="Times New Roman"/>
                      <w:szCs w:val="21"/>
                      <w:lang w:val="en-US" w:eastAsia="zh-CN"/>
                    </w:rPr>
                    <w:t>计）</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苯乙烯、苯、甲苯、乙苯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G3</w:t>
                  </w:r>
                </w:p>
              </w:tc>
              <w:tc>
                <w:tcPr>
                  <w:tcW w:w="1110" w:type="pct"/>
                  <w:tcBorders>
                    <w:tl2br w:val="nil"/>
                    <w:tr2bl w:val="nil"/>
                  </w:tcBorders>
                  <w:tcMar>
                    <w:left w:w="28" w:type="dxa"/>
                    <w:right w:w="28" w:type="dxa"/>
                  </w:tcMar>
                  <w:vAlign w:val="center"/>
                </w:tcPr>
                <w:p>
                  <w:pPr>
                    <w:spacing w:line="320" w:lineRule="exact"/>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混砂废气</w:t>
                  </w:r>
                </w:p>
              </w:tc>
              <w:tc>
                <w:tcPr>
                  <w:tcW w:w="1379" w:type="pct"/>
                  <w:vMerge w:val="restar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冷芯制模</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lang w:val="en-US" w:eastAsia="zh-CN"/>
                    </w:rPr>
                  </w:pPr>
                  <w:r>
                    <w:rPr>
                      <w:rFonts w:hint="eastAsia" w:cs="Times New Roman"/>
                      <w:szCs w:val="21"/>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G4</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制芯废气</w:t>
                  </w:r>
                </w:p>
              </w:tc>
              <w:tc>
                <w:tcPr>
                  <w:tcW w:w="1379"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lang w:val="en-US"/>
                    </w:rPr>
                  </w:pPr>
                  <w:r>
                    <w:rPr>
                      <w:rFonts w:hint="default" w:ascii="Times New Roman" w:hAnsi="Times New Roman" w:cs="Times New Roman"/>
                      <w:szCs w:val="21"/>
                    </w:rPr>
                    <w:t>颗粒物、三乙胺</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甲醛、酚类、臭气浓度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G5</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机加工废气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机加工</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G6</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腻子废气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刮腻子</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非甲烷总烃、苯系物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G7</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lang w:val="en-US" w:eastAsia="zh-CN"/>
                    </w:rPr>
                  </w:pPr>
                  <w:r>
                    <w:rPr>
                      <w:rFonts w:hint="eastAsia" w:cs="Times New Roman"/>
                      <w:bCs/>
                      <w:szCs w:val="21"/>
                      <w:lang w:val="en-US" w:eastAsia="zh-CN"/>
                    </w:rPr>
                    <w:t>腻子烘干废气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lang w:val="en-US" w:eastAsia="zh-CN"/>
                    </w:rPr>
                  </w:pPr>
                  <w:r>
                    <w:rPr>
                      <w:rFonts w:hint="eastAsia" w:cs="Times New Roman"/>
                      <w:bCs/>
                      <w:szCs w:val="21"/>
                      <w:lang w:val="en-US" w:eastAsia="zh-CN"/>
                    </w:rPr>
                    <w:t>腻子烘干</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lang w:val="en-US" w:eastAsia="zh-CN"/>
                    </w:rPr>
                  </w:pPr>
                  <w:r>
                    <w:rPr>
                      <w:rFonts w:hint="eastAsia" w:cs="Times New Roman"/>
                      <w:szCs w:val="21"/>
                      <w:lang w:val="en-US" w:eastAsia="zh-CN"/>
                    </w:rPr>
                    <w:t>非甲烷总烃、苯系物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G8</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打磨粉尘</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lang w:val="en-US" w:eastAsia="zh-CN"/>
                    </w:rPr>
                    <w:t>腻子打磨</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G9</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喷涂废气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喷涂</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颗粒物、非甲烷总烃</w:t>
                  </w:r>
                  <w:r>
                    <w:rPr>
                      <w:rFonts w:hint="eastAsia" w:cs="Times New Roman"/>
                      <w:szCs w:val="21"/>
                      <w:lang w:eastAsia="zh-CN"/>
                    </w:rPr>
                    <w:t>、</w:t>
                  </w:r>
                  <w:r>
                    <w:rPr>
                      <w:rFonts w:hint="eastAsia" w:cs="Times New Roman"/>
                      <w:szCs w:val="21"/>
                      <w:lang w:val="en-US" w:eastAsia="zh-CN"/>
                    </w:rPr>
                    <w:t>二甲苯、苯系物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G10</w:t>
                  </w:r>
                </w:p>
              </w:tc>
              <w:tc>
                <w:tcPr>
                  <w:tcW w:w="1110" w:type="pct"/>
                  <w:tcBorders>
                    <w:tl2br w:val="nil"/>
                    <w:tr2bl w:val="nil"/>
                  </w:tcBorders>
                  <w:tcMar>
                    <w:left w:w="28" w:type="dxa"/>
                    <w:right w:w="28" w:type="dxa"/>
                  </w:tcMar>
                  <w:vAlign w:val="center"/>
                </w:tcPr>
                <w:p>
                  <w:pPr>
                    <w:spacing w:line="320" w:lineRule="exact"/>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晾干废气</w:t>
                  </w:r>
                </w:p>
              </w:tc>
              <w:tc>
                <w:tcPr>
                  <w:tcW w:w="1379" w:type="pct"/>
                  <w:tcBorders>
                    <w:tl2br w:val="nil"/>
                    <w:tr2bl w:val="nil"/>
                  </w:tcBorders>
                  <w:tcMar>
                    <w:left w:w="28" w:type="dxa"/>
                    <w:right w:w="28" w:type="dxa"/>
                  </w:tcMar>
                  <w:vAlign w:val="center"/>
                </w:tcPr>
                <w:p>
                  <w:pPr>
                    <w:spacing w:line="320" w:lineRule="exact"/>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晾干</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非甲烷总烃、二甲苯、苯系物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G11</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下料废气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下料</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G12</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焊接废气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焊接</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G13</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抛丸废气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表面清理</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G14</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喷塑废气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喷塑固化</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G15</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固化废气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喷塑固化</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lang w:val="en-US" w:eastAsia="zh-CN"/>
                    </w:rPr>
                  </w:pPr>
                  <w:r>
                    <w:rPr>
                      <w:rFonts w:hint="eastAsia" w:cs="Times New Roman"/>
                      <w:bCs/>
                      <w:szCs w:val="21"/>
                      <w:lang w:val="en-US" w:eastAsia="zh-CN"/>
                    </w:rPr>
                    <w:t>G16</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危废暂存废气</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危废暂存</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固废</w:t>
                  </w: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S1</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废边角料</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机加工、下料</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钢铁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Cs w:val="21"/>
                    </w:rPr>
                    <w:t>S2</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废油泥</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机加工</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铁屑、矿物油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S3</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废砂纸</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喷涂</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砂纸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Cs w:val="21"/>
                    </w:rPr>
                    <w:t>S4</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漆渣</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喷涂</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漆渣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S5</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喷枪头清洗废液</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喷涂</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稀释剂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Cs w:val="21"/>
                    </w:rPr>
                    <w:t>S</w:t>
                  </w:r>
                  <w:r>
                    <w:rPr>
                      <w:rFonts w:hint="default" w:ascii="Times New Roman" w:hAnsi="Times New Roman" w:cs="Times New Roman"/>
                      <w:bCs/>
                      <w:szCs w:val="21"/>
                      <w:lang w:val="en-US" w:eastAsia="zh-CN"/>
                    </w:rPr>
                    <w:t>6</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焊渣</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焊接</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焊渣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Cs w:val="21"/>
                    </w:rPr>
                    <w:t>S</w:t>
                  </w:r>
                  <w:r>
                    <w:rPr>
                      <w:rFonts w:hint="default" w:ascii="Times New Roman" w:hAnsi="Times New Roman" w:cs="Times New Roman"/>
                      <w:bCs/>
                      <w:szCs w:val="21"/>
                      <w:lang w:val="en-US" w:eastAsia="zh-CN"/>
                    </w:rPr>
                    <w:t>7</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废钢丸</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表面清理</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钢丸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S8</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废塑粉</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喷塑</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塑粉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S9</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eastAsia"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废挂具</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eastAsia"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喷塑</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eastAsia"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挂具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 xml:space="preserve">S10 </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废油桶</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生产</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油桶、矿物油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S11</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废包装材料</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原料拆包</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塑料、纸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S12</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废包装桶</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生产</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包装桶、有机物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S13</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集尘灰</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废气处理</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S14</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废滤材</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废气处理</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滤材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S15</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废过滤材料</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废气处理</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漆雾、滤材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S16</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废活性炭</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废气处理</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活性炭、有机物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S17</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喷淋废液</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废气处理</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三乙胺、磷酸盐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S18</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空压机含油废水</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辅助生产</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S19</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废劳保用品</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生产</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含油抹布、手套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S20</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生活垃圾</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职工生活</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rPr>
                    <w:t>瓜皮纸屑等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S21</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废油脂</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职工生活</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S22</w:t>
                  </w:r>
                </w:p>
              </w:tc>
              <w:tc>
                <w:tcPr>
                  <w:tcW w:w="1110"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化粪池污泥</w:t>
                  </w:r>
                </w:p>
              </w:tc>
              <w:tc>
                <w:tcPr>
                  <w:tcW w:w="1379"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Cs w:val="21"/>
                      <w:lang w:val="en-US" w:eastAsia="zh-CN"/>
                    </w:rPr>
                    <w:t>职工生活</w:t>
                  </w:r>
                </w:p>
              </w:tc>
              <w:tc>
                <w:tcPr>
                  <w:tcW w:w="1296" w:type="pct"/>
                  <w:tcBorders>
                    <w:tl2br w:val="nil"/>
                    <w:tr2bl w:val="nil"/>
                  </w:tcBorders>
                  <w:shd w:val="clear" w:color="auto" w:fill="auto"/>
                  <w:tcMar>
                    <w:left w:w="28" w:type="dxa"/>
                    <w:right w:w="28" w:type="dxa"/>
                  </w:tcMar>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化粪池污泥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噪声</w:t>
                  </w:r>
                </w:p>
              </w:tc>
              <w:tc>
                <w:tcPr>
                  <w:tcW w:w="607"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N</w:t>
                  </w:r>
                </w:p>
              </w:tc>
              <w:tc>
                <w:tcPr>
                  <w:tcW w:w="1110"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设备运行噪声</w:t>
                  </w:r>
                </w:p>
              </w:tc>
              <w:tc>
                <w:tcPr>
                  <w:tcW w:w="1379"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bCs/>
                      <w:szCs w:val="21"/>
                    </w:rPr>
                  </w:pPr>
                  <w:r>
                    <w:rPr>
                      <w:rFonts w:hint="default" w:ascii="Times New Roman" w:hAnsi="Times New Roman" w:cs="Times New Roman"/>
                      <w:bCs/>
                      <w:szCs w:val="21"/>
                    </w:rPr>
                    <w:t>设备运行</w:t>
                  </w:r>
                </w:p>
              </w:tc>
              <w:tc>
                <w:tcPr>
                  <w:tcW w:w="1296" w:type="pct"/>
                  <w:tcBorders>
                    <w:tl2br w:val="nil"/>
                    <w:tr2bl w:val="nil"/>
                  </w:tcBorders>
                  <w:tcMar>
                    <w:left w:w="28" w:type="dxa"/>
                    <w:right w:w="28" w:type="dxa"/>
                  </w:tcMar>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r>
                    <w:rPr>
                      <w:rFonts w:hint="default" w:ascii="Times New Roman" w:hAnsi="Times New Roman" w:cs="Times New Roman"/>
                      <w:szCs w:val="21"/>
                      <w:vertAlign w:val="subscript"/>
                    </w:rPr>
                    <w:t>eq</w:t>
                  </w:r>
                  <w:r>
                    <w:rPr>
                      <w:rFonts w:hint="default" w:ascii="Times New Roman" w:hAnsi="Times New Roman" w:cs="Times New Roman"/>
                      <w:szCs w:val="21"/>
                    </w:rPr>
                    <w:t>(A)</w:t>
                  </w:r>
                </w:p>
              </w:tc>
            </w:tr>
          </w:tbl>
          <w:p>
            <w:pPr>
              <w:spacing w:line="460" w:lineRule="exact"/>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822" w:type="dxa"/>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
                <w:kern w:val="2"/>
                <w:sz w:val="21"/>
                <w:szCs w:val="21"/>
              </w:rPr>
              <w:t>项目有关的原有环境污染问题</w:t>
            </w:r>
          </w:p>
        </w:tc>
        <w:tc>
          <w:tcPr>
            <w:tcW w:w="7891" w:type="dxa"/>
          </w:tcPr>
          <w:p>
            <w:pPr>
              <w:adjustRightInd w:val="0"/>
              <w:snapToGrid w:val="0"/>
              <w:spacing w:line="360" w:lineRule="auto"/>
              <w:ind w:firstLine="480" w:firstLineChars="200"/>
              <w:jc w:val="left"/>
              <w:rPr>
                <w:rFonts w:hint="default" w:ascii="Times New Roman" w:hAnsi="Times New Roman" w:cs="Times New Roman"/>
              </w:rPr>
            </w:pPr>
            <w:r>
              <w:rPr>
                <w:rFonts w:hint="default" w:ascii="Times New Roman" w:hAnsi="Times New Roman" w:cs="Times New Roman"/>
                <w:sz w:val="24"/>
              </w:rPr>
              <w:t>本项目为新建项目，位于江苏省南通市如皋市搬经镇搬经社区10组、19组、村集体，该块用地为镇区预留工业用地</w:t>
            </w:r>
            <w:r>
              <w:rPr>
                <w:rFonts w:hint="eastAsia"/>
                <w:lang w:eastAsia="zh-CN"/>
              </w:rPr>
              <w:t>，</w:t>
            </w:r>
            <w:r>
              <w:rPr>
                <w:rFonts w:hint="eastAsia"/>
                <w:sz w:val="24"/>
                <w:lang w:val="en-US" w:eastAsia="zh-CN"/>
              </w:rPr>
              <w:t>原地块用途为工业用地（见附件4-5）</w:t>
            </w:r>
            <w:r>
              <w:rPr>
                <w:rFonts w:hint="default" w:ascii="Times New Roman" w:hAnsi="Times New Roman" w:cs="Times New Roman"/>
                <w:sz w:val="24"/>
              </w:rPr>
              <w:t>，</w:t>
            </w:r>
            <w:r>
              <w:rPr>
                <w:rFonts w:hint="eastAsia" w:cs="Times New Roman"/>
                <w:sz w:val="24"/>
                <w:lang w:val="en-US" w:eastAsia="zh-CN"/>
              </w:rPr>
              <w:t>在本项目使用前该地块为空地。</w:t>
            </w:r>
            <w:r>
              <w:rPr>
                <w:rFonts w:hint="default" w:ascii="Times New Roman" w:hAnsi="Times New Roman" w:cs="Times New Roman"/>
                <w:sz w:val="24"/>
              </w:rPr>
              <w:t>新建厂房及附属厂房，无与拟建项目有关的污染情况及环境问题。</w:t>
            </w: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三、区域环境质量现状、环境保护目标及评价标准</w:t>
      </w:r>
    </w:p>
    <w:tbl>
      <w:tblPr>
        <w:tblStyle w:val="26"/>
        <w:tblW w:w="87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1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67" w:type="dxa"/>
            <w:vAlign w:val="center"/>
          </w:tcPr>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区域</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环境</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质量</w:t>
            </w:r>
          </w:p>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现状</w:t>
            </w:r>
          </w:p>
        </w:tc>
        <w:tc>
          <w:tcPr>
            <w:tcW w:w="8178" w:type="dxa"/>
            <w:tcBorders>
              <w:bottom w:val="single" w:color="auto" w:sz="8" w:space="0"/>
            </w:tcBorders>
            <w:vAlign w:val="center"/>
          </w:tcPr>
          <w:p>
            <w:pPr>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1、环境空气质量现状</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（1）常规污染物质量现状</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根据《南通市生态环境状况公报（2024）》中的数据，2024年如皋市主要空气污染物指标监测结果见表3-1。</w:t>
            </w:r>
          </w:p>
          <w:p>
            <w:pPr>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表3-1 2024年如皋市环境空气主要污染指标监测结果</w:t>
            </w:r>
          </w:p>
          <w:p>
            <w:pPr>
              <w:pStyle w:val="35"/>
              <w:snapToGrid/>
              <w:spacing w:after="0" w:line="240" w:lineRule="auto"/>
              <w:ind w:firstLine="482"/>
              <w:jc w:val="right"/>
              <w:outlineLvl w:val="9"/>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0"/>
                <w:lang w:bidi="en-US"/>
              </w:rPr>
              <w:t>单位：μg/m</w:t>
            </w:r>
            <w:r>
              <w:rPr>
                <w:rFonts w:hint="default" w:ascii="Times New Roman" w:hAnsi="Times New Roman" w:eastAsia="宋体" w:cs="Times New Roman"/>
                <w:snapToGrid w:val="0"/>
                <w:color w:val="auto"/>
                <w:kern w:val="0"/>
                <w:vertAlign w:val="superscript"/>
                <w:lang w:bidi="en-US"/>
              </w:rPr>
              <w:t>3</w:t>
            </w:r>
            <w:r>
              <w:rPr>
                <w:rFonts w:hint="default" w:ascii="Times New Roman" w:hAnsi="Times New Roman" w:eastAsia="宋体" w:cs="Times New Roman"/>
                <w:snapToGrid w:val="0"/>
                <w:color w:val="auto"/>
                <w:kern w:val="0"/>
                <w:lang w:bidi="en-US"/>
              </w:rPr>
              <w:t>（CO为mg/m</w:t>
            </w:r>
            <w:r>
              <w:rPr>
                <w:rFonts w:hint="default" w:ascii="Times New Roman" w:hAnsi="Times New Roman" w:eastAsia="宋体" w:cs="Times New Roman"/>
                <w:snapToGrid w:val="0"/>
                <w:color w:val="auto"/>
                <w:kern w:val="0"/>
                <w:vertAlign w:val="superscript"/>
                <w:lang w:bidi="en-US"/>
              </w:rPr>
              <w:t>3</w:t>
            </w:r>
            <w:r>
              <w:rPr>
                <w:rFonts w:hint="default" w:ascii="Times New Roman" w:hAnsi="Times New Roman" w:eastAsia="宋体" w:cs="Times New Roman"/>
                <w:snapToGrid w:val="0"/>
                <w:color w:val="auto"/>
                <w:kern w:val="0"/>
                <w:lang w:bidi="en-US"/>
              </w:rPr>
              <w:t>）</w:t>
            </w:r>
          </w:p>
          <w:tbl>
            <w:tblPr>
              <w:tblStyle w:val="26"/>
              <w:tblpPr w:leftFromText="180" w:rightFromText="180" w:vertAnchor="text" w:horzAnchor="margin" w:tblpXSpec="center" w:tblpY="10"/>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580"/>
              <w:gridCol w:w="1155"/>
              <w:gridCol w:w="1075"/>
              <w:gridCol w:w="1153"/>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污染物</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年评价指标</w:t>
                  </w:r>
                </w:p>
              </w:tc>
              <w:tc>
                <w:tcPr>
                  <w:tcW w:w="728"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现状浓度</w:t>
                  </w:r>
                </w:p>
              </w:tc>
              <w:tc>
                <w:tcPr>
                  <w:tcW w:w="678" w:type="pct"/>
                  <w:tcBorders>
                    <w:tl2br w:val="nil"/>
                    <w:tr2bl w:val="nil"/>
                  </w:tcBorders>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标准值</w:t>
                  </w:r>
                </w:p>
              </w:tc>
              <w:tc>
                <w:tcPr>
                  <w:tcW w:w="727" w:type="pct"/>
                  <w:tcBorders>
                    <w:tl2br w:val="nil"/>
                    <w:tr2bl w:val="nil"/>
                  </w:tcBorders>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占标率/%</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1186"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9</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60</w:t>
                  </w:r>
                </w:p>
              </w:tc>
              <w:tc>
                <w:tcPr>
                  <w:tcW w:w="118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2</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1186"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18</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40</w:t>
                  </w:r>
                </w:p>
              </w:tc>
              <w:tc>
                <w:tcPr>
                  <w:tcW w:w="118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45</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10</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1186"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49</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70</w:t>
                  </w:r>
                </w:p>
              </w:tc>
              <w:tc>
                <w:tcPr>
                  <w:tcW w:w="118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szCs w:val="21"/>
                      <w:vertAlign w:val="subscript"/>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1186"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31</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35</w:t>
                  </w:r>
                </w:p>
              </w:tc>
              <w:tc>
                <w:tcPr>
                  <w:tcW w:w="118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88.6</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日均值第95分位质量浓度</w:t>
                  </w:r>
                </w:p>
              </w:tc>
              <w:tc>
                <w:tcPr>
                  <w:tcW w:w="1186"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1.2</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4</w:t>
                  </w:r>
                </w:p>
              </w:tc>
              <w:tc>
                <w:tcPr>
                  <w:tcW w:w="118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3</w:t>
                  </w:r>
                </w:p>
              </w:tc>
              <w:tc>
                <w:tcPr>
                  <w:tcW w:w="1625"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8h平均第90分位质量浓度</w:t>
                  </w:r>
                </w:p>
              </w:tc>
              <w:tc>
                <w:tcPr>
                  <w:tcW w:w="1186"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152</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160</w:t>
                  </w:r>
                </w:p>
              </w:tc>
              <w:tc>
                <w:tcPr>
                  <w:tcW w:w="1184" w:type="dxa"/>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95</w:t>
                  </w:r>
                </w:p>
              </w:tc>
              <w:tc>
                <w:tcPr>
                  <w:tcW w:w="708" w:type="pct"/>
                  <w:tcBorders>
                    <w:tl2br w:val="nil"/>
                    <w:tr2bl w:val="nil"/>
                  </w:tcBorders>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bl>
          <w:p>
            <w:pPr>
              <w:spacing w:line="360" w:lineRule="auto"/>
              <w:ind w:firstLine="480"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sz w:val="24"/>
              </w:rPr>
              <w:t>根据《环境影响评价技术导则 大气环境》（HJ2.2-2018），基本项目污染物包括：SO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、CO、O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，当6项污染物全部达标即为城市环境空气质量达标。2024年如皋SO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、CO、O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均能满足《环境空气质量标准》（GB3095-2012）二级标准，因此本项目所在区域属于</w:t>
            </w:r>
            <w:r>
              <w:rPr>
                <w:rFonts w:hint="default" w:ascii="Times New Roman" w:hAnsi="Times New Roman" w:eastAsia="宋体" w:cs="Times New Roman"/>
                <w:snapToGrid w:val="0"/>
                <w:kern w:val="0"/>
                <w:sz w:val="24"/>
              </w:rPr>
              <w:t>达标区</w:t>
            </w:r>
            <w:r>
              <w:rPr>
                <w:rFonts w:hint="default" w:ascii="Times New Roman" w:hAnsi="Times New Roman" w:eastAsia="宋体" w:cs="Times New Roman"/>
                <w:sz w:val="24"/>
              </w:rPr>
              <w:t>。</w:t>
            </w:r>
          </w:p>
          <w:p>
            <w:pPr>
              <w:numPr>
                <w:ilvl w:val="0"/>
                <w:numId w:val="14"/>
              </w:numPr>
              <w:adjustRightInd/>
              <w:snapToGrid/>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特征污染物</w:t>
            </w:r>
          </w:p>
          <w:p>
            <w:pPr>
              <w:numPr>
                <w:ilvl w:val="-1"/>
                <w:numId w:val="0"/>
              </w:numPr>
              <w:adjustRightInd/>
              <w:snapToGrid/>
              <w:spacing w:line="360" w:lineRule="auto"/>
              <w:ind w:firstLine="480" w:firstLineChars="200"/>
              <w:rPr>
                <w:rFonts w:hint="default" w:ascii="Times New Roman" w:hAnsi="Times New Roman" w:eastAsia="宋体" w:cs="Times New Roman"/>
                <w:b w:val="0"/>
                <w:bCs w:val="0"/>
                <w:sz w:val="24"/>
              </w:rPr>
            </w:pPr>
            <w:r>
              <w:rPr>
                <w:rFonts w:ascii="Times New Roman" w:hAnsi="Times New Roman" w:eastAsia="宋体" w:cs="Times New Roman"/>
                <w:sz w:val="24"/>
                <w:szCs w:val="24"/>
              </w:rPr>
              <w:t>本项目特征污染物含甲醛且厂界周边500m范围内存在敏感目标，根据《建设项目环境影响报告表编制技术指南》（污染影响类），应设置大气专项评价，大气环境质量现状执行《环境影响评价技术导则 大气环境》（HJ2.2-2018）有关规定。因此，本项目特征污染物环境质量现状详见大气专项。</w:t>
            </w:r>
          </w:p>
          <w:p>
            <w:pPr>
              <w:adjustRightInd w:val="0"/>
              <w:snapToGrid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2、水环境质量现状</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sz w:val="24"/>
              </w:rPr>
              <w:t>根据《2024年度南通市生态环境状况公报》，南通市共有16个国家考核断面，均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优Ⅲ类比例100%，无Ⅴ类和劣Ⅴ类断面</w:t>
            </w:r>
            <w:r>
              <w:rPr>
                <w:rFonts w:hint="default" w:ascii="Times New Roman" w:hAnsi="Times New Roman" w:eastAsia="宋体" w:cs="Times New Roman"/>
                <w:color w:val="000000"/>
                <w:sz w:val="24"/>
              </w:rPr>
              <w:t>。</w:t>
            </w:r>
          </w:p>
          <w:p>
            <w:pPr>
              <w:adjustRightInd w:val="0"/>
              <w:snapToGrid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3、声环境质量现状</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本项目厂界外周边50m范围内无环境敏感点，不开展声环境质量现状调查。</w:t>
            </w:r>
          </w:p>
          <w:p>
            <w:pPr>
              <w:adjustRightInd w:val="0"/>
              <w:snapToGrid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4、生态环境</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本项目用地内无生态环境保护目标，无需进行生态现状调查。</w:t>
            </w:r>
          </w:p>
          <w:p>
            <w:pPr>
              <w:adjustRightInd w:val="0"/>
              <w:snapToGrid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5、电磁辐射</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本项目不涉及电磁辐射内容。</w:t>
            </w:r>
          </w:p>
          <w:p>
            <w:pPr>
              <w:adjustRightInd w:val="0"/>
              <w:snapToGrid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6、地下水、土壤环境</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sz w:val="24"/>
              </w:rPr>
              <w:t>土壤环境执行《土壤环境质量 建设用地土壤污染风险管控标准（试行）》（GB36600-2018），地下水环境执行《地下水质量标准》（GB/T14848-2017）。企业危废库、原料储存间</w:t>
            </w:r>
            <w:r>
              <w:rPr>
                <w:rFonts w:hint="eastAsia" w:cs="Times New Roman"/>
                <w:color w:val="000000"/>
                <w:sz w:val="24"/>
                <w:lang w:eastAsia="zh-CN"/>
              </w:rPr>
              <w:t>、</w:t>
            </w:r>
            <w:r>
              <w:rPr>
                <w:rFonts w:hint="eastAsia" w:cs="Times New Roman"/>
                <w:color w:val="000000"/>
                <w:sz w:val="24"/>
                <w:lang w:val="en-US" w:eastAsia="zh-CN"/>
              </w:rPr>
              <w:t>事故应急池、表面处理区、冷却塔、喷淋塔所在区域</w:t>
            </w:r>
            <w:r>
              <w:rPr>
                <w:rFonts w:hint="default" w:ascii="Times New Roman" w:hAnsi="Times New Roman" w:eastAsia="宋体" w:cs="Times New Roman"/>
                <w:color w:val="000000"/>
                <w:sz w:val="24"/>
              </w:rPr>
              <w:t>均为重点防渗区，地面均防腐、防渗，本项目不存在土壤、地下水环境污染途径，不开展环境质量现状调查。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67" w:type="dxa"/>
            <w:vAlign w:val="center"/>
          </w:tcPr>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环境</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保护</w:t>
            </w:r>
          </w:p>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目标</w:t>
            </w:r>
          </w:p>
        </w:tc>
        <w:tc>
          <w:tcPr>
            <w:tcW w:w="8178" w:type="dxa"/>
            <w:tcBorders>
              <w:top w:val="single" w:color="auto" w:sz="8" w:space="0"/>
            </w:tcBorders>
            <w:vAlign w:val="center"/>
          </w:tcPr>
          <w:p>
            <w:pPr>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1、大气环境</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本项目所在地环境空气属于二类功能区，应按照《环境空气质量标准》（GB3095-2012）及其修改单中的二级标准来保护项目所在区域的环境空气质量，项目厂界外500m范围内的大气环境保护目标见表3-</w:t>
            </w:r>
            <w:r>
              <w:rPr>
                <w:rFonts w:hint="default"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rPr>
              <w:t>。</w:t>
            </w:r>
          </w:p>
          <w:p>
            <w:pPr>
              <w:adjustRightInd w:val="0"/>
              <w:snapToGrid w:val="0"/>
              <w:ind w:firstLine="482" w:firstLineChars="200"/>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表3-</w:t>
            </w:r>
            <w:r>
              <w:rPr>
                <w:rFonts w:hint="default" w:ascii="Times New Roman" w:hAnsi="Times New Roman" w:eastAsia="宋体" w:cs="Times New Roman"/>
                <w:b/>
                <w:bCs/>
                <w:color w:val="000000"/>
                <w:sz w:val="24"/>
                <w:lang w:val="en-US" w:eastAsia="zh-CN"/>
              </w:rPr>
              <w:t>2</w:t>
            </w:r>
            <w:r>
              <w:rPr>
                <w:rFonts w:hint="default" w:ascii="Times New Roman" w:hAnsi="Times New Roman" w:eastAsia="宋体" w:cs="Times New Roman"/>
                <w:b/>
                <w:bCs/>
                <w:color w:val="000000"/>
                <w:sz w:val="24"/>
              </w:rPr>
              <w:t xml:space="preserve"> 本项目主要环境保护目标</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792"/>
              <w:gridCol w:w="776"/>
              <w:gridCol w:w="564"/>
              <w:gridCol w:w="843"/>
              <w:gridCol w:w="694"/>
              <w:gridCol w:w="613"/>
              <w:gridCol w:w="664"/>
              <w:gridCol w:w="984"/>
              <w:gridCol w:w="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名称</w:t>
                  </w:r>
                </w:p>
              </w:tc>
              <w:tc>
                <w:tcPr>
                  <w:tcW w:w="988" w:type="pct"/>
                  <w:gridSpan w:val="2"/>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名称</w:t>
                  </w:r>
                </w:p>
              </w:tc>
              <w:tc>
                <w:tcPr>
                  <w:tcW w:w="355"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保护对象</w:t>
                  </w:r>
                </w:p>
              </w:tc>
              <w:tc>
                <w:tcPr>
                  <w:tcW w:w="531"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保护内容</w:t>
                  </w:r>
                </w:p>
              </w:tc>
              <w:tc>
                <w:tcPr>
                  <w:tcW w:w="437"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规模</w:t>
                  </w:r>
                </w:p>
              </w:tc>
              <w:tc>
                <w:tcPr>
                  <w:tcW w:w="386"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环境功能区</w:t>
                  </w:r>
                </w:p>
              </w:tc>
              <w:tc>
                <w:tcPr>
                  <w:tcW w:w="418"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相对厂址方向</w:t>
                  </w:r>
                </w:p>
              </w:tc>
              <w:tc>
                <w:tcPr>
                  <w:tcW w:w="620"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相对厂界距离</w:t>
                  </w:r>
                </w:p>
              </w:tc>
              <w:tc>
                <w:tcPr>
                  <w:tcW w:w="620"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bCs/>
                      <w:color w:val="000000"/>
                      <w:szCs w:val="21"/>
                      <w:lang w:val="en-US" w:eastAsia="zh-CN"/>
                    </w:rPr>
                  </w:pPr>
                  <w:r>
                    <w:rPr>
                      <w:rFonts w:hint="default" w:ascii="Times New Roman" w:hAnsi="Times New Roman" w:eastAsia="宋体" w:cs="Times New Roman"/>
                      <w:b/>
                      <w:bCs/>
                      <w:color w:val="000000"/>
                      <w:szCs w:val="21"/>
                      <w:lang w:val="en-US" w:eastAsia="zh-CN"/>
                    </w:rPr>
                    <w:t>相对车间一距离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color w:val="000000"/>
                      <w:szCs w:val="21"/>
                    </w:rPr>
                  </w:pP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X</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Y</w:t>
                  </w:r>
                </w:p>
              </w:tc>
              <w:tc>
                <w:tcPr>
                  <w:tcW w:w="355"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color w:val="000000"/>
                      <w:szCs w:val="21"/>
                    </w:rPr>
                  </w:pPr>
                </w:p>
              </w:tc>
              <w:tc>
                <w:tcPr>
                  <w:tcW w:w="531"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color w:val="000000"/>
                      <w:szCs w:val="21"/>
                    </w:rPr>
                  </w:pPr>
                </w:p>
              </w:tc>
              <w:tc>
                <w:tcPr>
                  <w:tcW w:w="437"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color w:val="000000"/>
                      <w:szCs w:val="21"/>
                    </w:rPr>
                  </w:pPr>
                </w:p>
              </w:tc>
              <w:tc>
                <w:tcPr>
                  <w:tcW w:w="386"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color w:val="000000"/>
                      <w:szCs w:val="21"/>
                    </w:rPr>
                  </w:pPr>
                </w:p>
              </w:tc>
              <w:tc>
                <w:tcPr>
                  <w:tcW w:w="418"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color w:val="000000"/>
                      <w:szCs w:val="21"/>
                    </w:rPr>
                  </w:pPr>
                </w:p>
              </w:tc>
              <w:tc>
                <w:tcPr>
                  <w:tcW w:w="620"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bCs/>
                      <w:color w:val="000000"/>
                      <w:szCs w:val="21"/>
                    </w:rPr>
                  </w:pPr>
                </w:p>
              </w:tc>
              <w:tc>
                <w:tcPr>
                  <w:tcW w:w="620" w:type="pct"/>
                  <w:vMerge w:val="continue"/>
                  <w:tcBorders>
                    <w:tl2br w:val="nil"/>
                    <w:tr2bl w:val="nil"/>
                  </w:tcBorders>
                  <w:vAlign w:val="center"/>
                </w:tcPr>
                <w:p>
                  <w:pPr>
                    <w:widowControl/>
                    <w:spacing w:line="320" w:lineRule="exact"/>
                    <w:jc w:val="center"/>
                    <w:rPr>
                      <w:rFonts w:hint="default" w:ascii="Times New Roman" w:hAnsi="Times New Roman" w:eastAsia="宋体" w:cs="Times New Roman"/>
                      <w:b/>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搬东村十四组</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120°24′31.380″</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32°19′10.240″</w:t>
                  </w:r>
                </w:p>
              </w:tc>
              <w:tc>
                <w:tcPr>
                  <w:tcW w:w="355"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村庄</w:t>
                  </w:r>
                </w:p>
              </w:tc>
              <w:tc>
                <w:tcPr>
                  <w:tcW w:w="53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160人/38户</w:t>
                  </w:r>
                </w:p>
              </w:tc>
              <w:tc>
                <w:tcPr>
                  <w:tcW w:w="386" w:type="pct"/>
                  <w:vMerge w:val="restar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2类区</w:t>
                  </w: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东</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176</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搬东村十五组</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120°24′42.195″</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32°19′7.073″</w:t>
                  </w:r>
                </w:p>
              </w:tc>
              <w:tc>
                <w:tcPr>
                  <w:tcW w:w="355"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53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20人/5户</w:t>
                  </w:r>
                </w:p>
              </w:tc>
              <w:tc>
                <w:tcPr>
                  <w:tcW w:w="386"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东</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364</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搬经居十二组</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120°24′27.035″</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32°18′50.262″</w:t>
                  </w:r>
                </w:p>
              </w:tc>
              <w:tc>
                <w:tcPr>
                  <w:tcW w:w="355"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531"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170人/40户</w:t>
                  </w:r>
                </w:p>
              </w:tc>
              <w:tc>
                <w:tcPr>
                  <w:tcW w:w="386"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南</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3</w:t>
                  </w:r>
                  <w:r>
                    <w:rPr>
                      <w:rFonts w:hint="default" w:ascii="Times New Roman" w:hAnsi="Times New Roman" w:eastAsia="宋体" w:cs="Times New Roman"/>
                      <w:color w:val="000000"/>
                      <w:szCs w:val="21"/>
                      <w:lang w:val="en-US" w:eastAsia="zh-CN"/>
                    </w:rPr>
                    <w:t>67</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花冠名苑</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120°24′14.482″</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32°18′47.133″</w:t>
                  </w:r>
                </w:p>
              </w:tc>
              <w:tc>
                <w:tcPr>
                  <w:tcW w:w="355"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531"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50人/10户</w:t>
                  </w:r>
                </w:p>
              </w:tc>
              <w:tc>
                <w:tcPr>
                  <w:tcW w:w="386"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西南</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456</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484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搬经村</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120°24′16.104″</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32°19′14.595″</w:t>
                  </w:r>
                </w:p>
              </w:tc>
              <w:tc>
                <w:tcPr>
                  <w:tcW w:w="355"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531"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80人/20户</w:t>
                  </w:r>
                </w:p>
              </w:tc>
              <w:tc>
                <w:tcPr>
                  <w:tcW w:w="386"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北</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2</w:t>
                  </w:r>
                  <w:r>
                    <w:rPr>
                      <w:rFonts w:hint="default" w:ascii="Times New Roman" w:hAnsi="Times New Roman" w:eastAsia="宋体" w:cs="Times New Roman"/>
                      <w:color w:val="000000"/>
                      <w:szCs w:val="21"/>
                      <w:lang w:val="en-US" w:eastAsia="zh-CN"/>
                    </w:rPr>
                    <w:t>05</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章家窑</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120°24′6.603″</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32°19′20.311″</w:t>
                  </w:r>
                </w:p>
              </w:tc>
              <w:tc>
                <w:tcPr>
                  <w:tcW w:w="355"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531"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230人/50户</w:t>
                  </w:r>
                </w:p>
              </w:tc>
              <w:tc>
                <w:tcPr>
                  <w:tcW w:w="386"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北</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3</w:t>
                  </w:r>
                  <w:r>
                    <w:rPr>
                      <w:rFonts w:hint="default" w:ascii="Times New Roman" w:hAnsi="Times New Roman" w:eastAsia="宋体" w:cs="Times New Roman"/>
                      <w:color w:val="000000"/>
                      <w:szCs w:val="21"/>
                      <w:lang w:val="en-US" w:eastAsia="zh-CN"/>
                    </w:rPr>
                    <w:t>45</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搬东村十三组</w:t>
                  </w:r>
                </w:p>
              </w:tc>
              <w:tc>
                <w:tcPr>
                  <w:tcW w:w="49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120°24′45.265″</w:t>
                  </w:r>
                </w:p>
              </w:tc>
              <w:tc>
                <w:tcPr>
                  <w:tcW w:w="489"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32°19′0.574″</w:t>
                  </w:r>
                </w:p>
              </w:tc>
              <w:tc>
                <w:tcPr>
                  <w:tcW w:w="355"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531"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居民</w:t>
                  </w:r>
                </w:p>
              </w:tc>
              <w:tc>
                <w:tcPr>
                  <w:tcW w:w="437"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20人/4户</w:t>
                  </w:r>
                </w:p>
              </w:tc>
              <w:tc>
                <w:tcPr>
                  <w:tcW w:w="386" w:type="pct"/>
                  <w:vMerge w:val="continue"/>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p>
              </w:tc>
              <w:tc>
                <w:tcPr>
                  <w:tcW w:w="418"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东南</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4</w:t>
                  </w:r>
                  <w:r>
                    <w:rPr>
                      <w:rFonts w:hint="default" w:ascii="Times New Roman" w:hAnsi="Times New Roman" w:eastAsia="宋体" w:cs="Times New Roman"/>
                      <w:color w:val="000000"/>
                      <w:szCs w:val="21"/>
                      <w:lang w:val="en-US" w:eastAsia="zh-CN"/>
                    </w:rPr>
                    <w:t>73</w:t>
                  </w:r>
                </w:p>
              </w:tc>
              <w:tc>
                <w:tcPr>
                  <w:tcW w:w="620" w:type="pct"/>
                  <w:tcBorders>
                    <w:tl2br w:val="nil"/>
                    <w:tr2bl w:val="nil"/>
                  </w:tcBorders>
                  <w:vAlign w:val="center"/>
                </w:tcPr>
                <w:p>
                  <w:pPr>
                    <w:tabs>
                      <w:tab w:val="left" w:pos="1021"/>
                    </w:tabs>
                    <w:adjustRightInd w:val="0"/>
                    <w:snapToGrid w:val="0"/>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515</w:t>
                  </w:r>
                </w:p>
              </w:tc>
            </w:tr>
          </w:tbl>
          <w:p>
            <w:pPr>
              <w:adjustRightInd w:val="0"/>
              <w:snapToGrid w:val="0"/>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2、地表水环境</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项目周边500m地表水环境敏感目标见表3-</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w:t>
            </w:r>
          </w:p>
          <w:p>
            <w:pPr>
              <w:jc w:val="center"/>
              <w:rPr>
                <w:rFonts w:hint="default" w:ascii="Times New Roman" w:hAnsi="Times New Roman" w:eastAsia="宋体" w:cs="Times New Roman"/>
                <w:b/>
              </w:rPr>
            </w:pPr>
            <w:r>
              <w:rPr>
                <w:rFonts w:hint="default" w:ascii="Times New Roman" w:hAnsi="Times New Roman" w:eastAsia="宋体" w:cs="Times New Roman"/>
                <w:b/>
                <w:sz w:val="24"/>
              </w:rPr>
              <w:t>表3-</w:t>
            </w:r>
            <w:r>
              <w:rPr>
                <w:rFonts w:hint="default"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地表水环境保护目标一览表</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46"/>
              <w:gridCol w:w="1574"/>
              <w:gridCol w:w="2581"/>
              <w:gridCol w:w="712"/>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24"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533"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规模</w:t>
                  </w:r>
                </w:p>
              </w:tc>
              <w:tc>
                <w:tcPr>
                  <w:tcW w:w="991"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保护内容</w:t>
                  </w:r>
                </w:p>
              </w:tc>
              <w:tc>
                <w:tcPr>
                  <w:tcW w:w="1626"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环境功能区</w:t>
                  </w:r>
                </w:p>
              </w:tc>
              <w:tc>
                <w:tcPr>
                  <w:tcW w:w="449"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相对厂址方向</w:t>
                  </w:r>
                </w:p>
              </w:tc>
              <w:tc>
                <w:tcPr>
                  <w:tcW w:w="474"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4"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焦港河</w:t>
                  </w:r>
                </w:p>
              </w:tc>
              <w:tc>
                <w:tcPr>
                  <w:tcW w:w="533"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中河</w:t>
                  </w:r>
                </w:p>
              </w:tc>
              <w:tc>
                <w:tcPr>
                  <w:tcW w:w="991" w:type="pct"/>
                  <w:vMerge w:val="restart"/>
                  <w:tcBorders>
                    <w:tl2br w:val="nil"/>
                    <w:tr2bl w:val="nil"/>
                  </w:tcBorders>
                  <w:vAlign w:val="center"/>
                </w:tcPr>
                <w:p>
                  <w:pPr>
                    <w:tabs>
                      <w:tab w:val="left" w:pos="1021"/>
                    </w:tabs>
                    <w:spacing w:before="100" w:beforeAutospacing="1" w:after="100" w:afterAutospacing="1"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地表水环境</w:t>
                  </w:r>
                </w:p>
              </w:tc>
              <w:tc>
                <w:tcPr>
                  <w:tcW w:w="1626" w:type="pct"/>
                  <w:vMerge w:val="restar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《地表水环境质量标准》（GB3838-2002）Ⅲ类标准</w:t>
                  </w:r>
                </w:p>
              </w:tc>
              <w:tc>
                <w:tcPr>
                  <w:tcW w:w="449"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东</w:t>
                  </w:r>
                </w:p>
              </w:tc>
              <w:tc>
                <w:tcPr>
                  <w:tcW w:w="474"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4"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搬北河（雨水接纳水体）</w:t>
                  </w:r>
                </w:p>
              </w:tc>
              <w:tc>
                <w:tcPr>
                  <w:tcW w:w="533"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小河</w:t>
                  </w:r>
                </w:p>
              </w:tc>
              <w:tc>
                <w:tcPr>
                  <w:tcW w:w="991" w:type="pct"/>
                  <w:vMerge w:val="continue"/>
                  <w:tcBorders>
                    <w:tl2br w:val="nil"/>
                    <w:tr2bl w:val="nil"/>
                  </w:tcBorders>
                  <w:vAlign w:val="center"/>
                </w:tcPr>
                <w:p>
                  <w:pPr>
                    <w:tabs>
                      <w:tab w:val="left" w:pos="1021"/>
                    </w:tabs>
                    <w:spacing w:before="100" w:beforeAutospacing="1" w:after="100" w:afterAutospacing="1" w:line="320" w:lineRule="exact"/>
                    <w:jc w:val="center"/>
                    <w:rPr>
                      <w:rFonts w:hint="default" w:ascii="Times New Roman" w:hAnsi="Times New Roman" w:eastAsia="宋体" w:cs="Times New Roman"/>
                      <w:szCs w:val="21"/>
                    </w:rPr>
                  </w:pPr>
                </w:p>
              </w:tc>
              <w:tc>
                <w:tcPr>
                  <w:tcW w:w="1626" w:type="pct"/>
                  <w:vMerge w:val="continue"/>
                  <w:tcBorders>
                    <w:tl2br w:val="nil"/>
                    <w:tr2bl w:val="nil"/>
                  </w:tcBorders>
                  <w:vAlign w:val="center"/>
                </w:tcPr>
                <w:p>
                  <w:pPr>
                    <w:spacing w:line="320" w:lineRule="exact"/>
                    <w:jc w:val="center"/>
                    <w:rPr>
                      <w:rFonts w:hint="default" w:ascii="Times New Roman" w:hAnsi="Times New Roman" w:eastAsia="宋体" w:cs="Times New Roman"/>
                      <w:bCs/>
                      <w:szCs w:val="21"/>
                    </w:rPr>
                  </w:pPr>
                </w:p>
              </w:tc>
              <w:tc>
                <w:tcPr>
                  <w:tcW w:w="449"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南</w:t>
                  </w:r>
                </w:p>
              </w:tc>
              <w:tc>
                <w:tcPr>
                  <w:tcW w:w="474" w:type="pct"/>
                  <w:tcBorders>
                    <w:tl2br w:val="nil"/>
                    <w:tr2bl w:val="nil"/>
                  </w:tcBorders>
                  <w:vAlign w:val="center"/>
                </w:tcPr>
                <w:p>
                  <w:pPr>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658m</w:t>
                  </w:r>
                </w:p>
              </w:tc>
            </w:tr>
          </w:tbl>
          <w:p>
            <w:pPr>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3、声环境</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本项目厂界周边50m范围内无环境敏感目标。</w:t>
            </w:r>
          </w:p>
          <w:p>
            <w:pPr>
              <w:adjustRightInd w:val="0"/>
              <w:snapToGrid w:val="0"/>
              <w:spacing w:line="360" w:lineRule="auto"/>
              <w:ind w:firstLine="482" w:firstLineChars="200"/>
              <w:jc w:val="left"/>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4、地下水环境</w:t>
            </w:r>
          </w:p>
          <w:p>
            <w:pPr>
              <w:adjustRightInd w:val="0"/>
              <w:snapToGrid w:val="0"/>
              <w:spacing w:line="360" w:lineRule="auto"/>
              <w:ind w:firstLine="480" w:firstLineChars="200"/>
              <w:jc w:val="left"/>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本项目厂界外500米范围内无地下水集中式饮用水水源和热水、矿泉水、温泉等特殊地下水资源。</w:t>
            </w:r>
          </w:p>
          <w:p>
            <w:pPr>
              <w:adjustRightInd w:val="0"/>
              <w:snapToGrid w:val="0"/>
              <w:spacing w:line="360" w:lineRule="auto"/>
              <w:ind w:firstLine="482" w:firstLineChars="200"/>
              <w:jc w:val="left"/>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5、生态环境</w:t>
            </w:r>
          </w:p>
          <w:p>
            <w:pPr>
              <w:pStyle w:val="11"/>
              <w:spacing w:before="0" w:after="0" w:line="360" w:lineRule="auto"/>
              <w:ind w:right="0"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rPr>
              <w:t>本项目最近的生态空间管控区域为项目东侧的焦港河（如皋市）清水通道维护区，本项目距焦港河（如皋市）清水通道维护区约100m，因此本项目所在地无受保护的生境和生物区系及水产资源。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67" w:type="dxa"/>
            <w:tcMar>
              <w:left w:w="28" w:type="dxa"/>
              <w:right w:w="28" w:type="dxa"/>
            </w:tcMar>
            <w:vAlign w:val="center"/>
          </w:tcPr>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color w:val="000000"/>
                <w:kern w:val="0"/>
                <w:szCs w:val="21"/>
              </w:rPr>
            </w:pP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污</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染</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物</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排</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放</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控</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制</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标</w:t>
            </w:r>
          </w:p>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准</w:t>
            </w:r>
          </w:p>
        </w:tc>
        <w:tc>
          <w:tcPr>
            <w:tcW w:w="8178" w:type="dxa"/>
            <w:vAlign w:val="center"/>
          </w:tcPr>
          <w:p>
            <w:pPr>
              <w:spacing w:line="360" w:lineRule="auto"/>
              <w:ind w:firstLine="482"/>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1、大气污染物排放标准</w:t>
            </w:r>
          </w:p>
          <w:p>
            <w:pPr>
              <w:spacing w:line="360" w:lineRule="auto"/>
              <w:ind w:firstLine="480"/>
              <w:rPr>
                <w:rFonts w:hint="default" w:ascii="Times New Roman" w:hAnsi="Times New Roman" w:eastAsia="宋体" w:cs="Times New Roman"/>
                <w:color w:val="000000"/>
                <w:sz w:val="24"/>
              </w:rPr>
            </w:pPr>
            <w:bookmarkStart w:id="2" w:name="_Ref396828303"/>
            <w:bookmarkStart w:id="3" w:name="_Ref379546700"/>
            <w:r>
              <w:rPr>
                <w:rFonts w:hint="default" w:ascii="Times New Roman" w:hAnsi="Times New Roman" w:eastAsia="宋体" w:cs="Times New Roman"/>
                <w:color w:val="auto"/>
                <w:sz w:val="24"/>
                <w:szCs w:val="24"/>
                <w:highlight w:val="none"/>
                <w:lang w:val="en-US" w:eastAsia="zh-CN"/>
              </w:rPr>
              <w:t>建设项目DA001（发泡制模）有组织</w:t>
            </w:r>
            <w:r>
              <w:rPr>
                <w:rFonts w:hint="eastAsia" w:cs="Times New Roman"/>
                <w:color w:val="auto"/>
                <w:sz w:val="24"/>
                <w:szCs w:val="24"/>
                <w:highlight w:val="none"/>
                <w:lang w:val="en-US" w:eastAsia="zh-CN"/>
              </w:rPr>
              <w:t>排放的</w:t>
            </w:r>
            <w:r>
              <w:rPr>
                <w:rFonts w:hint="default" w:ascii="Times New Roman" w:hAnsi="Times New Roman" w:eastAsia="宋体" w:cs="Times New Roman"/>
                <w:color w:val="auto"/>
                <w:sz w:val="24"/>
                <w:szCs w:val="24"/>
                <w:highlight w:val="none"/>
                <w:lang w:val="en-US" w:eastAsia="zh-CN"/>
              </w:rPr>
              <w:t>非甲烷总烃、苯乙烯、苯、甲苯、乙苯执行《合成树脂工业污染物排放标准》（GB 31572-2015，含2024年修改单）表5标准；DA002（冷芯制模）有组织颗粒物、甲醛、酚类与DA004（喷漆、晾干）有组织二甲苯执行《大气污染物综合排放标准》（DB32/40241-2021）表1标准，</w:t>
            </w:r>
            <w:r>
              <w:rPr>
                <w:rFonts w:hint="eastAsia" w:cs="Times New Roman"/>
                <w:color w:val="auto"/>
                <w:sz w:val="24"/>
                <w:szCs w:val="24"/>
                <w:highlight w:val="none"/>
                <w:lang w:val="en-US" w:eastAsia="zh-CN"/>
              </w:rPr>
              <w:t>由于《铸造工业大气污染物排放标准》（GB 39726-2020）中制芯过程无三乙胺排放限值，因此</w:t>
            </w:r>
            <w:r>
              <w:rPr>
                <w:rFonts w:hint="default" w:ascii="Times New Roman" w:hAnsi="Times New Roman" w:eastAsia="宋体" w:cs="Times New Roman"/>
                <w:color w:val="auto"/>
                <w:sz w:val="24"/>
                <w:szCs w:val="24"/>
                <w:highlight w:val="none"/>
                <w:lang w:val="en-US" w:eastAsia="zh-CN"/>
              </w:rPr>
              <w:t>三乙胺排放</w:t>
            </w:r>
            <w:r>
              <w:rPr>
                <w:rFonts w:hint="eastAsia"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lang w:val="en-US" w:eastAsia="zh-CN"/>
              </w:rPr>
              <w:t>执行《铸造行业大气污染物排放限值》（T/CFA030802.2-2020）表2标准；DA005（抛丸）有组织颗粒物执行《大气污染物综合排放标准》（DB32/40241-2021）表1标准；DA003（刮腻子）、DA004（喷漆、晾干）、DA006（喷塑）和DA007（固化）有组织非甲烷总烃、苯系物、TVOC、颗粒物执行《工业涂装工序大气污染物排放标准》（DB32/4439-2022）表1标准；DA008（天然气燃烧）排放执行《锅炉大气污染物排放标准》（DB32/4385-2022）表1标准；</w:t>
            </w:r>
            <w:r>
              <w:rPr>
                <w:rFonts w:hint="eastAsia" w:cs="Times New Roman"/>
                <w:color w:val="auto"/>
                <w:sz w:val="24"/>
                <w:szCs w:val="24"/>
                <w:highlight w:val="none"/>
                <w:lang w:val="en-US" w:eastAsia="zh-CN"/>
              </w:rPr>
              <w:t>DA001中苯乙烯排放速率、</w:t>
            </w:r>
            <w:r>
              <w:rPr>
                <w:rFonts w:hint="default" w:ascii="Times New Roman" w:hAnsi="Times New Roman" w:eastAsia="宋体" w:cs="Times New Roman"/>
                <w:color w:val="auto"/>
                <w:sz w:val="24"/>
                <w:szCs w:val="24"/>
                <w:highlight w:val="none"/>
                <w:lang w:val="en-US" w:eastAsia="zh-CN"/>
              </w:rPr>
              <w:t>DA002（冷芯制模）臭气浓度执行《恶臭污染物排放标准》（GB14554-93）表2标准</w:t>
            </w:r>
            <w:r>
              <w:rPr>
                <w:rFonts w:hint="default" w:ascii="Times New Roman" w:hAnsi="Times New Roman" w:eastAsia="宋体" w:cs="Times New Roman"/>
                <w:color w:val="000000"/>
                <w:sz w:val="24"/>
              </w:rPr>
              <w:t>。</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b/>
                <w:bCs/>
                <w:color w:val="000000"/>
                <w:sz w:val="24"/>
              </w:rPr>
              <w:t>表</w:t>
            </w:r>
            <w:bookmarkEnd w:id="2"/>
            <w:bookmarkEnd w:id="3"/>
            <w:r>
              <w:rPr>
                <w:rFonts w:hint="default" w:ascii="Times New Roman" w:hAnsi="Times New Roman" w:eastAsia="宋体" w:cs="Times New Roman"/>
                <w:b/>
                <w:bCs/>
                <w:color w:val="000000"/>
                <w:sz w:val="24"/>
              </w:rPr>
              <w:t>3-</w:t>
            </w:r>
            <w:r>
              <w:rPr>
                <w:rFonts w:hint="default" w:ascii="Times New Roman" w:hAnsi="Times New Roman" w:eastAsia="宋体" w:cs="Times New Roman"/>
                <w:b/>
                <w:bCs/>
                <w:color w:val="000000"/>
                <w:sz w:val="24"/>
                <w:lang w:val="en-US" w:eastAsia="zh-CN"/>
              </w:rPr>
              <w:t xml:space="preserve">4 </w:t>
            </w:r>
            <w:r>
              <w:rPr>
                <w:rFonts w:hint="default" w:ascii="Times New Roman" w:hAnsi="Times New Roman" w:eastAsia="宋体" w:cs="Times New Roman"/>
                <w:b/>
                <w:sz w:val="24"/>
              </w:rPr>
              <w:t>大气污染物排放标准（有组织）</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3"/>
              <w:gridCol w:w="1105"/>
              <w:gridCol w:w="896"/>
              <w:gridCol w:w="1407"/>
              <w:gridCol w:w="1478"/>
              <w:gridCol w:w="20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696"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565"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排气筒高度（m）</w:t>
                  </w:r>
                </w:p>
              </w:tc>
              <w:tc>
                <w:tcPr>
                  <w:tcW w:w="1819" w:type="pct"/>
                  <w:gridSpan w:val="2"/>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pacing w:val="4"/>
                      <w:position w:val="-2"/>
                      <w:sz w:val="21"/>
                      <w:szCs w:val="21"/>
                      <w:highlight w:val="none"/>
                    </w:rPr>
                    <w:t>标准限值</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p>
              </w:tc>
              <w:tc>
                <w:tcPr>
                  <w:tcW w:w="696"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p>
              </w:tc>
              <w:tc>
                <w:tcPr>
                  <w:tcW w:w="565"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p>
              </w:tc>
              <w:tc>
                <w:tcPr>
                  <w:tcW w:w="887"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最高允许排放浓度(mg/m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932"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最高允许排放速率（kg/h）</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DA001（发泡）</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非甲烷总烃</w:t>
                  </w:r>
                </w:p>
              </w:tc>
              <w:tc>
                <w:tcPr>
                  <w:tcW w:w="565" w:type="pct"/>
                  <w:vMerge w:val="restar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60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《合成树脂工业污染物排放标准》（GB 31572-2015，含2024年修改单）表5标准</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olor w:val="auto"/>
                      <w:highlight w:val="none"/>
                      <w:lang w:eastAsia="zh-CN"/>
                    </w:rPr>
                    <w:t>《恶臭污染物排放标准》（GB14554-93）表2标准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苯</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DA002（冷芯制模）</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65" w:type="pct"/>
                  <w:vMerge w:val="restar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《大气污染物综合排放标准》（DB32/40241-2021）表1标准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甲醛</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酚类</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0.072</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三乙胺</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h</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《铸造行业大气污染物排放限值》（T/CFA030802.2-2020）表2标准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shd w:val="clear" w:color="auto" w:fill="auto"/>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臭气浓度</w:t>
                  </w:r>
                </w:p>
              </w:tc>
              <w:tc>
                <w:tcPr>
                  <w:tcW w:w="565" w:type="pct"/>
                  <w:vMerge w:val="continue"/>
                  <w:tcBorders>
                    <w:tl2br w:val="nil"/>
                    <w:tr2bl w:val="nil"/>
                  </w:tcBorders>
                  <w:shd w:val="clear" w:color="auto" w:fill="auto"/>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44"/>
                      <w:sz w:val="21"/>
                      <w:szCs w:val="21"/>
                      <w:highlight w:val="none"/>
                      <w:lang w:val="en-US" w:eastAsia="zh-CN" w:bidi="ar-SA"/>
                    </w:rPr>
                  </w:pPr>
                </w:p>
              </w:tc>
              <w:tc>
                <w:tcPr>
                  <w:tcW w:w="88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3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2000（无量纲）</w:t>
                  </w:r>
                </w:p>
              </w:tc>
              <w:tc>
                <w:tcPr>
                  <w:tcW w:w="1317" w:type="pct"/>
                  <w:tcBorders>
                    <w:tl2br w:val="nil"/>
                    <w:tr2bl w:val="nil"/>
                  </w:tcBorders>
                  <w:shd w:val="clear" w:color="auto" w:fill="auto"/>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恶臭污染物排放标准》（GB14554-93）表2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DA003（刮腻子）</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565" w:type="pct"/>
                  <w:vMerge w:val="restar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《工业涂装工序大气污染物排放标准》（DB32/4439-2022）表1标准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苯系物</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TVOC</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DA004（喷漆、晾干）</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565" w:type="pct"/>
                  <w:vMerge w:val="restar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《工业涂装工序大气污染物排放标准》（DB32/4439-2022）表1标准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苯系物</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TVOC</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93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w:t>
                  </w:r>
                </w:p>
              </w:tc>
              <w:tc>
                <w:tcPr>
                  <w:tcW w:w="1317"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《大气污染物综合排放标准》（DB32/40241-2021）表1标准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DA005（抛丸）</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65"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17"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《大气污染物综合排放标准》（DB32/4041-2021）表1标准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DA006（喷塑）</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65"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《工业涂装工序大气污染物排放标准》（DB32/4439-2022）表1标准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DA007（固化）</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565" w:type="pct"/>
                  <w:vMerge w:val="restar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TVOC</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DA008</w:t>
                  </w: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65" w:type="pct"/>
                  <w:vMerge w:val="restar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《锅炉大气污染物排放标准》（DB32/4385-2022）表1标准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NOx</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p>
              </w:tc>
              <w:tc>
                <w:tcPr>
                  <w:tcW w:w="696"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烟气黑度</w:t>
                  </w:r>
                </w:p>
              </w:tc>
              <w:tc>
                <w:tcPr>
                  <w:tcW w:w="565" w:type="pct"/>
                  <w:vMerge w:val="continue"/>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林格曼黑度1</w:t>
                  </w:r>
                  <w:r>
                    <w:rPr>
                      <w:rFonts w:hint="eastAsia" w:cs="Times New Roman"/>
                      <w:color w:val="auto"/>
                      <w:sz w:val="21"/>
                      <w:szCs w:val="21"/>
                      <w:highlight w:val="none"/>
                      <w:lang w:val="en-US" w:eastAsia="zh-CN"/>
                    </w:rPr>
                    <w:t>级</w:t>
                  </w:r>
                </w:p>
              </w:tc>
              <w:tc>
                <w:tcPr>
                  <w:tcW w:w="93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eastAsia="zh-CN"/>
                    </w:rPr>
                  </w:pPr>
                </w:p>
              </w:tc>
            </w:tr>
          </w:tbl>
          <w:p>
            <w:pPr>
              <w:adjustRightInd w:val="0"/>
              <w:snapToGrid w:val="0"/>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注：本项目生产区域最高建筑物高度约16.6m，项目周边200米范围内主要是其他工业企业，最高建筑物高度约16.6米，排气筒设置高于周边建筑物，可以保证废气有效扩散，高度是合理可行的，同时锅炉排气筒参照GB13271-2014“新建锅炉房周围半径20m范围内有建筑物时，其烟囱应高出建筑物3m以上”，</w:t>
            </w:r>
            <w:r>
              <w:rPr>
                <w:rFonts w:hint="eastAsia"/>
                <w:lang w:val="en-US" w:eastAsia="zh-CN"/>
              </w:rPr>
              <w:t>建设单位同意从严</w:t>
            </w:r>
            <w:r>
              <w:rPr>
                <w:rFonts w:hint="eastAsia" w:cs="Times New Roman"/>
                <w:sz w:val="21"/>
                <w:szCs w:val="21"/>
                <w:lang w:val="en-US" w:eastAsia="zh-CN"/>
              </w:rPr>
              <w:t>设置DA008排气筒高度为20m。</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根据《锅炉大气污染物排放标准》（DB32/4385-2022），实测的大气污染物排放浓度，应按以下公式换算为基准氧含量下的排放浓度，并以此作为达标判定的依据。</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式中： </w:t>
            </w:r>
            <m:oMath>
              <m:r>
                <m:rPr>
                  <m:nor/>
                  <m:sty m:val="p"/>
                </m:rPr>
                <w:rPr>
                  <w:rFonts w:hint="default" w:ascii="Times New Roman" w:hAnsi="Times New Roman" w:eastAsia="宋体" w:cs="Times New Roman"/>
                  <w:b w:val="0"/>
                  <w:i w:val="0"/>
                  <w:sz w:val="24"/>
                </w:rPr>
                <m:t>ρ=ρ’×</m:t>
              </m:r>
              <m:f>
                <m:fPr>
                  <m:ctrlPr>
                    <w:rPr>
                      <w:rFonts w:hint="default" w:ascii="Cambria Math" w:hAnsi="Cambria Math" w:eastAsia="宋体" w:cs="Times New Roman"/>
                      <w:sz w:val="24"/>
                    </w:rPr>
                  </m:ctrlPr>
                </m:fPr>
                <m:num>
                  <m:r>
                    <m:rPr>
                      <m:nor/>
                      <m:sty m:val="p"/>
                    </m:rPr>
                    <w:rPr>
                      <w:rFonts w:hint="default" w:ascii="Times New Roman" w:hAnsi="Times New Roman" w:eastAsia="宋体" w:cs="Times New Roman"/>
                      <w:b w:val="0"/>
                      <w:i w:val="0"/>
                      <w:sz w:val="24"/>
                    </w:rPr>
                    <m:t>21-φ（</m:t>
                  </m:r>
                  <m:sSub>
                    <m:sSubPr>
                      <m:ctrlPr>
                        <w:rPr>
                          <w:rFonts w:hint="default" w:ascii="Cambria Math" w:hAnsi="Cambria Math" w:eastAsia="宋体" w:cs="Times New Roman"/>
                          <w:sz w:val="24"/>
                        </w:rPr>
                      </m:ctrlPr>
                    </m:sSubPr>
                    <m:e>
                      <m:r>
                        <m:rPr>
                          <m:nor/>
                          <m:sty m:val="p"/>
                        </m:rPr>
                        <w:rPr>
                          <w:rFonts w:hint="default" w:ascii="Times New Roman" w:hAnsi="Times New Roman" w:eastAsia="宋体" w:cs="Times New Roman"/>
                          <w:b w:val="0"/>
                          <w:i w:val="0"/>
                          <w:sz w:val="24"/>
                        </w:rPr>
                        <m:t>O</m:t>
                      </m:r>
                      <m:ctrlPr>
                        <w:rPr>
                          <w:rFonts w:hint="default" w:ascii="Cambria Math" w:hAnsi="Cambria Math" w:eastAsia="宋体" w:cs="Times New Roman"/>
                          <w:sz w:val="24"/>
                        </w:rPr>
                      </m:ctrlPr>
                    </m:e>
                    <m:sub>
                      <m:r>
                        <m:rPr>
                          <m:nor/>
                          <m:sty m:val="p"/>
                        </m:rPr>
                        <w:rPr>
                          <w:rFonts w:hint="default" w:ascii="Times New Roman" w:hAnsi="Times New Roman" w:eastAsia="宋体" w:cs="Times New Roman"/>
                          <w:b w:val="0"/>
                          <w:i w:val="0"/>
                          <w:sz w:val="24"/>
                        </w:rPr>
                        <m:t>2</m:t>
                      </m:r>
                      <m:ctrlPr>
                        <w:rPr>
                          <w:rFonts w:hint="default" w:ascii="Cambria Math" w:hAnsi="Cambria Math" w:eastAsia="宋体" w:cs="Times New Roman"/>
                          <w:sz w:val="24"/>
                        </w:rPr>
                      </m:ctrlPr>
                    </m:sub>
                  </m:sSub>
                  <m:r>
                    <m:rPr>
                      <m:nor/>
                      <m:sty m:val="p"/>
                    </m:rPr>
                    <w:rPr>
                      <w:rFonts w:hint="default" w:ascii="Times New Roman" w:hAnsi="Times New Roman" w:eastAsia="宋体" w:cs="Times New Roman"/>
                      <w:b w:val="0"/>
                      <w:i w:val="0"/>
                      <w:sz w:val="24"/>
                    </w:rPr>
                    <m:t>）</m:t>
                  </m:r>
                  <m:ctrlPr>
                    <w:rPr>
                      <w:rFonts w:hint="default" w:ascii="Cambria Math" w:hAnsi="Cambria Math" w:eastAsia="宋体" w:cs="Times New Roman"/>
                      <w:sz w:val="24"/>
                    </w:rPr>
                  </m:ctrlPr>
                </m:num>
                <m:den>
                  <m:r>
                    <m:rPr>
                      <m:nor/>
                      <m:sty m:val="p"/>
                    </m:rPr>
                    <w:rPr>
                      <w:rFonts w:hint="default" w:ascii="Times New Roman" w:hAnsi="Times New Roman" w:eastAsia="宋体" w:cs="Times New Roman"/>
                      <w:b w:val="0"/>
                      <w:i w:val="0"/>
                      <w:sz w:val="24"/>
                    </w:rPr>
                    <m:t>21-φ’（</m:t>
                  </m:r>
                  <m:sSub>
                    <m:sSubPr>
                      <m:ctrlPr>
                        <w:rPr>
                          <w:rFonts w:hint="default" w:ascii="Cambria Math" w:hAnsi="Cambria Math" w:eastAsia="宋体" w:cs="Times New Roman"/>
                          <w:sz w:val="24"/>
                        </w:rPr>
                      </m:ctrlPr>
                    </m:sSubPr>
                    <m:e>
                      <m:r>
                        <m:rPr>
                          <m:nor/>
                          <m:sty m:val="p"/>
                        </m:rPr>
                        <w:rPr>
                          <w:rFonts w:hint="default" w:ascii="Times New Roman" w:hAnsi="Times New Roman" w:eastAsia="宋体" w:cs="Times New Roman"/>
                          <w:b w:val="0"/>
                          <w:i w:val="0"/>
                          <w:sz w:val="24"/>
                        </w:rPr>
                        <m:t>O</m:t>
                      </m:r>
                      <m:ctrlPr>
                        <w:rPr>
                          <w:rFonts w:hint="default" w:ascii="Cambria Math" w:hAnsi="Cambria Math" w:eastAsia="宋体" w:cs="Times New Roman"/>
                          <w:sz w:val="24"/>
                        </w:rPr>
                      </m:ctrlPr>
                    </m:e>
                    <m:sub>
                      <m:r>
                        <m:rPr>
                          <m:nor/>
                          <m:sty m:val="p"/>
                        </m:rPr>
                        <w:rPr>
                          <w:rFonts w:hint="default" w:ascii="Times New Roman" w:hAnsi="Times New Roman" w:eastAsia="宋体" w:cs="Times New Roman"/>
                          <w:b w:val="0"/>
                          <w:i w:val="0"/>
                          <w:sz w:val="24"/>
                        </w:rPr>
                        <m:t>2</m:t>
                      </m:r>
                      <m:ctrlPr>
                        <w:rPr>
                          <w:rFonts w:hint="default" w:ascii="Cambria Math" w:hAnsi="Cambria Math" w:eastAsia="宋体" w:cs="Times New Roman"/>
                          <w:sz w:val="24"/>
                        </w:rPr>
                      </m:ctrlPr>
                    </m:sub>
                  </m:sSub>
                  <m:r>
                    <m:rPr>
                      <m:nor/>
                      <m:sty m:val="p"/>
                    </m:rPr>
                    <w:rPr>
                      <w:rFonts w:hint="default" w:ascii="Times New Roman" w:hAnsi="Times New Roman" w:eastAsia="宋体" w:cs="Times New Roman"/>
                      <w:b w:val="0"/>
                      <w:i w:val="0"/>
                      <w:sz w:val="24"/>
                    </w:rPr>
                    <m:t>）</m:t>
                  </m:r>
                  <m:ctrlPr>
                    <w:rPr>
                      <w:rFonts w:hint="default" w:ascii="Cambria Math" w:hAnsi="Cambria Math" w:eastAsia="宋体" w:cs="Times New Roman"/>
                      <w:sz w:val="24"/>
                    </w:rPr>
                  </m:ctrlPr>
                </m:den>
              </m:f>
            </m:oMath>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ρ——大气污染物基准氧含量排放浓度，mg/m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 xml:space="preserve">； </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ρ'——实测的大气污染物排放浓度，mg/m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 xml:space="preserve">； </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φ(O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 xml:space="preserve">) ——基准氧含量，%；（对照表5，本项目为单台处理65t/h以下的燃气锅炉，基准含氧量取3.5%） </w:t>
            </w:r>
          </w:p>
          <w:p>
            <w:pPr>
              <w:pStyle w:val="56"/>
              <w:adjustRightInd/>
              <w:snapToGrid/>
              <w:spacing w:line="360" w:lineRule="auto"/>
              <w:ind w:firstLine="48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φ'(O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 ——实测的氧含量，%。</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厂界颗粒物、非甲烷总烃、甲醛、酚类、苯系物（苯乙烯、苯、甲苯、乙苯）</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二甲苯</w:t>
            </w:r>
            <w:r>
              <w:rPr>
                <w:rFonts w:hint="default" w:ascii="Times New Roman" w:hAnsi="Times New Roman" w:eastAsia="宋体" w:cs="Times New Roman"/>
                <w:sz w:val="24"/>
              </w:rPr>
              <w:t>执行《大气污染物综合排放标准》（DB32/4041-2021）表3标准；臭气浓度</w:t>
            </w:r>
            <w:r>
              <w:rPr>
                <w:rFonts w:hint="eastAsia" w:cs="Times New Roman"/>
                <w:sz w:val="24"/>
                <w:lang w:eastAsia="zh-CN"/>
              </w:rPr>
              <w:t>、</w:t>
            </w:r>
            <w:r>
              <w:rPr>
                <w:rFonts w:hint="eastAsia" w:cs="Times New Roman"/>
                <w:sz w:val="24"/>
                <w:lang w:val="en-US" w:eastAsia="zh-CN"/>
              </w:rPr>
              <w:t>苯乙烯</w:t>
            </w:r>
            <w:r>
              <w:rPr>
                <w:rFonts w:hint="default" w:ascii="Times New Roman" w:hAnsi="Times New Roman" w:eastAsia="宋体" w:cs="Times New Roman"/>
                <w:sz w:val="24"/>
              </w:rPr>
              <w:t>执行《恶臭污染物排放标准》（GB14554-93）表1标准，三乙胺无组织暂无执行标准。</w:t>
            </w:r>
          </w:p>
          <w:p>
            <w:pPr>
              <w:adjustRightInd w:val="0"/>
              <w:snapToGrid w:val="0"/>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表3-</w:t>
            </w:r>
            <w:r>
              <w:rPr>
                <w:rFonts w:hint="default" w:ascii="Times New Roman" w:hAnsi="Times New Roman" w:eastAsia="宋体" w:cs="Times New Roman"/>
                <w:b/>
                <w:bCs/>
                <w:color w:val="000000"/>
                <w:sz w:val="24"/>
                <w:lang w:val="en-US" w:eastAsia="zh-CN"/>
              </w:rPr>
              <w:t>5</w:t>
            </w:r>
            <w:r>
              <w:rPr>
                <w:rFonts w:hint="default" w:ascii="Times New Roman" w:hAnsi="Times New Roman" w:eastAsia="宋体" w:cs="Times New Roman"/>
                <w:b/>
                <w:bCs/>
                <w:color w:val="000000"/>
                <w:sz w:val="24"/>
              </w:rPr>
              <w:t xml:space="preserve">  厂界无组织废气排放标准限值表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5"/>
              <w:gridCol w:w="1291"/>
              <w:gridCol w:w="1602"/>
              <w:gridCol w:w="1770"/>
              <w:gridCol w:w="23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814"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126" w:type="pct"/>
                  <w:gridSpan w:val="2"/>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c>
                <w:tcPr>
                  <w:tcW w:w="1501"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p>
              </w:tc>
              <w:tc>
                <w:tcPr>
                  <w:tcW w:w="814"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p>
              </w:tc>
              <w:tc>
                <w:tcPr>
                  <w:tcW w:w="1010"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浓度限制(mg/m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1010"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边界外最高浓度点</w:t>
                  </w: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5</w:t>
                  </w:r>
                </w:p>
              </w:tc>
              <w:tc>
                <w:tcPr>
                  <w:tcW w:w="1501"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rPr>
                    <w:t>《大气污染物综合排放标准》（DB32/4041-2021）表3</w:t>
                  </w:r>
                  <w:r>
                    <w:rPr>
                      <w:rFonts w:hint="default" w:ascii="Times New Roman" w:hAnsi="Times New Roman" w:eastAsia="宋体" w:cs="Times New Roman"/>
                      <w:color w:val="auto"/>
                      <w:kern w:val="2"/>
                      <w:sz w:val="21"/>
                      <w:szCs w:val="21"/>
                      <w:highlight w:val="none"/>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甲醛</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酚类</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苯系物（苯乙烯、苯、甲苯、乙苯）</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20（无量纲）</w:t>
                  </w:r>
                </w:p>
              </w:tc>
              <w:tc>
                <w:tcPr>
                  <w:tcW w:w="1501" w:type="pct"/>
                  <w:vMerge w:val="restar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《恶臭污染物排放标准》（GB14554-93）表1</w:t>
                  </w:r>
                  <w:r>
                    <w:rPr>
                      <w:rFonts w:hint="default" w:ascii="Times New Roman" w:hAnsi="Times New Roman" w:eastAsia="宋体" w:cs="Times New Roman"/>
                      <w:color w:val="auto"/>
                      <w:sz w:val="21"/>
                      <w:szCs w:val="21"/>
                      <w:highlight w:val="none"/>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814" w:type="pct"/>
                  <w:tcBorders>
                    <w:tl2br w:val="nil"/>
                    <w:tr2bl w:val="nil"/>
                  </w:tcBorders>
                  <w:noWrap w:val="0"/>
                  <w:vAlign w:val="center"/>
                </w:tcPr>
                <w:p>
                  <w:pPr>
                    <w:pStyle w:val="6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苯乙烯</w:t>
                  </w:r>
                </w:p>
              </w:tc>
              <w:tc>
                <w:tcPr>
                  <w:tcW w:w="1010"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c>
                <w:tcPr>
                  <w:tcW w:w="1116" w:type="pct"/>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501" w:type="pct"/>
                  <w:vMerge w:val="continue"/>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color w:val="auto"/>
                      <w:sz w:val="21"/>
                      <w:szCs w:val="21"/>
                      <w:highlight w:val="none"/>
                    </w:rPr>
                  </w:pPr>
                </w:p>
              </w:tc>
            </w:tr>
          </w:tbl>
          <w:p>
            <w:pPr>
              <w:tabs>
                <w:tab w:val="left" w:pos="5142"/>
              </w:tabs>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厂区内无组织非甲烷总烃执行《大气污染物综合排放标准》（DB32/4041-2021）表2标准。</w:t>
            </w:r>
          </w:p>
          <w:p>
            <w:pPr>
              <w:widowControl/>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b/>
                <w:sz w:val="24"/>
              </w:rPr>
              <w:t>表3-</w:t>
            </w:r>
            <w:r>
              <w:rPr>
                <w:rFonts w:hint="default"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厂区内无组织</w:t>
            </w:r>
            <w:r>
              <w:rPr>
                <w:rFonts w:hint="default" w:ascii="Times New Roman" w:hAnsi="Times New Roman" w:eastAsia="宋体" w:cs="Times New Roman"/>
                <w:b/>
                <w:sz w:val="24"/>
                <w:lang w:val="en-US" w:eastAsia="zh-CN"/>
              </w:rPr>
              <w:t>废气</w:t>
            </w:r>
            <w:r>
              <w:rPr>
                <w:rFonts w:hint="default" w:ascii="Times New Roman" w:hAnsi="Times New Roman" w:eastAsia="宋体" w:cs="Times New Roman"/>
                <w:b/>
                <w:sz w:val="24"/>
              </w:rPr>
              <w:t>排放限值</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6"/>
              <w:gridCol w:w="1291"/>
              <w:gridCol w:w="1124"/>
              <w:gridCol w:w="1342"/>
              <w:gridCol w:w="904"/>
              <w:gridCol w:w="2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tcBorders>
                    <w:tl2br w:val="nil"/>
                    <w:tr2bl w:val="nil"/>
                  </w:tcBorders>
                  <w:vAlign w:val="center"/>
                </w:tcPr>
                <w:p>
                  <w:pPr>
                    <w:pStyle w:val="66"/>
                    <w:widowControl w:val="0"/>
                    <w:textAlignment w:val="auto"/>
                    <w:rPr>
                      <w:rFonts w:hint="default" w:ascii="Times New Roman" w:hAnsi="Times New Roman" w:eastAsia="宋体" w:cs="Times New Roman"/>
                    </w:rPr>
                  </w:pPr>
                  <w:r>
                    <w:rPr>
                      <w:rFonts w:hint="default" w:ascii="Times New Roman" w:hAnsi="Times New Roman" w:eastAsia="宋体" w:cs="Times New Roman"/>
                      <w:b/>
                    </w:rPr>
                    <w:t>类别</w:t>
                  </w:r>
                </w:p>
              </w:tc>
              <w:tc>
                <w:tcPr>
                  <w:tcW w:w="814" w:type="pct"/>
                  <w:tcBorders>
                    <w:tl2br w:val="nil"/>
                    <w:tr2bl w:val="nil"/>
                  </w:tcBorders>
                  <w:vAlign w:val="center"/>
                </w:tcPr>
                <w:p>
                  <w:pPr>
                    <w:pStyle w:val="66"/>
                    <w:widowControl w:val="0"/>
                    <w:textAlignment w:val="auto"/>
                    <w:rPr>
                      <w:rFonts w:hint="default" w:ascii="Times New Roman" w:hAnsi="Times New Roman" w:eastAsia="宋体" w:cs="Times New Roman"/>
                    </w:rPr>
                  </w:pPr>
                  <w:r>
                    <w:rPr>
                      <w:rFonts w:hint="default" w:ascii="Times New Roman" w:hAnsi="Times New Roman" w:eastAsia="宋体" w:cs="Times New Roman"/>
                      <w:b/>
                    </w:rPr>
                    <w:t>污染物名称</w:t>
                  </w:r>
                </w:p>
              </w:tc>
              <w:tc>
                <w:tcPr>
                  <w:tcW w:w="708" w:type="pct"/>
                  <w:tcBorders>
                    <w:tl2br w:val="nil"/>
                    <w:tr2bl w:val="nil"/>
                  </w:tcBorders>
                  <w:vAlign w:val="center"/>
                </w:tcPr>
                <w:p>
                  <w:pPr>
                    <w:pStyle w:val="66"/>
                    <w:widowControl w:val="0"/>
                    <w:textAlignment w:val="auto"/>
                    <w:rPr>
                      <w:rFonts w:hint="default" w:ascii="Times New Roman" w:hAnsi="Times New Roman" w:eastAsia="宋体" w:cs="Times New Roman"/>
                      <w:b/>
                      <w:bCs/>
                    </w:rPr>
                  </w:pPr>
                  <w:r>
                    <w:rPr>
                      <w:rFonts w:hint="default" w:ascii="Times New Roman" w:hAnsi="Times New Roman" w:eastAsia="宋体" w:cs="Times New Roman"/>
                      <w:b/>
                      <w:bCs/>
                    </w:rPr>
                    <w:t>监测点限制mg/m</w:t>
                  </w:r>
                  <w:r>
                    <w:rPr>
                      <w:rFonts w:hint="default" w:ascii="Times New Roman" w:hAnsi="Times New Roman" w:eastAsia="宋体" w:cs="Times New Roman"/>
                      <w:b/>
                      <w:bCs/>
                      <w:vertAlign w:val="superscript"/>
                    </w:rPr>
                    <w:t>3</w:t>
                  </w:r>
                </w:p>
              </w:tc>
              <w:tc>
                <w:tcPr>
                  <w:tcW w:w="846" w:type="pct"/>
                  <w:tcBorders>
                    <w:tl2br w:val="nil"/>
                    <w:tr2bl w:val="nil"/>
                  </w:tcBorders>
                  <w:vAlign w:val="center"/>
                </w:tcPr>
                <w:p>
                  <w:pPr>
                    <w:pStyle w:val="66"/>
                    <w:widowControl w:val="0"/>
                    <w:textAlignment w:val="auto"/>
                    <w:rPr>
                      <w:rFonts w:hint="default" w:ascii="Times New Roman" w:hAnsi="Times New Roman" w:eastAsia="宋体" w:cs="Times New Roman"/>
                      <w:b/>
                      <w:bCs/>
                    </w:rPr>
                  </w:pPr>
                  <w:r>
                    <w:rPr>
                      <w:rFonts w:hint="default" w:ascii="Times New Roman" w:hAnsi="Times New Roman" w:eastAsia="宋体" w:cs="Times New Roman"/>
                      <w:b/>
                      <w:bCs/>
                    </w:rPr>
                    <w:t>限值含义</w:t>
                  </w:r>
                </w:p>
              </w:tc>
              <w:tc>
                <w:tcPr>
                  <w:tcW w:w="570" w:type="pct"/>
                  <w:tcBorders>
                    <w:tl2br w:val="nil"/>
                    <w:tr2bl w:val="nil"/>
                  </w:tcBorders>
                  <w:vAlign w:val="center"/>
                </w:tcPr>
                <w:p>
                  <w:pPr>
                    <w:pStyle w:val="66"/>
                    <w:widowControl w:val="0"/>
                    <w:textAlignment w:val="auto"/>
                    <w:rPr>
                      <w:rFonts w:hint="default" w:ascii="Times New Roman" w:hAnsi="Times New Roman" w:eastAsia="宋体" w:cs="Times New Roman"/>
                      <w:b/>
                      <w:bCs/>
                    </w:rPr>
                  </w:pPr>
                  <w:r>
                    <w:rPr>
                      <w:rFonts w:hint="default" w:ascii="Times New Roman" w:hAnsi="Times New Roman" w:eastAsia="宋体" w:cs="Times New Roman"/>
                      <w:b/>
                      <w:bCs/>
                    </w:rPr>
                    <w:t>无组织排放监控位置</w:t>
                  </w:r>
                </w:p>
              </w:tc>
              <w:tc>
                <w:tcPr>
                  <w:tcW w:w="1502" w:type="pct"/>
                  <w:tcBorders>
                    <w:tl2br w:val="nil"/>
                    <w:tr2bl w:val="nil"/>
                  </w:tcBorders>
                  <w:vAlign w:val="center"/>
                </w:tcPr>
                <w:p>
                  <w:pPr>
                    <w:pStyle w:val="66"/>
                    <w:widowControl w:val="0"/>
                    <w:textAlignment w:val="auto"/>
                    <w:rPr>
                      <w:rFonts w:hint="default" w:ascii="Times New Roman" w:hAnsi="Times New Roman" w:eastAsia="宋体" w:cs="Times New Roman"/>
                    </w:rPr>
                  </w:pPr>
                  <w:r>
                    <w:rPr>
                      <w:rFonts w:hint="default" w:ascii="Times New Roman" w:hAnsi="Times New Roman" w:eastAsia="宋体" w:cs="Times New Roman"/>
                      <w:b/>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restart"/>
                  <w:tcBorders>
                    <w:tl2br w:val="nil"/>
                    <w:tr2bl w:val="nil"/>
                  </w:tcBorders>
                  <w:vAlign w:val="center"/>
                </w:tcPr>
                <w:p>
                  <w:pPr>
                    <w:pStyle w:val="66"/>
                    <w:widowControl w:val="0"/>
                    <w:textAlignment w:val="auto"/>
                    <w:rPr>
                      <w:rFonts w:hint="default" w:ascii="Times New Roman" w:hAnsi="Times New Roman" w:eastAsia="宋体" w:cs="Times New Roman"/>
                    </w:rPr>
                  </w:pPr>
                  <w:r>
                    <w:rPr>
                      <w:rFonts w:hint="default" w:ascii="Times New Roman" w:hAnsi="Times New Roman" w:eastAsia="宋体" w:cs="Times New Roman"/>
                    </w:rPr>
                    <w:t>厂区内</w:t>
                  </w:r>
                </w:p>
              </w:tc>
              <w:tc>
                <w:tcPr>
                  <w:tcW w:w="814" w:type="pct"/>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非甲烷总烃</w:t>
                  </w:r>
                </w:p>
              </w:tc>
              <w:tc>
                <w:tcPr>
                  <w:tcW w:w="708" w:type="pct"/>
                  <w:tcBorders>
                    <w:tl2br w:val="nil"/>
                    <w:tr2bl w:val="nil"/>
                  </w:tcBorders>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46" w:type="pc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监控点处1h平均浓度值</w:t>
                  </w:r>
                </w:p>
              </w:tc>
              <w:tc>
                <w:tcPr>
                  <w:tcW w:w="570" w:type="pct"/>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在厂房外设置监控点</w:t>
                  </w:r>
                </w:p>
              </w:tc>
              <w:tc>
                <w:tcPr>
                  <w:tcW w:w="1502" w:type="pct"/>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《大气污染物综合排放标准》（DB32/4041-2021）表2标准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vMerge w:val="continue"/>
                  <w:tcBorders>
                    <w:tl2br w:val="nil"/>
                    <w:tr2bl w:val="nil"/>
                  </w:tcBorders>
                  <w:vAlign w:val="center"/>
                </w:tcPr>
                <w:p>
                  <w:pPr>
                    <w:pStyle w:val="66"/>
                    <w:widowControl w:val="0"/>
                    <w:textAlignment w:val="auto"/>
                    <w:rPr>
                      <w:rFonts w:hint="default" w:ascii="Times New Roman" w:hAnsi="Times New Roman" w:eastAsia="宋体" w:cs="Times New Roman"/>
                      <w:lang w:eastAsia="zh-CN"/>
                    </w:rPr>
                  </w:pPr>
                </w:p>
              </w:tc>
              <w:tc>
                <w:tcPr>
                  <w:tcW w:w="814" w:type="pct"/>
                  <w:vMerge w:val="continue"/>
                  <w:tcBorders>
                    <w:tl2br w:val="nil"/>
                    <w:tr2bl w:val="nil"/>
                  </w:tcBorders>
                  <w:vAlign w:val="center"/>
                </w:tcPr>
                <w:p>
                  <w:pPr>
                    <w:jc w:val="center"/>
                    <w:rPr>
                      <w:rFonts w:hint="default" w:ascii="Times New Roman" w:hAnsi="Times New Roman" w:eastAsia="宋体" w:cs="Times New Roman"/>
                      <w:szCs w:val="21"/>
                    </w:rPr>
                  </w:pPr>
                </w:p>
              </w:tc>
              <w:tc>
                <w:tcPr>
                  <w:tcW w:w="708" w:type="pct"/>
                  <w:tcBorders>
                    <w:tl2br w:val="nil"/>
                    <w:tr2bl w:val="nil"/>
                  </w:tcBorders>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846" w:type="pc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监控点处任意一次浓度值</w:t>
                  </w:r>
                </w:p>
              </w:tc>
              <w:tc>
                <w:tcPr>
                  <w:tcW w:w="570" w:type="pct"/>
                  <w:vMerge w:val="continue"/>
                  <w:tcBorders>
                    <w:tl2br w:val="nil"/>
                    <w:tr2bl w:val="nil"/>
                  </w:tcBorders>
                  <w:vAlign w:val="center"/>
                </w:tcPr>
                <w:p>
                  <w:pPr>
                    <w:jc w:val="center"/>
                    <w:rPr>
                      <w:rFonts w:hint="default" w:ascii="Times New Roman" w:hAnsi="Times New Roman" w:eastAsia="宋体" w:cs="Times New Roman"/>
                      <w:szCs w:val="21"/>
                    </w:rPr>
                  </w:pPr>
                </w:p>
              </w:tc>
              <w:tc>
                <w:tcPr>
                  <w:tcW w:w="1502" w:type="pct"/>
                  <w:vMerge w:val="continue"/>
                  <w:tcBorders>
                    <w:tl2br w:val="nil"/>
                    <w:tr2bl w:val="nil"/>
                  </w:tcBorders>
                  <w:vAlign w:val="center"/>
                </w:tcPr>
                <w:p>
                  <w:pPr>
                    <w:jc w:val="center"/>
                    <w:rPr>
                      <w:rFonts w:hint="default" w:ascii="Times New Roman" w:hAnsi="Times New Roman" w:eastAsia="宋体" w:cs="Times New Roman"/>
                      <w:szCs w:val="21"/>
                    </w:rPr>
                  </w:pPr>
                </w:p>
              </w:tc>
            </w:tr>
          </w:tbl>
          <w:p>
            <w:pPr>
              <w:tabs>
                <w:tab w:val="left" w:pos="5142"/>
              </w:tabs>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本项目食堂油烟排放参照执行《饮食业油烟排放标准（试行）》（GB18483-2001）“中型规模”，具体见表3-7。</w:t>
            </w:r>
          </w:p>
          <w:p>
            <w:pPr>
              <w:widowControl/>
              <w:adjustRightInd w:val="0"/>
              <w:snapToGrid w:val="0"/>
              <w:jc w:val="center"/>
              <w:rPr>
                <w:rFonts w:hint="default" w:ascii="Times New Roman" w:hAnsi="Times New Roman" w:eastAsia="宋体" w:cs="Times New Roman"/>
                <w:b/>
                <w:sz w:val="24"/>
                <w:lang w:val="en-US" w:eastAsia="zh-CN"/>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3-7</w:t>
            </w:r>
            <w:r>
              <w:rPr>
                <w:rFonts w:hint="default" w:ascii="Times New Roman" w:hAnsi="Times New Roman" w:eastAsia="宋体" w:cs="Times New Roman"/>
                <w:b/>
                <w:sz w:val="24"/>
              </w:rPr>
              <w:t xml:space="preserve">  饮食业油烟排放标准</w:t>
            </w:r>
          </w:p>
          <w:tbl>
            <w:tblPr>
              <w:tblStyle w:val="26"/>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697"/>
              <w:gridCol w:w="1263"/>
              <w:gridCol w:w="726"/>
              <w:gridCol w:w="1910"/>
              <w:gridCol w:w="1762"/>
              <w:gridCol w:w="1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12" w:hRule="atLeast"/>
                <w:tblHeader/>
                <w:jc w:val="center"/>
              </w:trPr>
              <w:tc>
                <w:tcPr>
                  <w:tcW w:w="697"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项目名称</w:t>
                  </w:r>
                </w:p>
              </w:tc>
              <w:tc>
                <w:tcPr>
                  <w:tcW w:w="1263"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项目灶头数（个）</w:t>
                  </w:r>
                </w:p>
              </w:tc>
              <w:tc>
                <w:tcPr>
                  <w:tcW w:w="726"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规模</w:t>
                  </w:r>
                </w:p>
              </w:tc>
              <w:tc>
                <w:tcPr>
                  <w:tcW w:w="1910"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对应排气罩灶面总投影面积（m</w:t>
                  </w:r>
                  <w:r>
                    <w:rPr>
                      <w:rFonts w:hint="default" w:ascii="Times New Roman" w:hAnsi="Times New Roman" w:eastAsia="宋体" w:cs="Times New Roman"/>
                      <w:b/>
                      <w:bCs/>
                      <w:color w:val="auto"/>
                      <w:szCs w:val="21"/>
                      <w:vertAlign w:val="superscript"/>
                      <w:lang w:val="en-US" w:eastAsia="zh-CN"/>
                    </w:rPr>
                    <w:t>2</w:t>
                  </w:r>
                  <w:r>
                    <w:rPr>
                      <w:rFonts w:hint="default" w:ascii="Times New Roman" w:hAnsi="Times New Roman" w:eastAsia="宋体" w:cs="Times New Roman"/>
                      <w:b/>
                      <w:bCs/>
                      <w:color w:val="auto"/>
                      <w:szCs w:val="21"/>
                      <w:lang w:val="en-US" w:eastAsia="zh-CN"/>
                    </w:rPr>
                    <w:t>）</w:t>
                  </w:r>
                </w:p>
              </w:tc>
              <w:tc>
                <w:tcPr>
                  <w:tcW w:w="1762"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最高允许排放浓度（mg/m</w:t>
                  </w:r>
                  <w:r>
                    <w:rPr>
                      <w:rFonts w:hint="default" w:ascii="Times New Roman" w:hAnsi="Times New Roman" w:eastAsia="宋体" w:cs="Times New Roman"/>
                      <w:b/>
                      <w:bCs/>
                      <w:color w:val="auto"/>
                      <w:szCs w:val="21"/>
                      <w:vertAlign w:val="superscript"/>
                      <w:lang w:val="en-US" w:eastAsia="zh-CN"/>
                    </w:rPr>
                    <w:t>3</w:t>
                  </w:r>
                  <w:r>
                    <w:rPr>
                      <w:rFonts w:hint="default" w:ascii="Times New Roman" w:hAnsi="Times New Roman" w:eastAsia="宋体" w:cs="Times New Roman"/>
                      <w:b/>
                      <w:bCs/>
                      <w:color w:val="auto"/>
                      <w:szCs w:val="21"/>
                      <w:lang w:val="en-US" w:eastAsia="zh-CN"/>
                    </w:rPr>
                    <w:t>）</w:t>
                  </w:r>
                </w:p>
              </w:tc>
              <w:tc>
                <w:tcPr>
                  <w:tcW w:w="1575"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净化设施最低去除效率（%）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340" w:hRule="atLeast"/>
                <w:tblHeader/>
                <w:jc w:val="center"/>
              </w:trPr>
              <w:tc>
                <w:tcPr>
                  <w:tcW w:w="697"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Cs/>
                      <w:iCs/>
                      <w:color w:val="auto"/>
                      <w:spacing w:val="-4"/>
                      <w:szCs w:val="21"/>
                      <w:lang w:eastAsia="zh-CN" w:bidi="en-US"/>
                    </w:rPr>
                  </w:pPr>
                  <w:r>
                    <w:rPr>
                      <w:rFonts w:hint="default" w:ascii="Times New Roman" w:hAnsi="Times New Roman" w:eastAsia="宋体" w:cs="Times New Roman"/>
                      <w:color w:val="auto"/>
                      <w:szCs w:val="21"/>
                      <w:lang w:val="en-US" w:eastAsia="zh-CN"/>
                    </w:rPr>
                    <w:t>食堂</w:t>
                  </w:r>
                </w:p>
              </w:tc>
              <w:tc>
                <w:tcPr>
                  <w:tcW w:w="1263"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Cs/>
                      <w:iCs/>
                      <w:color w:val="auto"/>
                      <w:spacing w:val="-4"/>
                      <w:szCs w:val="21"/>
                      <w:lang w:val="en-US" w:eastAsia="zh-CN" w:bidi="en-US"/>
                    </w:rPr>
                  </w:pPr>
                  <w:r>
                    <w:rPr>
                      <w:rFonts w:hint="default" w:ascii="Times New Roman" w:hAnsi="Times New Roman" w:eastAsia="宋体" w:cs="Times New Roman"/>
                      <w:bCs/>
                      <w:iCs/>
                      <w:color w:val="auto"/>
                      <w:spacing w:val="-4"/>
                      <w:szCs w:val="21"/>
                      <w:lang w:val="en-US" w:eastAsia="zh-CN" w:bidi="en-US"/>
                    </w:rPr>
                    <w:t>≥3，＜6</w:t>
                  </w:r>
                </w:p>
              </w:tc>
              <w:tc>
                <w:tcPr>
                  <w:tcW w:w="726"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Cs/>
                      <w:iCs/>
                      <w:color w:val="auto"/>
                      <w:spacing w:val="-4"/>
                      <w:szCs w:val="21"/>
                      <w:lang w:eastAsia="zh-CN" w:bidi="en-US"/>
                    </w:rPr>
                  </w:pPr>
                  <w:r>
                    <w:rPr>
                      <w:rFonts w:hint="default" w:ascii="Times New Roman" w:hAnsi="Times New Roman" w:eastAsia="宋体" w:cs="Times New Roman"/>
                      <w:color w:val="auto"/>
                      <w:szCs w:val="21"/>
                      <w:lang w:val="en-US" w:eastAsia="zh-CN"/>
                    </w:rPr>
                    <w:t>中型</w:t>
                  </w:r>
                </w:p>
              </w:tc>
              <w:tc>
                <w:tcPr>
                  <w:tcW w:w="1910"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Cs/>
                      <w:iCs/>
                      <w:color w:val="auto"/>
                      <w:spacing w:val="-4"/>
                      <w:szCs w:val="21"/>
                      <w:lang w:val="en-US" w:eastAsia="zh-CN" w:bidi="en-US"/>
                    </w:rPr>
                  </w:pPr>
                  <w:r>
                    <w:rPr>
                      <w:rFonts w:hint="default" w:ascii="Times New Roman" w:hAnsi="Times New Roman" w:eastAsia="宋体" w:cs="Times New Roman"/>
                      <w:bCs/>
                      <w:iCs/>
                      <w:color w:val="auto"/>
                      <w:spacing w:val="-4"/>
                      <w:szCs w:val="21"/>
                      <w:lang w:val="en-US" w:eastAsia="zh-CN" w:bidi="en-US"/>
                    </w:rPr>
                    <w:t>≥3.3，＜6.6</w:t>
                  </w:r>
                </w:p>
              </w:tc>
              <w:tc>
                <w:tcPr>
                  <w:tcW w:w="1762"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Cs/>
                      <w:iCs/>
                      <w:color w:val="auto"/>
                      <w:spacing w:val="-4"/>
                      <w:szCs w:val="21"/>
                      <w:lang w:val="en-US" w:eastAsia="zh-CN" w:bidi="en-US"/>
                    </w:rPr>
                  </w:pPr>
                  <w:r>
                    <w:rPr>
                      <w:rFonts w:hint="default" w:ascii="Times New Roman" w:hAnsi="Times New Roman" w:eastAsia="宋体" w:cs="Times New Roman"/>
                      <w:bCs/>
                      <w:iCs/>
                      <w:color w:val="auto"/>
                      <w:spacing w:val="-4"/>
                      <w:szCs w:val="21"/>
                      <w:lang w:val="en-US" w:eastAsia="zh-CN" w:bidi="en-US"/>
                    </w:rPr>
                    <w:t>2.0</w:t>
                  </w:r>
                </w:p>
              </w:tc>
              <w:tc>
                <w:tcPr>
                  <w:tcW w:w="1575" w:type="dxa"/>
                  <w:tcBorders>
                    <w:tl2br w:val="nil"/>
                    <w:tr2bl w:val="nil"/>
                  </w:tcBorders>
                  <w:noWrap w:val="0"/>
                  <w:vAlign w:val="center"/>
                </w:tcPr>
                <w:p>
                  <w:pPr>
                    <w:pStyle w:val="55"/>
                    <w:keepNext w:val="0"/>
                    <w:keepLines w:val="0"/>
                    <w:pageBreakBefore w:val="0"/>
                    <w:widowControl w:val="0"/>
                    <w:suppressLineNumbers w:val="0"/>
                    <w:tabs>
                      <w:tab w:val="left" w:pos="315"/>
                      <w:tab w:val="left" w:pos="360"/>
                    </w:tabs>
                    <w:kinsoku/>
                    <w:wordWrap/>
                    <w:overflowPunct/>
                    <w:topLinePunct w:val="0"/>
                    <w:autoSpaceDE/>
                    <w:autoSpaceDN/>
                    <w:bidi w:val="0"/>
                    <w:adjustRightInd w:val="0"/>
                    <w:snapToGrid w:val="0"/>
                    <w:spacing w:before="24" w:beforeAutospacing="0" w:after="24" w:afterAutospacing="0" w:line="240" w:lineRule="auto"/>
                    <w:ind w:left="0" w:right="0" w:firstLine="0" w:firstLineChars="0"/>
                    <w:textAlignment w:val="auto"/>
                    <w:rPr>
                      <w:rFonts w:hint="default" w:ascii="Times New Roman" w:hAnsi="Times New Roman" w:eastAsia="宋体" w:cs="Times New Roman"/>
                      <w:bCs/>
                      <w:iCs/>
                      <w:color w:val="auto"/>
                      <w:spacing w:val="-4"/>
                      <w:szCs w:val="21"/>
                      <w:lang w:val="en-US" w:eastAsia="zh-CN" w:bidi="en-US"/>
                    </w:rPr>
                  </w:pPr>
                  <w:r>
                    <w:rPr>
                      <w:rFonts w:hint="default" w:ascii="Times New Roman" w:hAnsi="Times New Roman" w:eastAsia="宋体" w:cs="Times New Roman"/>
                      <w:bCs/>
                      <w:iCs/>
                      <w:color w:val="auto"/>
                      <w:spacing w:val="-4"/>
                      <w:szCs w:val="21"/>
                      <w:lang w:val="en-US" w:eastAsia="zh-CN" w:bidi="en-US"/>
                    </w:rPr>
                    <w:t>75</w:t>
                  </w:r>
                </w:p>
              </w:tc>
            </w:tr>
          </w:tbl>
          <w:p>
            <w:pPr>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本项目施工场所扬尘执行《施工场地扬尘排放标准》（DB32/4437-2022），具体见表3-8。</w:t>
            </w:r>
          </w:p>
          <w:p>
            <w:pPr>
              <w:widowControl/>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b/>
                <w:sz w:val="24"/>
              </w:rPr>
              <w:t>表3-8  施工场地扬尘排放标准</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3"/>
              <w:gridCol w:w="4599"/>
              <w:gridCol w:w="2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2" w:type="pct"/>
                  <w:tcBorders>
                    <w:tl2br w:val="nil"/>
                    <w:tr2bl w:val="nil"/>
                  </w:tcBorders>
                  <w:vAlign w:val="center"/>
                </w:tcPr>
                <w:p>
                  <w:pPr>
                    <w:pStyle w:val="66"/>
                    <w:widowControl w:val="0"/>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污染物</w:t>
                  </w:r>
                </w:p>
              </w:tc>
              <w:tc>
                <w:tcPr>
                  <w:tcW w:w="2900" w:type="pct"/>
                  <w:tcBorders>
                    <w:tl2br w:val="nil"/>
                    <w:tr2bl w:val="nil"/>
                  </w:tcBorders>
                  <w:vAlign w:val="center"/>
                </w:tcPr>
                <w:p>
                  <w:pPr>
                    <w:pStyle w:val="66"/>
                    <w:widowControl w:val="0"/>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执行标准</w:t>
                  </w:r>
                </w:p>
              </w:tc>
              <w:tc>
                <w:tcPr>
                  <w:tcW w:w="1396" w:type="pct"/>
                  <w:tcBorders>
                    <w:tl2br w:val="nil"/>
                    <w:tr2bl w:val="nil"/>
                  </w:tcBorders>
                  <w:vAlign w:val="center"/>
                </w:tcPr>
                <w:p>
                  <w:pPr>
                    <w:pStyle w:val="66"/>
                    <w:widowControl w:val="0"/>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2" w:type="pct"/>
                  <w:tcBorders>
                    <w:tl2br w:val="nil"/>
                    <w:tr2bl w:val="nil"/>
                  </w:tcBorders>
                  <w:vAlign w:val="center"/>
                </w:tcPr>
                <w:p>
                  <w:pPr>
                    <w:pStyle w:val="66"/>
                    <w:widowControl w:val="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TSP</w:t>
                  </w:r>
                </w:p>
              </w:tc>
              <w:tc>
                <w:tcPr>
                  <w:tcW w:w="2900" w:type="pct"/>
                  <w:vMerge w:val="restar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《施工场地扬尘排放标准》（DB32/4437-2022）</w:t>
                  </w:r>
                </w:p>
              </w:tc>
              <w:tc>
                <w:tcPr>
                  <w:tcW w:w="1396" w:type="pc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500μg/m</w:t>
                  </w:r>
                  <w:r>
                    <w:rPr>
                      <w:rFonts w:hint="default" w:ascii="Times New Roman" w:hAnsi="Times New Roman" w:eastAsia="宋体" w:cs="Times New Roman"/>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2" w:type="pct"/>
                  <w:tcBorders>
                    <w:tl2br w:val="nil"/>
                    <w:tr2bl w:val="nil"/>
                  </w:tcBorders>
                  <w:vAlign w:val="center"/>
                </w:tcPr>
                <w:p>
                  <w:pPr>
                    <w:pStyle w:val="66"/>
                    <w:widowControl w:val="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PM</w:t>
                  </w:r>
                  <w:r>
                    <w:rPr>
                      <w:rFonts w:hint="default" w:ascii="Times New Roman" w:hAnsi="Times New Roman" w:eastAsia="宋体" w:cs="Times New Roman"/>
                      <w:vertAlign w:val="subscript"/>
                      <w:lang w:eastAsia="zh-CN"/>
                    </w:rPr>
                    <w:t>10</w:t>
                  </w:r>
                </w:p>
              </w:tc>
              <w:tc>
                <w:tcPr>
                  <w:tcW w:w="2900" w:type="pct"/>
                  <w:vMerge w:val="continue"/>
                  <w:tcBorders>
                    <w:tl2br w:val="nil"/>
                    <w:tr2bl w:val="nil"/>
                  </w:tcBorders>
                  <w:vAlign w:val="center"/>
                </w:tcPr>
                <w:p>
                  <w:pPr>
                    <w:jc w:val="center"/>
                    <w:rPr>
                      <w:rFonts w:hint="default" w:ascii="Times New Roman" w:hAnsi="Times New Roman" w:eastAsia="宋体" w:cs="Times New Roman"/>
                      <w:szCs w:val="21"/>
                    </w:rPr>
                  </w:pPr>
                </w:p>
              </w:tc>
              <w:tc>
                <w:tcPr>
                  <w:tcW w:w="1396" w:type="pct"/>
                  <w:tcBorders>
                    <w:tl2br w:val="nil"/>
                    <w:tr2bl w:val="nil"/>
                  </w:tcBorders>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80μg/m</w:t>
                  </w:r>
                  <w:r>
                    <w:rPr>
                      <w:rFonts w:hint="default" w:ascii="Times New Roman" w:hAnsi="Times New Roman" w:eastAsia="宋体" w:cs="Times New Roman"/>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3"/>
                  <w:tcBorders>
                    <w:tl2br w:val="nil"/>
                    <w:tr2bl w:val="nil"/>
                  </w:tcBorders>
                  <w:vAlign w:val="center"/>
                </w:tcPr>
                <w:p>
                  <w:pPr>
                    <w:jc w:val="left"/>
                    <w:rPr>
                      <w:rFonts w:hint="default" w:ascii="Times New Roman" w:hAnsi="Times New Roman" w:eastAsia="宋体" w:cs="Times New Roman"/>
                      <w:szCs w:val="21"/>
                    </w:rPr>
                  </w:pPr>
                  <w:r>
                    <w:rPr>
                      <w:rFonts w:hint="default" w:ascii="Times New Roman" w:hAnsi="Times New Roman" w:eastAsia="宋体" w:cs="Times New Roman"/>
                      <w:szCs w:val="21"/>
                    </w:rPr>
                    <w:t>注：①任一监控点（TSP自动监测）自整时起依次顺延15min的总悬浮颗粒物浓度的平均值不应超过的限值。根据HJ633判定设区市AQI在200~300之间且首要污染物为PM</w:t>
                  </w:r>
                  <w:r>
                    <w:rPr>
                      <w:rFonts w:hint="default" w:ascii="Times New Roman" w:hAnsi="Times New Roman" w:eastAsia="宋体" w:cs="Times New Roman"/>
                      <w:szCs w:val="21"/>
                      <w:vertAlign w:val="subscript"/>
                    </w:rPr>
                    <w:t>10</w:t>
                  </w:r>
                  <w:r>
                    <w:rPr>
                      <w:rFonts w:hint="default" w:ascii="Times New Roman" w:hAnsi="Times New Roman" w:eastAsia="宋体" w:cs="Times New Roman"/>
                      <w:szCs w:val="21"/>
                    </w:rPr>
                    <w:t>或PM</w:t>
                  </w:r>
                  <w:r>
                    <w:rPr>
                      <w:rFonts w:hint="default" w:ascii="Times New Roman" w:hAnsi="Times New Roman" w:eastAsia="宋体" w:cs="Times New Roman"/>
                      <w:szCs w:val="21"/>
                      <w:vertAlign w:val="subscript"/>
                    </w:rPr>
                    <w:t>2.5</w:t>
                  </w:r>
                  <w:r>
                    <w:rPr>
                      <w:rFonts w:hint="default" w:ascii="Times New Roman" w:hAnsi="Times New Roman" w:eastAsia="宋体" w:cs="Times New Roman"/>
                      <w:szCs w:val="21"/>
                    </w:rPr>
                    <w:t>时，TSP实测值扣除200μg/m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后，再进行评价。</w:t>
                  </w:r>
                </w:p>
                <w:p>
                  <w:pPr>
                    <w:jc w:val="left"/>
                    <w:rPr>
                      <w:rFonts w:hint="default" w:ascii="Times New Roman" w:hAnsi="Times New Roman" w:eastAsia="宋体" w:cs="Times New Roman"/>
                      <w:szCs w:val="21"/>
                    </w:rPr>
                  </w:pPr>
                  <w:r>
                    <w:rPr>
                      <w:rFonts w:hint="default" w:ascii="Times New Roman" w:hAnsi="Times New Roman" w:eastAsia="宋体" w:cs="Times New Roman"/>
                      <w:szCs w:val="21"/>
                    </w:rPr>
                    <w:t>②任一监控点（PM</w:t>
                  </w:r>
                  <w:r>
                    <w:rPr>
                      <w:rFonts w:hint="default" w:ascii="Times New Roman" w:hAnsi="Times New Roman" w:eastAsia="宋体" w:cs="Times New Roman"/>
                      <w:szCs w:val="21"/>
                      <w:vertAlign w:val="subscript"/>
                    </w:rPr>
                    <w:t>10</w:t>
                  </w:r>
                  <w:r>
                    <w:rPr>
                      <w:rFonts w:hint="default" w:ascii="Times New Roman" w:hAnsi="Times New Roman" w:eastAsia="宋体" w:cs="Times New Roman"/>
                      <w:szCs w:val="21"/>
                    </w:rPr>
                    <w:t>自动监测）自整时起依次顺延1h的PM</w:t>
                  </w:r>
                  <w:r>
                    <w:rPr>
                      <w:rFonts w:hint="default" w:ascii="Times New Roman" w:hAnsi="Times New Roman" w:eastAsia="宋体" w:cs="Times New Roman"/>
                      <w:szCs w:val="21"/>
                      <w:vertAlign w:val="subscript"/>
                    </w:rPr>
                    <w:t>10</w:t>
                  </w:r>
                  <w:r>
                    <w:rPr>
                      <w:rFonts w:hint="default" w:ascii="Times New Roman" w:hAnsi="Times New Roman" w:eastAsia="宋体" w:cs="Times New Roman"/>
                      <w:szCs w:val="21"/>
                    </w:rPr>
                    <w:t>浓度平均值与同时段所属设区市PM</w:t>
                  </w:r>
                  <w:r>
                    <w:rPr>
                      <w:rFonts w:hint="default" w:ascii="Times New Roman" w:hAnsi="Times New Roman" w:eastAsia="宋体" w:cs="Times New Roman"/>
                      <w:szCs w:val="21"/>
                      <w:vertAlign w:val="subscript"/>
                    </w:rPr>
                    <w:t>10</w:t>
                  </w:r>
                  <w:r>
                    <w:rPr>
                      <w:rFonts w:hint="default" w:ascii="Times New Roman" w:hAnsi="Times New Roman" w:eastAsia="宋体" w:cs="Times New Roman"/>
                      <w:szCs w:val="21"/>
                    </w:rPr>
                    <w:t>小时平均浓度的差值不应</w:t>
                  </w:r>
                  <w:r>
                    <w:rPr>
                      <w:rFonts w:hint="eastAsia" w:cs="Times New Roman"/>
                      <w:szCs w:val="21"/>
                      <w:lang w:eastAsia="zh-CN"/>
                    </w:rPr>
                    <w:t>超过</w:t>
                  </w:r>
                  <w:r>
                    <w:rPr>
                      <w:rFonts w:hint="default" w:ascii="Times New Roman" w:hAnsi="Times New Roman" w:eastAsia="宋体" w:cs="Times New Roman"/>
                      <w:szCs w:val="21"/>
                    </w:rPr>
                    <w:t>限值。</w:t>
                  </w:r>
                </w:p>
              </w:tc>
            </w:tr>
          </w:tbl>
          <w:p>
            <w:pPr>
              <w:spacing w:line="360" w:lineRule="auto"/>
              <w:ind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2、废水污染物排放标准</w:t>
            </w:r>
          </w:p>
          <w:p>
            <w:pPr>
              <w:tabs>
                <w:tab w:val="left" w:pos="5142"/>
              </w:tabs>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本项目营运期实行“雨污分流”制，雨水经收集后排入雨水管网，最终汇入搬北河；本项目无生产废水，生活污水经化粪池</w:t>
            </w:r>
            <w:r>
              <w:rPr>
                <w:rFonts w:hint="default" w:ascii="Times New Roman" w:hAnsi="Times New Roman" w:cs="Times New Roman"/>
                <w:color w:val="auto"/>
                <w:lang w:eastAsia="zh-CN"/>
              </w:rPr>
              <w:t>（</w:t>
            </w:r>
            <w:r>
              <w:rPr>
                <w:rFonts w:hint="default" w:ascii="Times New Roman" w:hAnsi="Times New Roman" w:cs="Times New Roman"/>
                <w:color w:val="auto"/>
                <w:sz w:val="24"/>
                <w:szCs w:val="24"/>
                <w:lang w:val="en-US" w:eastAsia="zh-CN"/>
              </w:rPr>
              <w:t>食堂废水先经隔油池</w:t>
            </w:r>
            <w:r>
              <w:rPr>
                <w:rFonts w:hint="default" w:ascii="Times New Roman" w:hAnsi="Times New Roman" w:cs="Times New Roman"/>
                <w:color w:val="auto"/>
                <w:lang w:eastAsia="zh-CN"/>
              </w:rPr>
              <w:t>）</w:t>
            </w:r>
            <w:r>
              <w:rPr>
                <w:rFonts w:hint="default" w:ascii="Times New Roman" w:hAnsi="Times New Roman" w:eastAsia="宋体" w:cs="Times New Roman"/>
                <w:color w:val="000000"/>
                <w:sz w:val="24"/>
              </w:rPr>
              <w:t>处理后接管至如皋市搬经镇污水处理厂深度处理，尾水排入焦港河。COD、SS</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动植物油</w:t>
            </w:r>
            <w:r>
              <w:rPr>
                <w:rFonts w:hint="default" w:ascii="Times New Roman" w:hAnsi="Times New Roman" w:eastAsia="宋体" w:cs="Times New Roman"/>
                <w:color w:val="000000"/>
                <w:sz w:val="24"/>
              </w:rPr>
              <w:t>执行《污水综合排放标准》（GB8978-1996）表4中三级标准，NH</w:t>
            </w:r>
            <w:r>
              <w:rPr>
                <w:rFonts w:hint="default" w:ascii="Times New Roman" w:hAnsi="Times New Roman" w:eastAsia="宋体" w:cs="Times New Roman"/>
                <w:color w:val="000000"/>
                <w:sz w:val="24"/>
                <w:vertAlign w:val="subscript"/>
              </w:rPr>
              <w:t>3</w:t>
            </w:r>
            <w:r>
              <w:rPr>
                <w:rFonts w:hint="default" w:ascii="Times New Roman" w:hAnsi="Times New Roman" w:eastAsia="宋体" w:cs="Times New Roman"/>
                <w:color w:val="000000"/>
                <w:sz w:val="24"/>
              </w:rPr>
              <w:t>-N、TP，TN，执行《污水排入城镇下水道水质标准》（GB/T31962-2015）标准表1B标准，接入如皋市搬经镇污水处理厂经处理后达到《城镇污水处理厂污染物排放标准》（GB18918-2002）表1一级A标准排放到焦港河（自2026年3月28日起执行《城镇污水处理厂污染物排放标准》（DB32/4440-2022）中C标准）。</w:t>
            </w:r>
          </w:p>
          <w:p>
            <w:pPr>
              <w:tabs>
                <w:tab w:val="left" w:pos="5142"/>
              </w:tabs>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雨水接纳河搬北河水质执行《地表水环境质量标准》（GB3838-2002）中Ⅲ类标准。根据《江苏省重点行业工业企业雨水排放环境管理办法（试行）》，项目雨水排放要求参照受纳水体水功能目标管控要求，即地表水Ⅲ类标准要求。具体见表3-9。</w:t>
            </w:r>
          </w:p>
          <w:p>
            <w:pPr>
              <w:jc w:val="center"/>
              <w:rPr>
                <w:rFonts w:hint="default" w:ascii="Times New Roman" w:hAnsi="Times New Roman" w:eastAsia="宋体" w:cs="Times New Roman"/>
                <w:b/>
                <w:bCs/>
                <w:sz w:val="24"/>
              </w:rPr>
            </w:pPr>
            <w:r>
              <w:rPr>
                <w:rFonts w:hint="default" w:ascii="Times New Roman" w:hAnsi="Times New Roman" w:eastAsia="宋体" w:cs="Times New Roman"/>
                <w:b/>
                <w:sz w:val="24"/>
              </w:rPr>
              <w:t xml:space="preserve">表3-9 </w:t>
            </w:r>
            <w:r>
              <w:rPr>
                <w:rFonts w:hint="default" w:ascii="Times New Roman" w:hAnsi="Times New Roman" w:eastAsia="宋体" w:cs="Times New Roman"/>
                <w:b/>
                <w:bCs/>
                <w:sz w:val="24"/>
              </w:rPr>
              <w:t>污水排放标准限值表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250"/>
              <w:gridCol w:w="1633"/>
              <w:gridCol w:w="1584"/>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执行标准</w:t>
                  </w:r>
                </w:p>
              </w:tc>
              <w:tc>
                <w:tcPr>
                  <w:tcW w:w="788"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取值表号及级别</w:t>
                  </w: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污染物指标</w:t>
                  </w:r>
                </w:p>
              </w:tc>
              <w:tc>
                <w:tcPr>
                  <w:tcW w:w="998"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单位</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《污水综合排放标准》（GB8978-1996）</w:t>
                  </w:r>
                </w:p>
              </w:tc>
              <w:tc>
                <w:tcPr>
                  <w:tcW w:w="78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表4三级标准</w:t>
                  </w: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pH</w:t>
                  </w:r>
                </w:p>
              </w:tc>
              <w:tc>
                <w:tcPr>
                  <w:tcW w:w="998"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COD</w:t>
                  </w:r>
                </w:p>
              </w:tc>
              <w:tc>
                <w:tcPr>
                  <w:tcW w:w="99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mg/L</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SS</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lang w:val="en-US" w:eastAsia="zh-CN"/>
                    </w:rPr>
                  </w:pPr>
                  <w:r>
                    <w:rPr>
                      <w:rFonts w:hint="default" w:ascii="Times New Roman" w:hAnsi="Times New Roman" w:eastAsia="宋体" w:cs="Times New Roman"/>
                      <w:kern w:val="2"/>
                      <w:szCs w:val="21"/>
                      <w:lang w:val="en-US" w:eastAsia="zh-CN"/>
                    </w:rPr>
                    <w:t>动植物油</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lang w:val="en-US" w:eastAsia="zh-CN"/>
                    </w:rPr>
                  </w:pPr>
                  <w:r>
                    <w:rPr>
                      <w:rFonts w:hint="default" w:ascii="Times New Roman" w:hAnsi="Times New Roman" w:eastAsia="宋体" w:cs="Times New Roman"/>
                      <w:kern w:val="2"/>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《污水排入城镇下水道水质标准》（GB/T31962-2015）</w:t>
                  </w:r>
                </w:p>
              </w:tc>
              <w:tc>
                <w:tcPr>
                  <w:tcW w:w="78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表1B标准</w:t>
                  </w: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氨氮</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TP</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TN</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《城镇污水处理厂污染物排放标准》（GB18918-2002）</w:t>
                  </w:r>
                </w:p>
              </w:tc>
              <w:tc>
                <w:tcPr>
                  <w:tcW w:w="78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表1一级A标准</w:t>
                  </w: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pH</w:t>
                  </w:r>
                </w:p>
              </w:tc>
              <w:tc>
                <w:tcPr>
                  <w:tcW w:w="998"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COD</w:t>
                  </w:r>
                </w:p>
              </w:tc>
              <w:tc>
                <w:tcPr>
                  <w:tcW w:w="99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mg/L</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SS</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氨氮</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TP</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TN</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lang w:val="en-US" w:eastAsia="zh-CN"/>
                    </w:rPr>
                  </w:pPr>
                  <w:r>
                    <w:rPr>
                      <w:rFonts w:hint="default" w:ascii="Times New Roman" w:hAnsi="Times New Roman" w:eastAsia="宋体" w:cs="Times New Roman"/>
                      <w:kern w:val="2"/>
                      <w:szCs w:val="21"/>
                      <w:lang w:val="en-US" w:eastAsia="zh-CN"/>
                    </w:rPr>
                    <w:t>动植物油</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lang w:val="en-US" w:eastAsia="zh-CN"/>
                    </w:rPr>
                  </w:pPr>
                  <w:r>
                    <w:rPr>
                      <w:rFonts w:hint="default" w:ascii="Times New Roman" w:hAnsi="Times New Roman" w:eastAsia="宋体" w:cs="Times New Roman"/>
                      <w:kern w:val="2"/>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《城镇污水处理厂污染物排放标准》（DB32/4440-2022）</w:t>
                  </w:r>
                </w:p>
              </w:tc>
              <w:tc>
                <w:tcPr>
                  <w:tcW w:w="78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表1C标准</w:t>
                  </w: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pH</w:t>
                  </w:r>
                </w:p>
              </w:tc>
              <w:tc>
                <w:tcPr>
                  <w:tcW w:w="998"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COD</w:t>
                  </w:r>
                </w:p>
              </w:tc>
              <w:tc>
                <w:tcPr>
                  <w:tcW w:w="99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mg/L</w:t>
                  </w: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SS</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氨氮</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TP</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TN</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12(15)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8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10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lang w:val="en-US" w:eastAsia="zh-CN"/>
                    </w:rPr>
                  </w:pPr>
                  <w:r>
                    <w:rPr>
                      <w:rFonts w:hint="default" w:ascii="Times New Roman" w:hAnsi="Times New Roman" w:eastAsia="宋体" w:cs="Times New Roman"/>
                      <w:kern w:val="2"/>
                      <w:szCs w:val="21"/>
                      <w:lang w:val="en-US" w:eastAsia="zh-CN"/>
                    </w:rPr>
                    <w:t>动植物油</w:t>
                  </w:r>
                </w:p>
              </w:tc>
              <w:tc>
                <w:tcPr>
                  <w:tcW w:w="99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875"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lang w:val="en-US" w:eastAsia="zh-CN"/>
                    </w:rPr>
                  </w:pPr>
                  <w:r>
                    <w:rPr>
                      <w:rFonts w:hint="default" w:ascii="Times New Roman" w:hAnsi="Times New Roman" w:eastAsia="宋体" w:cs="Times New Roman"/>
                      <w:kern w:val="2"/>
                      <w:szCs w:val="21"/>
                      <w:lang w:val="en-US" w:eastAsia="zh-CN"/>
                    </w:rPr>
                    <w:t>1</w:t>
                  </w:r>
                </w:p>
              </w:tc>
            </w:tr>
          </w:tbl>
          <w:p>
            <w:pPr>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表3-10 雨水排放标准限值   单位：mg/L</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221"/>
              <w:gridCol w:w="1223"/>
              <w:gridCol w:w="1824"/>
              <w:gridCol w:w="2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序号</w:t>
                  </w:r>
                </w:p>
              </w:tc>
              <w:tc>
                <w:tcPr>
                  <w:tcW w:w="1541" w:type="pct"/>
                  <w:gridSpan w:val="2"/>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污染物项目</w:t>
                  </w:r>
                </w:p>
              </w:tc>
              <w:tc>
                <w:tcPr>
                  <w:tcW w:w="1150"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标准限值</w:t>
                  </w:r>
                </w:p>
              </w:tc>
              <w:tc>
                <w:tcPr>
                  <w:tcW w:w="1478"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b/>
                      <w:bCs/>
                      <w:kern w:val="2"/>
                      <w:szCs w:val="21"/>
                    </w:rPr>
                  </w:pPr>
                  <w:r>
                    <w:rPr>
                      <w:rFonts w:hint="default" w:ascii="Times New Roman" w:hAnsi="Times New Roman" w:eastAsia="宋体" w:cs="Times New Roman"/>
                      <w:b/>
                      <w:bCs/>
                      <w:kern w:val="2"/>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1</w:t>
                  </w:r>
                </w:p>
              </w:tc>
              <w:tc>
                <w:tcPr>
                  <w:tcW w:w="770"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雨水</w:t>
                  </w:r>
                </w:p>
              </w:tc>
              <w:tc>
                <w:tcPr>
                  <w:tcW w:w="771"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pH</w:t>
                  </w:r>
                </w:p>
              </w:tc>
              <w:tc>
                <w:tcPr>
                  <w:tcW w:w="1150"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color w:val="000000"/>
                      <w:szCs w:val="21"/>
                    </w:rPr>
                    <w:t>6~9</w:t>
                  </w:r>
                </w:p>
              </w:tc>
              <w:tc>
                <w:tcPr>
                  <w:tcW w:w="1478" w:type="pct"/>
                  <w:vMerge w:val="restar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《地表水环境质量标准》（GB3838-2002）</w:t>
                  </w:r>
                  <w:r>
                    <w:rPr>
                      <w:rFonts w:hint="default" w:ascii="Times New Roman" w:hAnsi="Times New Roman" w:eastAsia="宋体" w:cs="Times New Roman"/>
                      <w:bCs/>
                      <w:szCs w:val="21"/>
                    </w:rPr>
                    <w:t>Ⅲ</w:t>
                  </w:r>
                  <w:r>
                    <w:rPr>
                      <w:rFonts w:hint="default" w:ascii="Times New Roman" w:hAnsi="Times New Roman" w:eastAsia="宋体" w:cs="Times New Roman"/>
                      <w:kern w:val="2"/>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2</w:t>
                  </w:r>
                </w:p>
              </w:tc>
              <w:tc>
                <w:tcPr>
                  <w:tcW w:w="770"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71"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COD</w:t>
                  </w:r>
                </w:p>
              </w:tc>
              <w:tc>
                <w:tcPr>
                  <w:tcW w:w="1150"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20</w:t>
                  </w:r>
                </w:p>
              </w:tc>
              <w:tc>
                <w:tcPr>
                  <w:tcW w:w="147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3</w:t>
                  </w:r>
                </w:p>
              </w:tc>
              <w:tc>
                <w:tcPr>
                  <w:tcW w:w="770"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c>
                <w:tcPr>
                  <w:tcW w:w="771"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石油类</w:t>
                  </w:r>
                </w:p>
              </w:tc>
              <w:tc>
                <w:tcPr>
                  <w:tcW w:w="1150" w:type="pct"/>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0.05</w:t>
                  </w:r>
                </w:p>
              </w:tc>
              <w:tc>
                <w:tcPr>
                  <w:tcW w:w="1478" w:type="pct"/>
                  <w:vMerge w:val="continue"/>
                  <w:tcBorders>
                    <w:tl2br w:val="nil"/>
                    <w:tr2bl w:val="nil"/>
                  </w:tcBorders>
                  <w:vAlign w:val="center"/>
                </w:tcPr>
                <w:p>
                  <w:pPr>
                    <w:pStyle w:val="74"/>
                    <w:adjustRightInd w:val="0"/>
                    <w:snapToGrid w:val="0"/>
                    <w:ind w:firstLine="0"/>
                    <w:jc w:val="center"/>
                    <w:rPr>
                      <w:rFonts w:hint="default" w:ascii="Times New Roman" w:hAnsi="Times New Roman" w:eastAsia="宋体" w:cs="Times New Roman"/>
                      <w:kern w:val="2"/>
                      <w:szCs w:val="21"/>
                    </w:rPr>
                  </w:pPr>
                </w:p>
              </w:tc>
            </w:tr>
          </w:tbl>
          <w:p>
            <w:pPr>
              <w:tabs>
                <w:tab w:val="left" w:pos="5142"/>
              </w:tabs>
              <w:spacing w:line="360" w:lineRule="auto"/>
              <w:ind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3、噪声排放标准</w:t>
            </w:r>
          </w:p>
          <w:p>
            <w:pPr>
              <w:tabs>
                <w:tab w:val="left" w:pos="5142"/>
              </w:tabs>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本项目建设地点位于江苏省南通市如皋市搬经镇搬经社区10组、19组、村集体，根据《市政府关于印发</w:t>
            </w:r>
            <w:r>
              <w:rPr>
                <w:rFonts w:hint="eastAsia" w:cs="Times New Roman"/>
                <w:color w:val="000000"/>
                <w:sz w:val="24"/>
                <w:lang w:eastAsia="zh-CN"/>
              </w:rPr>
              <w:t>〈</w:t>
            </w:r>
            <w:r>
              <w:rPr>
                <w:rFonts w:hint="default" w:ascii="Times New Roman" w:hAnsi="Times New Roman" w:eastAsia="宋体" w:cs="Times New Roman"/>
                <w:color w:val="000000"/>
                <w:sz w:val="24"/>
              </w:rPr>
              <w:t>如皋市声环境功能区和噪声敏感建筑物集中区划分方案</w:t>
            </w:r>
            <w:r>
              <w:rPr>
                <w:rFonts w:hint="eastAsia" w:cs="Times New Roman"/>
                <w:color w:val="000000"/>
                <w:sz w:val="24"/>
                <w:lang w:eastAsia="zh-CN"/>
              </w:rPr>
              <w:t>〉的通知》</w:t>
            </w:r>
            <w:r>
              <w:rPr>
                <w:rFonts w:hint="default" w:ascii="Times New Roman" w:hAnsi="Times New Roman" w:eastAsia="宋体" w:cs="Times New Roman"/>
                <w:color w:val="000000"/>
                <w:sz w:val="24"/>
              </w:rPr>
              <w:t>（皋政发〔2025〕20号），本项目属于3类声环境功能区。故本项目厂界执行《工业企业厂界环境噪声排放标准》（GB12348-2008）中3类标准。具体标准见表3-11。</w:t>
            </w:r>
          </w:p>
          <w:p>
            <w:pPr>
              <w:pStyle w:val="4"/>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表3-11  工业企业厂界环境噪声排放标准</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46"/>
              <w:gridCol w:w="1558"/>
              <w:gridCol w:w="1294"/>
              <w:gridCol w:w="1319"/>
              <w:gridCol w:w="26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22" w:type="pct"/>
                  <w:vMerge w:val="restar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适用区域</w:t>
                  </w:r>
                </w:p>
              </w:tc>
              <w:tc>
                <w:tcPr>
                  <w:tcW w:w="982" w:type="pct"/>
                  <w:vMerge w:val="restar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功能区类别</w:t>
                  </w:r>
                </w:p>
              </w:tc>
              <w:tc>
                <w:tcPr>
                  <w:tcW w:w="1648" w:type="pct"/>
                  <w:gridSpan w:val="2"/>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标准限值（dB（</w:t>
                  </w:r>
                  <w:r>
                    <w:rPr>
                      <w:rFonts w:hint="default" w:ascii="Times New Roman" w:hAnsi="Times New Roman" w:eastAsia="宋体" w:cs="Times New Roman"/>
                      <w:b/>
                      <w:color w:val="000000"/>
                      <w:szCs w:val="21"/>
                    </w:rPr>
                    <w:cr/>
                  </w:r>
                  <w:r>
                    <w:rPr>
                      <w:rFonts w:hint="default" w:ascii="Times New Roman" w:hAnsi="Times New Roman" w:eastAsia="宋体" w:cs="Times New Roman"/>
                      <w:b/>
                      <w:color w:val="000000"/>
                      <w:szCs w:val="21"/>
                    </w:rPr>
                    <w:t>A））</w:t>
                  </w:r>
                </w:p>
              </w:tc>
              <w:tc>
                <w:tcPr>
                  <w:tcW w:w="1646" w:type="pct"/>
                  <w:vMerge w:val="restar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22" w:type="pct"/>
                  <w:vMerge w:val="continue"/>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p>
              </w:tc>
              <w:tc>
                <w:tcPr>
                  <w:tcW w:w="982" w:type="pct"/>
                  <w:vMerge w:val="continue"/>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p>
              </w:tc>
              <w:tc>
                <w:tcPr>
                  <w:tcW w:w="816"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昼间</w:t>
                  </w:r>
                </w:p>
              </w:tc>
              <w:tc>
                <w:tcPr>
                  <w:tcW w:w="832"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夜间</w:t>
                  </w:r>
                </w:p>
              </w:tc>
              <w:tc>
                <w:tcPr>
                  <w:tcW w:w="1646" w:type="pct"/>
                  <w:vMerge w:val="continue"/>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722"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全厂界</w:t>
                  </w:r>
                </w:p>
              </w:tc>
              <w:tc>
                <w:tcPr>
                  <w:tcW w:w="982"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3类</w:t>
                  </w:r>
                </w:p>
              </w:tc>
              <w:tc>
                <w:tcPr>
                  <w:tcW w:w="816"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65</w:t>
                  </w:r>
                </w:p>
              </w:tc>
              <w:tc>
                <w:tcPr>
                  <w:tcW w:w="832"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55</w:t>
                  </w:r>
                </w:p>
              </w:tc>
              <w:tc>
                <w:tcPr>
                  <w:tcW w:w="1646" w:type="pct"/>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《工业企业厂界环境噪声排放标准》（GB12348-2008）</w:t>
                  </w:r>
                </w:p>
              </w:tc>
            </w:tr>
          </w:tbl>
          <w:p>
            <w:pPr>
              <w:tabs>
                <w:tab w:val="left" w:pos="5142"/>
              </w:tabs>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建筑施工场界噪声执行</w:t>
            </w:r>
            <w:r>
              <w:rPr>
                <w:rFonts w:hint="default" w:ascii="Times New Roman" w:hAnsi="Times New Roman" w:eastAsia="宋体" w:cs="Times New Roman"/>
                <w:bCs/>
                <w:color w:val="auto"/>
                <w:sz w:val="24"/>
              </w:rPr>
              <w:t>《建筑施工噪声排放标准》（GB12523-20</w:t>
            </w:r>
            <w:r>
              <w:rPr>
                <w:rFonts w:hint="default" w:ascii="Times New Roman" w:hAnsi="Times New Roman" w:cs="Times New Roman"/>
                <w:bCs/>
                <w:color w:val="auto"/>
                <w:sz w:val="24"/>
                <w:lang w:val="en-US" w:eastAsia="zh-CN"/>
              </w:rPr>
              <w:t>25</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000000"/>
                <w:sz w:val="24"/>
              </w:rPr>
              <w:t>中相关限值标准，具体见表3-12。</w:t>
            </w:r>
          </w:p>
          <w:p>
            <w:pPr>
              <w:pStyle w:val="4"/>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表3-12  建筑施工场所噪声限值</w:t>
            </w:r>
          </w:p>
          <w:p>
            <w:pPr>
              <w:jc w:val="right"/>
              <w:rPr>
                <w:rFonts w:hint="default" w:ascii="Times New Roman" w:hAnsi="Times New Roman" w:eastAsia="宋体" w:cs="Times New Roman"/>
              </w:rPr>
            </w:pPr>
            <w:r>
              <w:rPr>
                <w:rFonts w:hint="default" w:ascii="Times New Roman" w:hAnsi="Times New Roman" w:eastAsia="宋体" w:cs="Times New Roman"/>
                <w:b/>
                <w:color w:val="000000"/>
                <w:sz w:val="24"/>
              </w:rPr>
              <w:t>单位：dB（A）</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966"/>
              <w:gridCol w:w="396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500"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昼间</w:t>
                  </w:r>
                </w:p>
              </w:tc>
              <w:tc>
                <w:tcPr>
                  <w:tcW w:w="2499"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500"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≤70</w:t>
                  </w:r>
                </w:p>
              </w:tc>
              <w:tc>
                <w:tcPr>
                  <w:tcW w:w="2499" w:type="pct"/>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≤55</w:t>
                  </w:r>
                </w:p>
              </w:tc>
            </w:tr>
          </w:tbl>
          <w:p>
            <w:pPr>
              <w:tabs>
                <w:tab w:val="left" w:pos="5142"/>
              </w:tabs>
              <w:spacing w:line="360" w:lineRule="auto"/>
              <w:ind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4、固体废物排放标准</w:t>
            </w:r>
          </w:p>
          <w:p>
            <w:pPr>
              <w:pStyle w:val="4"/>
              <w:spacing w:line="360" w:lineRule="auto"/>
              <w:ind w:firstLine="480" w:firstLineChars="200"/>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一般固体废物执行《关于发布＜固体废物分类与代码目录＞的公告》（生态环境部公告2024年第4号）。一般工业固废贮存执行《一般工业固体废物贮存和填埋污染控制标准》（GB18599-2020）中相关要求。</w:t>
            </w:r>
          </w:p>
          <w:p>
            <w:pPr>
              <w:pStyle w:val="4"/>
              <w:spacing w:line="360" w:lineRule="auto"/>
              <w:ind w:firstLine="480" w:firstLineChars="200"/>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危险废物贮存执行《危险废物贮存污染控制标准》（GB18597-2023）、省生态环境厅关于印发《江苏省固体废物全过程环境监管工作意见》的通知（苏环办〔2024〕16号）、江苏省印发《关于进一步加强危险废物环境管理工作的通知》（苏环办〔2021〕207号）有关规定要求进行危险废物的包装、贮存设施的选址、设计、运行、安全防护、监测和关闭等。</w:t>
            </w:r>
          </w:p>
          <w:p>
            <w:pPr>
              <w:pStyle w:val="4"/>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b w:val="0"/>
                <w:bCs w:val="0"/>
                <w:color w:val="000000"/>
                <w:sz w:val="24"/>
                <w:szCs w:val="24"/>
              </w:rPr>
              <w:t>生活垃圾处置参照执行《城市生活垃圾处理及污染防治技术政策》（建成〔2000〕120号）和《生活垃圾处理技术指南》（建城〔2010〕61号）以及国家、省市关于固体废物污染环境防治的法律法规。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8" w:hRule="atLeast"/>
          <w:jc w:val="center"/>
        </w:trPr>
        <w:tc>
          <w:tcPr>
            <w:tcW w:w="567" w:type="dxa"/>
            <w:vAlign w:val="center"/>
          </w:tcPr>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总量</w:t>
            </w:r>
          </w:p>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控制</w:t>
            </w:r>
          </w:p>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指标</w:t>
            </w:r>
          </w:p>
        </w:tc>
        <w:tc>
          <w:tcPr>
            <w:tcW w:w="8178" w:type="dxa"/>
          </w:tcPr>
          <w:p>
            <w:pPr>
              <w:tabs>
                <w:tab w:val="left" w:pos="2415"/>
                <w:tab w:val="center" w:pos="4662"/>
              </w:tabs>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1、总量控制指标</w:t>
            </w:r>
          </w:p>
          <w:p>
            <w:pPr>
              <w:tabs>
                <w:tab w:val="left" w:pos="2415"/>
                <w:tab w:val="center" w:pos="4662"/>
              </w:tabs>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（1）本项目污染物产生及排放情况汇总见表3-13。</w:t>
            </w:r>
          </w:p>
          <w:p>
            <w:pPr>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表3-13 本项目污染物产生及排放情况汇总   单位：t/a</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85"/>
              <w:gridCol w:w="1358"/>
              <w:gridCol w:w="765"/>
              <w:gridCol w:w="766"/>
              <w:gridCol w:w="1310"/>
              <w:gridCol w:w="1177"/>
              <w:gridCol w:w="983"/>
              <w:gridCol w:w="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94" w:hRule="atLeast"/>
                <w:jc w:val="center"/>
              </w:trPr>
              <w:tc>
                <w:tcPr>
                  <w:tcW w:w="368" w:type="pct"/>
                  <w:vMerge w:val="restar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类别</w:t>
                  </w:r>
                </w:p>
              </w:tc>
              <w:tc>
                <w:tcPr>
                  <w:tcW w:w="1821" w:type="pct"/>
                  <w:gridSpan w:val="3"/>
                  <w:vMerge w:val="restar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污染物名称</w:t>
                  </w:r>
                </w:p>
              </w:tc>
              <w:tc>
                <w:tcPr>
                  <w:tcW w:w="826" w:type="pct"/>
                  <w:vMerge w:val="restar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产生量</w:t>
                  </w:r>
                </w:p>
              </w:tc>
              <w:tc>
                <w:tcPr>
                  <w:tcW w:w="742" w:type="pct"/>
                  <w:vMerge w:val="restar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削减量</w:t>
                  </w:r>
                </w:p>
              </w:tc>
              <w:tc>
                <w:tcPr>
                  <w:tcW w:w="1241" w:type="pct"/>
                  <w:gridSpan w:val="2"/>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94"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p>
              </w:tc>
              <w:tc>
                <w:tcPr>
                  <w:tcW w:w="1821" w:type="pct"/>
                  <w:gridSpan w:val="3"/>
                  <w:vMerge w:val="continue"/>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p>
              </w:tc>
              <w:tc>
                <w:tcPr>
                  <w:tcW w:w="826" w:type="pct"/>
                  <w:vMerge w:val="continue"/>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p>
              </w:tc>
              <w:tc>
                <w:tcPr>
                  <w:tcW w:w="742" w:type="pct"/>
                  <w:vMerge w:val="continue"/>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p>
              </w:tc>
              <w:tc>
                <w:tcPr>
                  <w:tcW w:w="619" w:type="pc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接管量</w:t>
                  </w:r>
                </w:p>
              </w:tc>
              <w:tc>
                <w:tcPr>
                  <w:tcW w:w="621" w:type="pc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外排量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restart"/>
                  <w:tcBorders>
                    <w:tl2br w:val="nil"/>
                    <w:tr2bl w:val="nil"/>
                  </w:tcBorders>
                  <w:vAlign w:val="center"/>
                </w:tcPr>
                <w:p>
                  <w:pPr>
                    <w:spacing w:line="320" w:lineRule="exact"/>
                    <w:jc w:val="center"/>
                    <w:rPr>
                      <w:rFonts w:hint="default" w:ascii="Times New Roman" w:hAnsi="Times New Roman" w:eastAsia="宋体" w:cs="Times New Roman"/>
                      <w:b/>
                      <w:color w:val="000000"/>
                      <w:szCs w:val="21"/>
                    </w:rPr>
                  </w:pPr>
                  <w:r>
                    <w:rPr>
                      <w:rFonts w:hint="default" w:ascii="Times New Roman" w:hAnsi="Times New Roman" w:eastAsia="宋体" w:cs="Times New Roman"/>
                      <w:bCs/>
                      <w:color w:val="000000"/>
                      <w:szCs w:val="21"/>
                    </w:rPr>
                    <w:t>废水</w:t>
                  </w: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废水量</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1560</w:t>
                  </w:r>
                </w:p>
              </w:tc>
              <w:tc>
                <w:tcPr>
                  <w:tcW w:w="742"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0</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1</w:t>
                  </w:r>
                  <w:r>
                    <w:rPr>
                      <w:rFonts w:hint="default" w:ascii="Times New Roman" w:hAnsi="Times New Roman" w:eastAsia="宋体" w:cs="Times New Roman"/>
                      <w:color w:val="000000"/>
                      <w:szCs w:val="21"/>
                      <w:lang w:val="en-US" w:eastAsia="zh-CN"/>
                    </w:rPr>
                    <w:t>560</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w:t>
                  </w:r>
                  <w:r>
                    <w:rPr>
                      <w:rFonts w:hint="default" w:ascii="Times New Roman" w:hAnsi="Times New Roman" w:eastAsia="宋体" w:cs="Times New Roman"/>
                      <w:color w:val="000000"/>
                      <w:szCs w:val="21"/>
                      <w:lang w:val="en-US" w:eastAsia="zh-CN"/>
                    </w:rPr>
                    <w:t>56</w:t>
                  </w:r>
                  <w:r>
                    <w:rPr>
                      <w:rFonts w:hint="default" w:ascii="Times New Roman" w:hAnsi="Times New Roman" w:eastAsia="宋体" w:cs="Times New Roman"/>
                      <w:color w:val="00000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COD</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0.5304</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0.2122</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0.3182</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SS</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0.39</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0.234</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0.156</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 xml:space="preserve">0.0156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氨氮</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0.0508</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0.0051</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0.0457</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 xml:space="preserve">0.0078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总氮</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0.0699</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0.0629</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 xml:space="preserve">0.0234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总磷</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0.0066</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0.0053</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 xml:space="preserve">0.0008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spacing w:line="32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动植物油</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0.0108</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0.0086</w:t>
                  </w:r>
                </w:p>
              </w:tc>
              <w:tc>
                <w:tcPr>
                  <w:tcW w:w="619"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val="en-US" w:eastAsia="zh-CN" w:bidi="ar"/>
                    </w:rPr>
                    <w:t>0.0022</w:t>
                  </w:r>
                </w:p>
              </w:tc>
              <w:tc>
                <w:tcPr>
                  <w:tcW w:w="621"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 xml:space="preserve">0.0016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restart"/>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废气</w:t>
                  </w:r>
                </w:p>
              </w:tc>
              <w:tc>
                <w:tcPr>
                  <w:tcW w:w="856" w:type="pct"/>
                  <w:vMerge w:val="restart"/>
                  <w:tcBorders>
                    <w:tl2br w:val="nil"/>
                    <w:tr2bl w:val="nil"/>
                  </w:tcBorders>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有组织</w:t>
                  </w:r>
                </w:p>
              </w:tc>
              <w:tc>
                <w:tcPr>
                  <w:tcW w:w="965" w:type="pct"/>
                  <w:gridSpan w:val="2"/>
                  <w:tcBorders>
                    <w:tl2br w:val="nil"/>
                    <w:tr2bl w:val="nil"/>
                  </w:tcBorders>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rPr>
                    <w:t>颗粒物</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3.0341</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2.8822</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0.1519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965" w:type="pct"/>
                  <w:gridSpan w:val="2"/>
                  <w:tcBorders>
                    <w:tl2br w:val="nil"/>
                    <w:tr2bl w:val="nil"/>
                  </w:tcBorders>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非甲烷总烃</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2.9842</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val="en-US" w:bidi="ar"/>
                    </w:rPr>
                  </w:pPr>
                  <w:r>
                    <w:rPr>
                      <w:rFonts w:hint="eastAsia" w:cs="Times New Roman"/>
                      <w:i w:val="0"/>
                      <w:iCs w:val="0"/>
                      <w:color w:val="000000"/>
                      <w:kern w:val="0"/>
                      <w:sz w:val="21"/>
                      <w:szCs w:val="21"/>
                      <w:u w:val="none"/>
                      <w:lang w:val="en-US" w:eastAsia="zh-CN" w:bidi="ar"/>
                    </w:rPr>
                    <w:t>2.687</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0.2972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restar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其中</w:t>
                  </w: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三乙胺</w:t>
                  </w:r>
                </w:p>
              </w:tc>
              <w:tc>
                <w:tcPr>
                  <w:tcW w:w="82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0.0141</w:t>
                  </w:r>
                </w:p>
              </w:tc>
              <w:tc>
                <w:tcPr>
                  <w:tcW w:w="74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241"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lang w:val="en-US" w:eastAsia="zh-CN"/>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甲醛</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0.0016</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0.0014</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酚类</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0.0081</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0.0073</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二甲苯</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0.4648</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0.4183</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苯系物</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0.287</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0.2583</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0.0287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965" w:type="pct"/>
                  <w:gridSpan w:val="2"/>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二氧化硫</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965" w:type="pct"/>
                  <w:gridSpan w:val="2"/>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氮氧化物</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0.0242</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0.0242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restart"/>
                  <w:tcBorders>
                    <w:tl2br w:val="nil"/>
                    <w:tr2bl w:val="nil"/>
                  </w:tcBorders>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无组织</w:t>
                  </w:r>
                </w:p>
              </w:tc>
              <w:tc>
                <w:tcPr>
                  <w:tcW w:w="965" w:type="pct"/>
                  <w:gridSpan w:val="2"/>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颗粒物</w:t>
                  </w:r>
                </w:p>
              </w:tc>
              <w:tc>
                <w:tcPr>
                  <w:tcW w:w="8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2.0962</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1.678</w:t>
                  </w:r>
                </w:p>
              </w:tc>
              <w:tc>
                <w:tcPr>
                  <w:tcW w:w="1241"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0.4182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965" w:type="pct"/>
                  <w:gridSpan w:val="2"/>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非甲烷总烃</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0.2266</w:t>
                  </w:r>
                </w:p>
              </w:tc>
              <w:tc>
                <w:tcPr>
                  <w:tcW w:w="74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0</w:t>
                  </w:r>
                </w:p>
              </w:tc>
              <w:tc>
                <w:tcPr>
                  <w:tcW w:w="1241"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0.2266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restar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其中</w:t>
                  </w: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三乙胺</w:t>
                  </w:r>
                </w:p>
              </w:tc>
              <w:tc>
                <w:tcPr>
                  <w:tcW w:w="8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0.0016</w:t>
                  </w:r>
                </w:p>
              </w:tc>
              <w:tc>
                <w:tcPr>
                  <w:tcW w:w="742"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w:t>
                  </w:r>
                </w:p>
              </w:tc>
              <w:tc>
                <w:tcPr>
                  <w:tcW w:w="1241"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0.0016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lang w:val="en-US" w:eastAsia="zh-CN"/>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甲醛</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0.0002</w:t>
                  </w:r>
                </w:p>
              </w:tc>
              <w:tc>
                <w:tcPr>
                  <w:tcW w:w="74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0</w:t>
                  </w:r>
                </w:p>
              </w:tc>
              <w:tc>
                <w:tcPr>
                  <w:tcW w:w="1241"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酚类</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0.0009</w:t>
                  </w:r>
                </w:p>
              </w:tc>
              <w:tc>
                <w:tcPr>
                  <w:tcW w:w="74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0</w:t>
                  </w:r>
                </w:p>
              </w:tc>
              <w:tc>
                <w:tcPr>
                  <w:tcW w:w="1241"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二甲苯</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0.0245</w:t>
                  </w:r>
                </w:p>
              </w:tc>
              <w:tc>
                <w:tcPr>
                  <w:tcW w:w="7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p>
              </w:tc>
              <w:tc>
                <w:tcPr>
                  <w:tcW w:w="1241"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856" w:type="pct"/>
                  <w:vMerge w:val="continue"/>
                  <w:tcBorders>
                    <w:tl2br w:val="nil"/>
                    <w:tr2bl w:val="nil"/>
                  </w:tcBorders>
                  <w:vAlign w:val="center"/>
                </w:tcPr>
                <w:p>
                  <w:pPr>
                    <w:jc w:val="center"/>
                    <w:rPr>
                      <w:rFonts w:hint="default" w:ascii="Times New Roman" w:hAnsi="Times New Roman" w:eastAsia="宋体" w:cs="Times New Roman"/>
                      <w:bCs/>
                      <w:color w:val="000000"/>
                      <w:szCs w:val="21"/>
                    </w:rPr>
                  </w:pPr>
                </w:p>
              </w:tc>
              <w:tc>
                <w:tcPr>
                  <w:tcW w:w="482" w:type="pct"/>
                  <w:vMerge w:val="continue"/>
                  <w:tcBorders>
                    <w:tl2br w:val="nil"/>
                    <w:tr2bl w:val="nil"/>
                  </w:tcBorders>
                  <w:vAlign w:val="center"/>
                </w:tcPr>
                <w:p>
                  <w:pPr>
                    <w:jc w:val="center"/>
                    <w:rPr>
                      <w:rFonts w:hint="default" w:ascii="Times New Roman" w:hAnsi="Times New Roman" w:eastAsia="宋体" w:cs="Times New Roman"/>
                      <w:color w:val="000000"/>
                      <w:szCs w:val="21"/>
                    </w:rPr>
                  </w:pPr>
                </w:p>
              </w:tc>
              <w:tc>
                <w:tcPr>
                  <w:tcW w:w="48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苯系物</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0.015</w:t>
                  </w:r>
                </w:p>
              </w:tc>
              <w:tc>
                <w:tcPr>
                  <w:tcW w:w="742"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0</w:t>
                  </w:r>
                </w:p>
              </w:tc>
              <w:tc>
                <w:tcPr>
                  <w:tcW w:w="1241"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restart"/>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固废</w:t>
                  </w:r>
                </w:p>
              </w:tc>
              <w:tc>
                <w:tcPr>
                  <w:tcW w:w="1821" w:type="pct"/>
                  <w:gridSpan w:val="3"/>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一般固废</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10.8276</w:t>
                  </w:r>
                </w:p>
              </w:tc>
              <w:tc>
                <w:tcPr>
                  <w:tcW w:w="74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10.8276</w:t>
                  </w:r>
                </w:p>
              </w:tc>
              <w:tc>
                <w:tcPr>
                  <w:tcW w:w="1241"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危险固废</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100.8846</w:t>
                  </w:r>
                </w:p>
              </w:tc>
              <w:tc>
                <w:tcPr>
                  <w:tcW w:w="74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100.8846</w:t>
                  </w:r>
                </w:p>
              </w:tc>
              <w:tc>
                <w:tcPr>
                  <w:tcW w:w="1241"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000000"/>
                      <w:szCs w:val="21"/>
                    </w:rPr>
                  </w:pPr>
                </w:p>
              </w:tc>
              <w:tc>
                <w:tcPr>
                  <w:tcW w:w="1821" w:type="pct"/>
                  <w:gridSpan w:val="3"/>
                  <w:tcBorders>
                    <w:tl2br w:val="nil"/>
                    <w:tr2bl w:val="nil"/>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生活垃圾</w:t>
                  </w:r>
                </w:p>
              </w:tc>
              <w:tc>
                <w:tcPr>
                  <w:tcW w:w="826"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bidi="ar"/>
                    </w:rPr>
                    <w:t>3</w:t>
                  </w:r>
                  <w:r>
                    <w:rPr>
                      <w:rFonts w:hint="default" w:ascii="Times New Roman" w:hAnsi="Times New Roman" w:cs="Times New Roman"/>
                      <w:color w:val="000000"/>
                      <w:kern w:val="0"/>
                      <w:szCs w:val="21"/>
                      <w:lang w:val="en-US" w:eastAsia="zh-CN" w:bidi="ar"/>
                    </w:rPr>
                    <w:t>6</w:t>
                  </w:r>
                  <w:r>
                    <w:rPr>
                      <w:rFonts w:hint="default" w:ascii="Times New Roman" w:hAnsi="Times New Roman" w:eastAsia="宋体" w:cs="Times New Roman"/>
                      <w:color w:val="000000"/>
                      <w:kern w:val="0"/>
                      <w:szCs w:val="21"/>
                      <w:lang w:val="en-US" w:eastAsia="zh-CN" w:bidi="ar"/>
                    </w:rPr>
                    <w:t>.0086</w:t>
                  </w:r>
                </w:p>
              </w:tc>
              <w:tc>
                <w:tcPr>
                  <w:tcW w:w="742"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bidi="ar"/>
                    </w:rPr>
                    <w:t>3</w:t>
                  </w:r>
                  <w:r>
                    <w:rPr>
                      <w:rFonts w:hint="default" w:ascii="Times New Roman" w:hAnsi="Times New Roman" w:cs="Times New Roman"/>
                      <w:color w:val="000000"/>
                      <w:kern w:val="0"/>
                      <w:szCs w:val="21"/>
                      <w:lang w:val="en-US" w:eastAsia="zh-CN" w:bidi="ar"/>
                    </w:rPr>
                    <w:t>6</w:t>
                  </w:r>
                  <w:r>
                    <w:rPr>
                      <w:rFonts w:hint="default" w:ascii="Times New Roman" w:hAnsi="Times New Roman" w:eastAsia="宋体" w:cs="Times New Roman"/>
                      <w:color w:val="000000"/>
                      <w:kern w:val="0"/>
                      <w:szCs w:val="21"/>
                      <w:lang w:val="en-US" w:eastAsia="zh-CN" w:bidi="ar"/>
                    </w:rPr>
                    <w:t>.0086</w:t>
                  </w:r>
                </w:p>
              </w:tc>
              <w:tc>
                <w:tcPr>
                  <w:tcW w:w="1241"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5000" w:type="pct"/>
                  <w:gridSpan w:val="8"/>
                  <w:tcBorders>
                    <w:tl2br w:val="nil"/>
                    <w:tr2bl w:val="nil"/>
                  </w:tcBorders>
                  <w:vAlign w:val="center"/>
                </w:tcPr>
                <w:p>
                  <w:pPr>
                    <w:widowControl/>
                    <w:jc w:val="both"/>
                    <w:textAlignment w:val="center"/>
                    <w:rPr>
                      <w:rFonts w:hint="eastAsia"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注：根据</w:t>
                  </w:r>
                  <w:r>
                    <w:rPr>
                      <w:rFonts w:hint="eastAsia"/>
                      <w:color w:val="000000"/>
                      <w:kern w:val="0"/>
                      <w:szCs w:val="21"/>
                      <w:lang w:bidi="ar"/>
                    </w:rPr>
                    <w:t>《工业涂装工序大气污染物排放标准》（DB32/4439-2022）</w:t>
                  </w:r>
                  <w:r>
                    <w:rPr>
                      <w:rFonts w:hint="eastAsia"/>
                      <w:color w:val="000000"/>
                      <w:kern w:val="0"/>
                      <w:szCs w:val="21"/>
                      <w:lang w:eastAsia="zh-CN" w:bidi="ar"/>
                    </w:rPr>
                    <w:t>，</w:t>
                  </w:r>
                  <w:r>
                    <w:rPr>
                      <w:rFonts w:hint="eastAsia"/>
                      <w:color w:val="000000"/>
                      <w:kern w:val="0"/>
                      <w:szCs w:val="21"/>
                      <w:lang w:val="en-US" w:eastAsia="zh-CN" w:bidi="ar"/>
                    </w:rPr>
                    <w:t>苯系物</w:t>
                  </w:r>
                  <w:r>
                    <w:rPr>
                      <w:rFonts w:hint="eastAsia"/>
                      <w:color w:val="000000"/>
                      <w:kern w:val="0"/>
                      <w:szCs w:val="21"/>
                      <w:lang w:bidi="ar"/>
                    </w:rPr>
                    <w:t>包含苯、甲苯、乙苯、三甲苯、苯乙烯</w:t>
                  </w:r>
                  <w:r>
                    <w:rPr>
                      <w:rFonts w:hint="eastAsia"/>
                      <w:color w:val="000000"/>
                      <w:kern w:val="0"/>
                      <w:szCs w:val="21"/>
                      <w:lang w:eastAsia="zh-CN" w:bidi="ar"/>
                    </w:rPr>
                    <w:t>。</w:t>
                  </w:r>
                </w:p>
              </w:tc>
            </w:tr>
          </w:tbl>
          <w:p>
            <w:pPr>
              <w:pStyle w:val="13"/>
              <w:spacing w:line="360" w:lineRule="auto"/>
              <w:ind w:left="420" w:leftChars="200"/>
              <w:rPr>
                <w:rFonts w:hint="default" w:ascii="Times New Roman" w:hAnsi="Times New Roman" w:eastAsia="宋体" w:cs="Times New Roman"/>
                <w:b/>
                <w:bCs/>
                <w:sz w:val="24"/>
              </w:rPr>
            </w:pPr>
            <w:r>
              <w:rPr>
                <w:rFonts w:hint="default" w:ascii="Times New Roman" w:hAnsi="Times New Roman" w:eastAsia="宋体" w:cs="Times New Roman"/>
                <w:b/>
                <w:bCs/>
                <w:sz w:val="24"/>
              </w:rPr>
              <w:t>2、排污许可管理类型</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本项目行业类别属于[C3421]金属切削机床制造，对照《固定污染源排污许可分类管理名录》（2019年版），本项目不属于重点污染排污单位，同时本项目不使用溶剂型涂料或胶黏剂（含稀释剂、固化剂、清洗溶剂），因此本项目属于“二十九、通用设备制造业34 83金属加工机械制造 342”中“其他”，不涉及通用工序重点与简化管理，为登记管理。</w:t>
            </w:r>
          </w:p>
          <w:p>
            <w:pPr>
              <w:adjustRightInd w:val="0"/>
              <w:snapToGrid w:val="0"/>
              <w:spacing w:line="360" w:lineRule="auto"/>
              <w:ind w:firstLine="480"/>
              <w:rPr>
                <w:rFonts w:hint="default" w:ascii="Times New Roman" w:hAnsi="Times New Roman" w:eastAsia="宋体" w:cs="Times New Roman"/>
                <w:b/>
                <w:bCs/>
                <w:sz w:val="24"/>
              </w:rPr>
            </w:pPr>
            <w:r>
              <w:rPr>
                <w:rFonts w:hint="default" w:ascii="Times New Roman" w:hAnsi="Times New Roman" w:eastAsia="宋体" w:cs="Times New Roman"/>
                <w:b/>
                <w:bCs/>
                <w:sz w:val="24"/>
              </w:rPr>
              <w:t>3、排污许可技术规范核算许可排放量</w:t>
            </w:r>
          </w:p>
          <w:p>
            <w:pPr>
              <w:adjustRightInd w:val="0"/>
              <w:snapToGrid w:val="0"/>
              <w:spacing w:line="360" w:lineRule="auto"/>
              <w:ind w:firstLine="480"/>
              <w:rPr>
                <w:rFonts w:hint="default" w:ascii="Times New Roman" w:hAnsi="Times New Roman" w:eastAsia="宋体" w:cs="Times New Roman"/>
                <w:sz w:val="24"/>
                <w:lang w:eastAsia="zh-CN"/>
              </w:rPr>
            </w:pPr>
            <w:r>
              <w:rPr>
                <w:rFonts w:hint="default" w:ascii="Times New Roman" w:hAnsi="Times New Roman" w:eastAsia="宋体" w:cs="Times New Roman"/>
                <w:sz w:val="24"/>
              </w:rPr>
              <w:t>根据《南通市如皋生态环境局关于优化和完善项目环评总量预报与审批流程的会议纪要》中</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1.进一步完善源强核算。（1）新、改、扩建项目根据《关于印发〈南通市关于推进固定污染源排污总量数据统一的工作方案〉的通知》（通环办〔2024〕50号）需在排污许可证中对企业进行全赋量，因此源强核算应对照排污许可技术规范进行全面核算，与环评核算对比取严，并在环评文本中提供计算过程，执行标准等。即，无论排污许可技术规范是否明确该排口是否需要许可排放量，均应参照行业技术规范、通用工序技术规范、技术规范总则等，选择合适的核算方法（应注意本排放口在所选核算方法的适用范围内）对各排放口许可排放量进行全面核算。</w:t>
            </w:r>
            <w:r>
              <w:rPr>
                <w:rFonts w:hint="default" w:ascii="Times New Roman" w:hAnsi="Times New Roman" w:eastAsia="宋体" w:cs="Times New Roman"/>
                <w:sz w:val="24"/>
                <w:lang w:eastAsia="zh-CN"/>
              </w:rPr>
              <w:t>”</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（1）有组织废气排放量核算</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本项目共</w:t>
            </w:r>
            <w:r>
              <w:rPr>
                <w:rFonts w:hint="default" w:ascii="Times New Roman" w:hAnsi="Times New Roman" w:eastAsia="宋体" w:cs="Times New Roman"/>
                <w:sz w:val="24"/>
                <w:lang w:val="en-US" w:eastAsia="zh-CN"/>
              </w:rPr>
              <w:t>8</w:t>
            </w:r>
            <w:r>
              <w:rPr>
                <w:rFonts w:hint="default" w:ascii="Times New Roman" w:hAnsi="Times New Roman" w:eastAsia="宋体" w:cs="Times New Roman"/>
                <w:sz w:val="24"/>
              </w:rPr>
              <w:t>个有组织废气排放口，对照《排污许可证申请与核发技术规范 铁路、船舶、航空航天和其他运输设备制造业》（HJ1124-2020）</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《排污许可证申请与核发技术规范 锅炉》（HJ953-2018）、《排污许可证申请与核发技术规范 总则》（HJ942-2018），本项目废气排放口均为一般排放口。</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DA001~DA00</w:t>
            </w:r>
            <w:r>
              <w:rPr>
                <w:rFonts w:hint="default" w:ascii="Times New Roman" w:hAnsi="Times New Roman" w:eastAsia="宋体" w:cs="Times New Roman"/>
                <w:sz w:val="24"/>
                <w:lang w:val="en-US" w:eastAsia="zh-CN"/>
              </w:rPr>
              <w:t>7</w:t>
            </w:r>
            <w:r>
              <w:rPr>
                <w:rFonts w:hint="default" w:ascii="Times New Roman" w:hAnsi="Times New Roman" w:eastAsia="宋体" w:cs="Times New Roman"/>
                <w:sz w:val="24"/>
              </w:rPr>
              <w:t>对照《排污许可证申请与核发技术规范 铁路、船舶、航空航天和其他运输设备制造业》（HJ1124-2020）均无核算公式推荐。因此参照《排污许可证申请与核发技术规范 总则》（HJ942-2018）中无规定的基准排气量，也可按照许可排放浓度、风量、年生产时间确定计算</w:t>
            </w:r>
          </w:p>
          <w:p>
            <w:pPr>
              <w:adjustRightInd w:val="0"/>
              <w:snapToGrid w:val="0"/>
              <w:spacing w:line="360" w:lineRule="auto"/>
              <w:jc w:val="center"/>
              <w:rPr>
                <w:rFonts w:hint="default" w:ascii="Times New Roman" w:hAnsi="Times New Roman" w:eastAsia="宋体" w:cs="Times New Roman"/>
                <w:sz w:val="24"/>
              </w:rPr>
            </w:pPr>
            <w:r>
              <w:rPr>
                <w:rFonts w:hint="default" w:ascii="Times New Roman" w:hAnsi="Times New Roman" w:eastAsia="宋体" w:cs="Times New Roman"/>
                <w:sz w:val="24"/>
              </w:rPr>
              <w:t>M</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=Q×C×T×10</w:t>
            </w:r>
            <w:r>
              <w:rPr>
                <w:rFonts w:hint="default" w:ascii="Times New Roman" w:hAnsi="Times New Roman" w:eastAsia="宋体" w:cs="Times New Roman"/>
                <w:sz w:val="24"/>
                <w:vertAlign w:val="superscript"/>
              </w:rPr>
              <w:t xml:space="preserve">-9                   </w:t>
            </w:r>
            <w:r>
              <w:rPr>
                <w:rFonts w:hint="default" w:ascii="Times New Roman" w:hAnsi="Times New Roman" w:eastAsia="宋体" w:cs="Times New Roman"/>
                <w:sz w:val="24"/>
              </w:rPr>
              <w:t>（1）</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式中：M</w:t>
            </w:r>
            <w:r>
              <w:rPr>
                <w:rFonts w:hint="default" w:ascii="Times New Roman" w:hAnsi="Times New Roman" w:eastAsia="宋体" w:cs="Times New Roman"/>
                <w:sz w:val="24"/>
                <w:vertAlign w:val="subscript"/>
              </w:rPr>
              <w:t>i</w:t>
            </w:r>
            <w:r>
              <w:rPr>
                <w:rFonts w:hint="default" w:ascii="Times New Roman" w:hAnsi="Times New Roman" w:eastAsia="宋体" w:cs="Times New Roman"/>
                <w:sz w:val="24"/>
              </w:rPr>
              <w:t>--第i个主要排放口污染物年许可排放量，t；</w:t>
            </w:r>
          </w:p>
          <w:p>
            <w:pPr>
              <w:numPr>
                <w:ilvl w:val="0"/>
                <w:numId w:val="15"/>
              </w:numPr>
              <w:adjustRightInd w:val="0"/>
              <w:snapToGrid w:val="0"/>
              <w:spacing w:line="360" w:lineRule="auto"/>
              <w:ind w:firstLine="1245" w:firstLineChars="519"/>
              <w:rPr>
                <w:rFonts w:hint="default" w:ascii="Times New Roman" w:hAnsi="Times New Roman" w:eastAsia="宋体" w:cs="Times New Roman"/>
                <w:sz w:val="24"/>
              </w:rPr>
            </w:pPr>
            <w:r>
              <w:rPr>
                <w:rFonts w:hint="default" w:ascii="Times New Roman" w:hAnsi="Times New Roman" w:eastAsia="宋体" w:cs="Times New Roman"/>
                <w:sz w:val="24"/>
              </w:rPr>
              <w:t>-第i个主要排放口风量（标态），m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/h；</w:t>
            </w:r>
          </w:p>
          <w:p>
            <w:pPr>
              <w:numPr>
                <w:ilvl w:val="0"/>
                <w:numId w:val="16"/>
              </w:numPr>
              <w:adjustRightInd w:val="0"/>
              <w:snapToGrid w:val="0"/>
              <w:spacing w:line="360" w:lineRule="auto"/>
              <w:ind w:firstLine="1245" w:firstLineChars="519"/>
              <w:rPr>
                <w:rFonts w:hint="default" w:ascii="Times New Roman" w:hAnsi="Times New Roman" w:eastAsia="宋体" w:cs="Times New Roman"/>
                <w:sz w:val="24"/>
              </w:rPr>
            </w:pPr>
            <w:r>
              <w:rPr>
                <w:rFonts w:hint="default" w:ascii="Times New Roman" w:hAnsi="Times New Roman" w:eastAsia="宋体" w:cs="Times New Roman"/>
                <w:sz w:val="24"/>
              </w:rPr>
              <w:t>-污染物许可排放浓度限值（标态），mg/m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p>
          <w:p>
            <w:pPr>
              <w:adjustRightInd w:val="0"/>
              <w:snapToGrid w:val="0"/>
              <w:spacing w:line="360" w:lineRule="auto"/>
              <w:ind w:firstLine="1245" w:firstLineChars="519"/>
              <w:rPr>
                <w:rFonts w:hint="default" w:ascii="Times New Roman" w:hAnsi="Times New Roman" w:eastAsia="宋体" w:cs="Times New Roman"/>
                <w:sz w:val="24"/>
              </w:rPr>
            </w:pPr>
            <w:r>
              <w:rPr>
                <w:rFonts w:hint="default" w:ascii="Times New Roman" w:hAnsi="Times New Roman" w:eastAsia="宋体" w:cs="Times New Roman"/>
                <w:sz w:val="24"/>
              </w:rPr>
              <w:t>T--第i个主要排放口对应装置设计年生产时间，h。</w:t>
            </w:r>
          </w:p>
          <w:p>
            <w:pPr>
              <w:adjustRightInd w:val="0"/>
              <w:snapToGrid w:val="0"/>
              <w:spacing w:line="360" w:lineRule="auto"/>
              <w:ind w:firstLine="48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DA00</w:t>
            </w:r>
            <w:r>
              <w:rPr>
                <w:rFonts w:hint="default" w:ascii="Times New Roman" w:hAnsi="Times New Roman" w:eastAsia="宋体" w:cs="Times New Roman"/>
                <w:sz w:val="24"/>
                <w:lang w:val="en-US" w:eastAsia="zh-CN"/>
              </w:rPr>
              <w:t>8</w:t>
            </w:r>
            <w:r>
              <w:rPr>
                <w:rFonts w:hint="default" w:ascii="Times New Roman" w:hAnsi="Times New Roman" w:eastAsia="宋体" w:cs="Times New Roman"/>
                <w:sz w:val="24"/>
              </w:rPr>
              <w:t>对照《排污许可证申请与核发技术规范 锅炉》（HJ953-2018），由于本项目无规定的基准烟气量，因此无法按技术规范中的式（6）核算，因此也按照上式（1）计算。具体见下表。</w:t>
            </w:r>
          </w:p>
          <w:p>
            <w:pPr>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表3-14根据技术规范计算的废气允许排放量</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6"/>
              <w:gridCol w:w="1316"/>
              <w:gridCol w:w="1368"/>
              <w:gridCol w:w="1368"/>
              <w:gridCol w:w="1303"/>
              <w:gridCol w:w="12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1316" w:type="dxa"/>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排气筒编号</w:t>
                  </w:r>
                </w:p>
              </w:tc>
              <w:tc>
                <w:tcPr>
                  <w:tcW w:w="1316" w:type="dxa"/>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污染因子</w:t>
                  </w:r>
                </w:p>
              </w:tc>
              <w:tc>
                <w:tcPr>
                  <w:tcW w:w="1368" w:type="dxa"/>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Q（m</w:t>
                  </w:r>
                  <w:r>
                    <w:rPr>
                      <w:rFonts w:hint="default" w:ascii="Times New Roman" w:hAnsi="Times New Roman" w:eastAsia="宋体" w:cs="Times New Roman"/>
                      <w:b/>
                      <w:bCs/>
                      <w:szCs w:val="21"/>
                      <w:vertAlign w:val="superscript"/>
                    </w:rPr>
                    <w:t>3</w:t>
                  </w:r>
                  <w:r>
                    <w:rPr>
                      <w:rFonts w:hint="default" w:ascii="Times New Roman" w:hAnsi="Times New Roman" w:eastAsia="宋体" w:cs="Times New Roman"/>
                      <w:b/>
                      <w:bCs/>
                      <w:szCs w:val="21"/>
                    </w:rPr>
                    <w:t>/h）</w:t>
                  </w:r>
                </w:p>
              </w:tc>
              <w:tc>
                <w:tcPr>
                  <w:tcW w:w="1368" w:type="dxa"/>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C</w:t>
                  </w:r>
                  <w:r>
                    <w:rPr>
                      <w:rFonts w:hint="default" w:ascii="Times New Roman" w:hAnsi="Times New Roman" w:eastAsia="宋体" w:cs="Times New Roman"/>
                      <w:b/>
                      <w:szCs w:val="21"/>
                    </w:rPr>
                    <w:t>（mg/m</w:t>
                  </w:r>
                  <w:r>
                    <w:rPr>
                      <w:rFonts w:hint="default" w:ascii="Times New Roman" w:hAnsi="Times New Roman" w:eastAsia="宋体" w:cs="Times New Roman"/>
                      <w:b/>
                      <w:szCs w:val="21"/>
                      <w:vertAlign w:val="superscript"/>
                    </w:rPr>
                    <w:t>3</w:t>
                  </w:r>
                  <w:r>
                    <w:rPr>
                      <w:rFonts w:hint="default" w:ascii="Times New Roman" w:hAnsi="Times New Roman" w:eastAsia="宋体" w:cs="Times New Roman"/>
                      <w:b/>
                      <w:szCs w:val="21"/>
                    </w:rPr>
                    <w:t>）</w:t>
                  </w:r>
                </w:p>
              </w:tc>
              <w:tc>
                <w:tcPr>
                  <w:tcW w:w="1303" w:type="dxa"/>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T（h）</w:t>
                  </w:r>
                </w:p>
              </w:tc>
              <w:tc>
                <w:tcPr>
                  <w:tcW w:w="1261" w:type="dxa"/>
                  <w:tcBorders>
                    <w:tl2br w:val="nil"/>
                    <w:tr2bl w:val="nil"/>
                  </w:tcBorders>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M（t/a）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DA001</w:t>
                  </w:r>
                </w:p>
              </w:tc>
              <w:tc>
                <w:tcPr>
                  <w:tcW w:w="1316" w:type="dxa"/>
                  <w:tcBorders>
                    <w:tl2br w:val="nil"/>
                    <w:tr2bl w:val="nil"/>
                  </w:tcBorders>
                  <w:vAlign w:val="center"/>
                </w:tcPr>
                <w:p>
                  <w:pPr>
                    <w:pStyle w:val="103"/>
                    <w:rPr>
                      <w:rFonts w:hint="default" w:ascii="Times New Roman" w:hAnsi="Times New Roman" w:eastAsia="宋体" w:cs="Times New Roman"/>
                      <w:bCs/>
                      <w:lang w:eastAsia="zh-CN"/>
                    </w:rPr>
                  </w:pPr>
                  <w:r>
                    <w:rPr>
                      <w:rFonts w:hint="default" w:ascii="Times New Roman" w:hAnsi="Times New Roman" w:cs="Times New Roman"/>
                      <w:bCs/>
                      <w:lang w:val="en-US" w:eastAsia="zh-CN"/>
                    </w:rPr>
                    <w:t>非甲烷总烃</w:t>
                  </w: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15000</w:t>
                  </w:r>
                </w:p>
              </w:tc>
              <w:tc>
                <w:tcPr>
                  <w:tcW w:w="1368"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60</w:t>
                  </w:r>
                </w:p>
              </w:tc>
              <w:tc>
                <w:tcPr>
                  <w:tcW w:w="1303"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250</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default" w:ascii="Times New Roman" w:hAnsi="Times New Roman" w:cs="Times New Roman"/>
                      <w:color w:val="000000"/>
                      <w:kern w:val="0"/>
                      <w:szCs w:val="21"/>
                      <w:lang w:val="en-US" w:eastAsia="zh-CN" w:bidi="ar"/>
                    </w:rPr>
                    <w:t>0.225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 w:hRule="atLeast"/>
                <w:jc w:val="center"/>
              </w:trPr>
              <w:tc>
                <w:tcPr>
                  <w:tcW w:w="1316" w:type="dxa"/>
                  <w:vMerge w:val="restart"/>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DA002</w:t>
                  </w:r>
                </w:p>
              </w:tc>
              <w:tc>
                <w:tcPr>
                  <w:tcW w:w="1316" w:type="dxa"/>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甲醛</w:t>
                  </w:r>
                </w:p>
              </w:tc>
              <w:tc>
                <w:tcPr>
                  <w:tcW w:w="1368" w:type="dxa"/>
                  <w:vMerge w:val="restart"/>
                  <w:tcBorders>
                    <w:tl2br w:val="nil"/>
                    <w:tr2bl w:val="nil"/>
                  </w:tcBorders>
                  <w:vAlign w:val="center"/>
                </w:tcPr>
                <w:p>
                  <w:pPr>
                    <w:jc w:val="center"/>
                    <w:textAlignment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18000</w:t>
                  </w: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5</w:t>
                  </w:r>
                </w:p>
              </w:tc>
              <w:tc>
                <w:tcPr>
                  <w:tcW w:w="1303"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300</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0.027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lang w:val="en-US" w:eastAsia="zh-CN"/>
                    </w:rPr>
                    <w:t>酚类</w:t>
                  </w:r>
                </w:p>
              </w:tc>
              <w:tc>
                <w:tcPr>
                  <w:tcW w:w="1368" w:type="dxa"/>
                  <w:vMerge w:val="continue"/>
                  <w:tcBorders>
                    <w:tl2br w:val="nil"/>
                    <w:tr2bl w:val="nil"/>
                  </w:tcBorders>
                  <w:vAlign w:val="center"/>
                </w:tcPr>
                <w:p>
                  <w:pPr>
                    <w:jc w:val="center"/>
                    <w:textAlignment w:val="center"/>
                    <w:rPr>
                      <w:rFonts w:hint="default" w:ascii="Times New Roman" w:hAnsi="Times New Roman" w:eastAsia="宋体" w:cs="Times New Roman"/>
                      <w:bCs/>
                      <w:szCs w:val="21"/>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20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0.108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三乙胺</w:t>
                  </w:r>
                </w:p>
              </w:tc>
              <w:tc>
                <w:tcPr>
                  <w:tcW w:w="1368" w:type="dxa"/>
                  <w:vMerge w:val="continue"/>
                  <w:tcBorders>
                    <w:tl2br w:val="nil"/>
                    <w:tr2bl w:val="nil"/>
                  </w:tcBorders>
                  <w:vAlign w:val="center"/>
                </w:tcPr>
                <w:p>
                  <w:pPr>
                    <w:jc w:val="center"/>
                    <w:textAlignment w:val="center"/>
                    <w:rPr>
                      <w:rFonts w:hint="default" w:ascii="Times New Roman" w:hAnsi="Times New Roman" w:eastAsia="宋体" w:cs="Times New Roman"/>
                      <w:bCs/>
                      <w:szCs w:val="21"/>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10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eastAsia" w:cs="Times New Roman"/>
                      <w:color w:val="000000"/>
                      <w:kern w:val="0"/>
                      <w:szCs w:val="21"/>
                      <w:lang w:val="en-US" w:eastAsia="zh-CN" w:bidi="ar"/>
                    </w:rPr>
                    <w:t>0.054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颗粒物</w:t>
                  </w:r>
                </w:p>
              </w:tc>
              <w:tc>
                <w:tcPr>
                  <w:tcW w:w="1368"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20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eastAsia" w:cs="Times New Roman"/>
                      <w:bCs/>
                      <w:szCs w:val="21"/>
                      <w:lang w:val="en-US" w:eastAsia="zh-CN"/>
                    </w:rPr>
                    <w:t>0.108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restart"/>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DA003</w:t>
                  </w:r>
                </w:p>
              </w:tc>
              <w:tc>
                <w:tcPr>
                  <w:tcW w:w="1316" w:type="dxa"/>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cs="Times New Roman"/>
                      <w:lang w:val="en-US" w:eastAsia="zh-CN"/>
                    </w:rPr>
                    <w:t>非甲烷总烃</w:t>
                  </w:r>
                </w:p>
              </w:tc>
              <w:tc>
                <w:tcPr>
                  <w:tcW w:w="1368"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15000</w:t>
                  </w: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50</w:t>
                  </w:r>
                </w:p>
              </w:tc>
              <w:tc>
                <w:tcPr>
                  <w:tcW w:w="1303"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2400</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cs="Times New Roman"/>
                      <w:lang w:val="en-US" w:eastAsia="zh-CN"/>
                    </w:rPr>
                    <w:t>苯系物</w:t>
                  </w:r>
                </w:p>
              </w:tc>
              <w:tc>
                <w:tcPr>
                  <w:tcW w:w="1368" w:type="dxa"/>
                  <w:vMerge w:val="continue"/>
                  <w:tcBorders>
                    <w:tl2br w:val="nil"/>
                    <w:tr2bl w:val="nil"/>
                  </w:tcBorders>
                  <w:vAlign w:val="center"/>
                </w:tcPr>
                <w:p>
                  <w:pPr>
                    <w:jc w:val="center"/>
                    <w:rPr>
                      <w:rFonts w:hint="default" w:ascii="Times New Roman" w:hAnsi="Times New Roman" w:eastAsia="宋体" w:cs="Times New Roman"/>
                      <w:bCs/>
                      <w:szCs w:val="21"/>
                      <w:lang w:val="en-US" w:eastAsia="zh-CN"/>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20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lang w:val="en-US" w:eastAsia="zh-CN"/>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0.72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restart"/>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DA004</w:t>
                  </w: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颗粒物</w:t>
                  </w:r>
                </w:p>
              </w:tc>
              <w:tc>
                <w:tcPr>
                  <w:tcW w:w="1368" w:type="dxa"/>
                  <w:vMerge w:val="restart"/>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12000</w:t>
                  </w: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kern w:val="2"/>
                      <w:szCs w:val="21"/>
                    </w:rPr>
                  </w:pPr>
                  <w:r>
                    <w:rPr>
                      <w:rFonts w:hint="default" w:ascii="Times New Roman" w:hAnsi="Times New Roman" w:eastAsia="宋体" w:cs="Times New Roman"/>
                      <w:bCs/>
                      <w:kern w:val="2"/>
                      <w:szCs w:val="21"/>
                    </w:rPr>
                    <w:t>10</w:t>
                  </w:r>
                </w:p>
              </w:tc>
              <w:tc>
                <w:tcPr>
                  <w:tcW w:w="1303"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1096</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default" w:ascii="Times New Roman" w:hAnsi="Times New Roman" w:cs="Times New Roman"/>
                      <w:color w:val="000000"/>
                      <w:kern w:val="0"/>
                      <w:szCs w:val="21"/>
                      <w:lang w:val="en-US" w:eastAsia="zh-CN" w:bidi="ar"/>
                    </w:rPr>
                    <w:t>0.13152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cs="Times New Roman"/>
                      <w:lang w:val="en-US" w:eastAsia="zh-CN"/>
                    </w:rPr>
                    <w:t>非甲烷总烃</w:t>
                  </w:r>
                </w:p>
              </w:tc>
              <w:tc>
                <w:tcPr>
                  <w:tcW w:w="1368" w:type="dxa"/>
                  <w:vMerge w:val="continue"/>
                  <w:tcBorders>
                    <w:tl2br w:val="nil"/>
                    <w:tr2bl w:val="nil"/>
                  </w:tcBorders>
                  <w:vAlign w:val="center"/>
                </w:tcPr>
                <w:p>
                  <w:pPr>
                    <w:jc w:val="center"/>
                    <w:textAlignment w:val="center"/>
                    <w:rPr>
                      <w:rFonts w:hint="default" w:ascii="Times New Roman" w:hAnsi="Times New Roman" w:eastAsia="宋体" w:cs="Times New Roman"/>
                      <w:bCs/>
                      <w:szCs w:val="21"/>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kern w:val="2"/>
                      <w:szCs w:val="21"/>
                      <w:lang w:val="en-US" w:eastAsia="zh-CN"/>
                    </w:rPr>
                  </w:pPr>
                  <w:r>
                    <w:rPr>
                      <w:rFonts w:hint="default" w:ascii="Times New Roman" w:hAnsi="Times New Roman" w:cs="Times New Roman"/>
                      <w:bCs/>
                      <w:kern w:val="2"/>
                      <w:szCs w:val="21"/>
                      <w:lang w:val="en-US" w:eastAsia="zh-CN"/>
                    </w:rPr>
                    <w:t>50</w:t>
                  </w:r>
                </w:p>
              </w:tc>
              <w:tc>
                <w:tcPr>
                  <w:tcW w:w="1303"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2296</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1.3776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cs="Times New Roman"/>
                      <w:lang w:val="en-US" w:eastAsia="zh-CN"/>
                    </w:rPr>
                    <w:t>二甲苯</w:t>
                  </w:r>
                </w:p>
              </w:tc>
              <w:tc>
                <w:tcPr>
                  <w:tcW w:w="1368" w:type="dxa"/>
                  <w:vMerge w:val="continue"/>
                  <w:tcBorders>
                    <w:tl2br w:val="nil"/>
                    <w:tr2bl w:val="nil"/>
                  </w:tcBorders>
                  <w:vAlign w:val="center"/>
                </w:tcPr>
                <w:p>
                  <w:pPr>
                    <w:jc w:val="center"/>
                    <w:textAlignment w:val="center"/>
                    <w:rPr>
                      <w:rFonts w:hint="default" w:ascii="Times New Roman" w:hAnsi="Times New Roman" w:eastAsia="宋体" w:cs="Times New Roman"/>
                      <w:bCs/>
                      <w:szCs w:val="21"/>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kern w:val="2"/>
                      <w:szCs w:val="21"/>
                      <w:lang w:val="en-US" w:eastAsia="zh-CN"/>
                    </w:rPr>
                  </w:pPr>
                  <w:r>
                    <w:rPr>
                      <w:rFonts w:hint="default" w:ascii="Times New Roman" w:hAnsi="Times New Roman" w:cs="Times New Roman"/>
                      <w:bCs/>
                      <w:kern w:val="2"/>
                      <w:szCs w:val="21"/>
                      <w:lang w:val="en-US" w:eastAsia="zh-CN"/>
                    </w:rPr>
                    <w:t>10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0.27552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苯系物</w:t>
                  </w:r>
                </w:p>
              </w:tc>
              <w:tc>
                <w:tcPr>
                  <w:tcW w:w="1368"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kern w:val="2"/>
                      <w:szCs w:val="21"/>
                      <w:lang w:val="en-US" w:eastAsia="zh-CN"/>
                    </w:rPr>
                  </w:pPr>
                  <w:r>
                    <w:rPr>
                      <w:rFonts w:hint="default" w:ascii="Times New Roman" w:hAnsi="Times New Roman" w:cs="Times New Roman"/>
                      <w:bCs/>
                      <w:kern w:val="2"/>
                      <w:szCs w:val="21"/>
                      <w:lang w:val="en-US" w:eastAsia="zh-CN"/>
                    </w:rPr>
                    <w:t>20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default" w:ascii="Times New Roman" w:hAnsi="Times New Roman" w:cs="Times New Roman"/>
                      <w:color w:val="000000"/>
                      <w:kern w:val="0"/>
                      <w:szCs w:val="21"/>
                      <w:lang w:val="en-US" w:eastAsia="zh-CN" w:bidi="ar"/>
                    </w:rPr>
                    <w:t>0.55104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316"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DA005</w:t>
                  </w: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颗粒物</w:t>
                  </w: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6000</w:t>
                  </w: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szCs w:val="21"/>
                    </w:rPr>
                  </w:pPr>
                  <w:r>
                    <w:rPr>
                      <w:rFonts w:hint="default" w:ascii="Times New Roman" w:hAnsi="Times New Roman" w:eastAsia="宋体" w:cs="Times New Roman"/>
                      <w:bCs/>
                      <w:szCs w:val="21"/>
                    </w:rPr>
                    <w:t>20</w:t>
                  </w:r>
                </w:p>
              </w:tc>
              <w:tc>
                <w:tcPr>
                  <w:tcW w:w="1303"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2400</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color w:val="000000"/>
                      <w:kern w:val="0"/>
                      <w:szCs w:val="21"/>
                      <w:lang w:bidi="ar"/>
                    </w:rPr>
                    <w:t>0.288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316"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DA006</w:t>
                  </w: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颗粒物</w:t>
                  </w: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1</w:t>
                  </w:r>
                  <w:r>
                    <w:rPr>
                      <w:rFonts w:hint="default" w:ascii="Times New Roman" w:hAnsi="Times New Roman" w:eastAsia="宋体" w:cs="Times New Roman"/>
                      <w:bCs/>
                      <w:szCs w:val="21"/>
                      <w:lang w:val="en-US" w:eastAsia="zh-CN"/>
                    </w:rPr>
                    <w:t>4</w:t>
                  </w:r>
                  <w:r>
                    <w:rPr>
                      <w:rFonts w:hint="default" w:ascii="Times New Roman" w:hAnsi="Times New Roman" w:eastAsia="宋体" w:cs="Times New Roman"/>
                      <w:bCs/>
                      <w:szCs w:val="21"/>
                    </w:rPr>
                    <w:t>000</w:t>
                  </w: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kern w:val="2"/>
                      <w:szCs w:val="21"/>
                    </w:rPr>
                  </w:pPr>
                  <w:r>
                    <w:rPr>
                      <w:rFonts w:hint="default" w:ascii="Times New Roman" w:hAnsi="Times New Roman" w:eastAsia="宋体" w:cs="Times New Roman"/>
                      <w:bCs/>
                      <w:kern w:val="2"/>
                      <w:szCs w:val="21"/>
                    </w:rPr>
                    <w:t>10</w:t>
                  </w:r>
                </w:p>
              </w:tc>
              <w:tc>
                <w:tcPr>
                  <w:tcW w:w="1303"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1956</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default" w:ascii="Times New Roman" w:hAnsi="Times New Roman" w:cs="Times New Roman"/>
                      <w:color w:val="000000"/>
                      <w:kern w:val="0"/>
                      <w:szCs w:val="21"/>
                      <w:lang w:val="en-US" w:eastAsia="zh-CN" w:bidi="ar"/>
                    </w:rPr>
                    <w:t>0.27384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1" w:hRule="atLeast"/>
                <w:jc w:val="center"/>
              </w:trPr>
              <w:tc>
                <w:tcPr>
                  <w:tcW w:w="1316"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DA007</w:t>
                  </w: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非甲烷总烃</w:t>
                  </w: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3000</w:t>
                  </w:r>
                </w:p>
              </w:tc>
              <w:tc>
                <w:tcPr>
                  <w:tcW w:w="1368" w:type="dxa"/>
                  <w:tcBorders>
                    <w:tl2br w:val="nil"/>
                    <w:tr2bl w:val="nil"/>
                  </w:tcBorders>
                  <w:vAlign w:val="center"/>
                </w:tcPr>
                <w:p>
                  <w:pPr>
                    <w:pStyle w:val="55"/>
                    <w:widowControl/>
                    <w:spacing w:before="24" w:after="24" w:line="240" w:lineRule="auto"/>
                    <w:ind w:firstLine="0" w:firstLineChars="0"/>
                    <w:rPr>
                      <w:rFonts w:hint="default" w:ascii="Times New Roman" w:hAnsi="Times New Roman" w:eastAsia="宋体" w:cs="Times New Roman"/>
                      <w:bCs/>
                      <w:kern w:val="2"/>
                      <w:szCs w:val="21"/>
                    </w:rPr>
                  </w:pPr>
                  <w:r>
                    <w:rPr>
                      <w:rFonts w:hint="default" w:ascii="Times New Roman" w:hAnsi="Times New Roman" w:eastAsia="宋体" w:cs="Times New Roman"/>
                      <w:bCs/>
                      <w:kern w:val="2"/>
                      <w:szCs w:val="21"/>
                    </w:rPr>
                    <w:t>50</w:t>
                  </w:r>
                </w:p>
              </w:tc>
              <w:tc>
                <w:tcPr>
                  <w:tcW w:w="1303" w:type="dxa"/>
                  <w:tcBorders>
                    <w:tl2br w:val="nil"/>
                    <w:tr2bl w:val="nil"/>
                  </w:tcBorders>
                  <w:vAlign w:val="center"/>
                </w:tcPr>
                <w:p>
                  <w:pPr>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1111</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color w:val="000000"/>
                      <w:kern w:val="0"/>
                      <w:szCs w:val="21"/>
                      <w:lang w:bidi="ar"/>
                    </w:rPr>
                    <w:t>0.</w:t>
                  </w:r>
                  <w:r>
                    <w:rPr>
                      <w:rFonts w:hint="default" w:ascii="Times New Roman" w:hAnsi="Times New Roman" w:eastAsia="宋体" w:cs="Times New Roman"/>
                      <w:color w:val="000000"/>
                      <w:kern w:val="0"/>
                      <w:szCs w:val="21"/>
                      <w:lang w:val="en-US" w:eastAsia="zh-CN" w:bidi="ar"/>
                    </w:rPr>
                    <w:t>1667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1316"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DA008</w:t>
                  </w: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颗粒物</w:t>
                  </w:r>
                </w:p>
              </w:tc>
              <w:tc>
                <w:tcPr>
                  <w:tcW w:w="1368" w:type="dxa"/>
                  <w:vMerge w:val="restart"/>
                  <w:tcBorders>
                    <w:tl2br w:val="nil"/>
                    <w:tr2bl w:val="nil"/>
                  </w:tcBorders>
                  <w:vAlign w:val="center"/>
                </w:tcPr>
                <w:p>
                  <w:pPr>
                    <w:jc w:val="center"/>
                    <w:textAlignment w:val="center"/>
                    <w:rPr>
                      <w:rFonts w:hint="default" w:ascii="Times New Roman" w:hAnsi="Times New Roman" w:eastAsia="宋体" w:cs="Times New Roman"/>
                      <w:bCs/>
                      <w:szCs w:val="21"/>
                      <w:lang w:val="en-US" w:eastAsia="zh-CN"/>
                    </w:rPr>
                  </w:pPr>
                  <w:r>
                    <w:rPr>
                      <w:rFonts w:hint="eastAsia" w:cs="Times New Roman"/>
                      <w:bCs/>
                      <w:szCs w:val="21"/>
                      <w:lang w:val="en-US" w:eastAsia="zh-CN"/>
                    </w:rPr>
                    <w:t>2873.41</w:t>
                  </w: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10</w:t>
                  </w:r>
                </w:p>
              </w:tc>
              <w:tc>
                <w:tcPr>
                  <w:tcW w:w="1303"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300</w:t>
                  </w: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color w:val="000000"/>
                      <w:kern w:val="0"/>
                      <w:szCs w:val="21"/>
                      <w:lang w:bidi="ar"/>
                    </w:rPr>
                    <w:t>0.00</w:t>
                  </w:r>
                  <w:r>
                    <w:rPr>
                      <w:rFonts w:hint="default" w:ascii="Times New Roman" w:hAnsi="Times New Roman" w:eastAsia="宋体" w:cs="Times New Roman"/>
                      <w:color w:val="000000"/>
                      <w:kern w:val="0"/>
                      <w:szCs w:val="21"/>
                      <w:lang w:val="en-US" w:eastAsia="zh-CN" w:bidi="ar"/>
                    </w:rPr>
                    <w:t>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1368" w:type="dxa"/>
                  <w:vMerge w:val="continue"/>
                  <w:tcBorders>
                    <w:tl2br w:val="nil"/>
                    <w:tr2bl w:val="nil"/>
                  </w:tcBorders>
                  <w:vAlign w:val="center"/>
                </w:tcPr>
                <w:p>
                  <w:pPr>
                    <w:jc w:val="center"/>
                    <w:textAlignment w:val="center"/>
                    <w:rPr>
                      <w:rFonts w:hint="default" w:ascii="Times New Roman" w:hAnsi="Times New Roman" w:eastAsia="宋体" w:cs="Times New Roman"/>
                      <w:bCs/>
                      <w:szCs w:val="21"/>
                    </w:rPr>
                  </w:pP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35</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eastAsia="宋体" w:cs="Times New Roman"/>
                      <w:color w:val="000000"/>
                      <w:kern w:val="0"/>
                      <w:szCs w:val="21"/>
                      <w:lang w:bidi="ar"/>
                    </w:rPr>
                    <w:t>0.0</w:t>
                  </w:r>
                  <w:r>
                    <w:rPr>
                      <w:rFonts w:hint="default" w:ascii="Times New Roman" w:hAnsi="Times New Roman" w:eastAsia="宋体" w:cs="Times New Roman"/>
                      <w:color w:val="000000"/>
                      <w:kern w:val="0"/>
                      <w:szCs w:val="21"/>
                      <w:lang w:val="en-US" w:eastAsia="zh-CN" w:bidi="ar"/>
                    </w:rPr>
                    <w:t>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1316"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316" w:type="dxa"/>
                  <w:tcBorders>
                    <w:tl2br w:val="nil"/>
                    <w:tr2bl w:val="nil"/>
                  </w:tcBorders>
                  <w:vAlign w:val="center"/>
                </w:tcPr>
                <w:p>
                  <w:pPr>
                    <w:pStyle w:val="103"/>
                    <w:rPr>
                      <w:rFonts w:hint="default" w:ascii="Times New Roman" w:hAnsi="Times New Roman" w:eastAsia="宋体" w:cs="Times New Roman"/>
                      <w:bCs/>
                    </w:rPr>
                  </w:pPr>
                  <w:r>
                    <w:rPr>
                      <w:rFonts w:hint="default" w:ascii="Times New Roman" w:hAnsi="Times New Roman" w:eastAsia="宋体" w:cs="Times New Roman"/>
                    </w:rPr>
                    <w:t>NOx</w:t>
                  </w:r>
                </w:p>
              </w:tc>
              <w:tc>
                <w:tcPr>
                  <w:tcW w:w="1368" w:type="dxa"/>
                  <w:vMerge w:val="continue"/>
                  <w:tcBorders>
                    <w:tl2br w:val="nil"/>
                    <w:tr2bl w:val="nil"/>
                  </w:tcBorders>
                  <w:vAlign w:val="center"/>
                </w:tcPr>
                <w:p>
                  <w:pPr>
                    <w:jc w:val="center"/>
                    <w:textAlignment w:val="center"/>
                    <w:rPr>
                      <w:rFonts w:hint="default" w:ascii="Times New Roman" w:hAnsi="Times New Roman" w:eastAsia="宋体" w:cs="Times New Roman"/>
                      <w:bCs/>
                      <w:szCs w:val="21"/>
                    </w:rPr>
                  </w:pPr>
                </w:p>
              </w:tc>
              <w:tc>
                <w:tcPr>
                  <w:tcW w:w="1368" w:type="dxa"/>
                  <w:tcBorders>
                    <w:tl2br w:val="nil"/>
                    <w:tr2bl w:val="nil"/>
                  </w:tcBorders>
                  <w:vAlign w:val="center"/>
                </w:tcPr>
                <w:p>
                  <w:pPr>
                    <w:jc w:val="center"/>
                    <w:textAlignment w:val="center"/>
                    <w:rPr>
                      <w:rFonts w:hint="default" w:ascii="Times New Roman" w:hAnsi="Times New Roman" w:eastAsia="宋体" w:cs="Times New Roman"/>
                      <w:bCs/>
                      <w:szCs w:val="21"/>
                    </w:rPr>
                  </w:pPr>
                  <w:r>
                    <w:rPr>
                      <w:rFonts w:hint="default" w:ascii="Times New Roman" w:hAnsi="Times New Roman" w:eastAsia="宋体" w:cs="Times New Roman"/>
                      <w:bCs/>
                      <w:szCs w:val="21"/>
                    </w:rPr>
                    <w:t>50</w:t>
                  </w:r>
                </w:p>
              </w:tc>
              <w:tc>
                <w:tcPr>
                  <w:tcW w:w="1303" w:type="dxa"/>
                  <w:vMerge w:val="continue"/>
                  <w:tcBorders>
                    <w:tl2br w:val="nil"/>
                    <w:tr2bl w:val="nil"/>
                  </w:tcBorders>
                  <w:vAlign w:val="center"/>
                </w:tcPr>
                <w:p>
                  <w:pPr>
                    <w:jc w:val="center"/>
                    <w:rPr>
                      <w:rFonts w:hint="default" w:ascii="Times New Roman" w:hAnsi="Times New Roman" w:eastAsia="宋体" w:cs="Times New Roman"/>
                      <w:bCs/>
                      <w:szCs w:val="21"/>
                    </w:rPr>
                  </w:pPr>
                </w:p>
              </w:tc>
              <w:tc>
                <w:tcPr>
                  <w:tcW w:w="1261"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eastAsia="宋体" w:cs="Times New Roman"/>
                      <w:color w:val="000000"/>
                      <w:kern w:val="0"/>
                      <w:szCs w:val="21"/>
                      <w:lang w:bidi="ar"/>
                    </w:rPr>
                    <w:t>0.0</w:t>
                  </w:r>
                  <w:r>
                    <w:rPr>
                      <w:rFonts w:hint="default" w:ascii="Times New Roman" w:hAnsi="Times New Roman" w:eastAsia="宋体" w:cs="Times New Roman"/>
                      <w:color w:val="000000"/>
                      <w:kern w:val="0"/>
                      <w:szCs w:val="21"/>
                      <w:lang w:val="en-US" w:eastAsia="zh-CN" w:bidi="ar"/>
                    </w:rPr>
                    <w:t>431</w:t>
                  </w:r>
                </w:p>
              </w:tc>
            </w:tr>
          </w:tbl>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（2）无组织废气排放量核算</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对照《排污许可证申请与核发技术规范 铁路、船舶、航空航天和其他运输设备制造业》（HJ1124-2020）、《排污许可证申请与核发技术规范 金属铸造工业》（HJ1115-2020）、《排污许可证申请与核发技术规范 橡胶和塑料制品工业》（HJ1122-2020）、《排污许可证申请与核发技术规范 锅炉》（HJ953-2018）、《排污许可证申请与核发技术规范 总则》（HJ942-2018），均无无组织废气核算方法，因此直接选取环评量。</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（3）废水排放量核算</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对照《排污许可证申请与核发技术规范 铁路、船舶、航空航天和其他运输设备制造业》（HJ1124-2020），“单独排入市政污水处理厂的生活污水仅说明排放去向，不许可排放浓度和排放量”，故此处直接取环评值。</w:t>
            </w:r>
          </w:p>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4、本项目环评总量确定</w:t>
            </w:r>
          </w:p>
          <w:p>
            <w:pPr>
              <w:autoSpaceDE w:val="0"/>
              <w:autoSpaceDN w:val="0"/>
              <w:adjustRightInd w:val="0"/>
              <w:snapToGrid w:val="0"/>
              <w:spacing w:line="360" w:lineRule="auto"/>
              <w:ind w:firstLine="480" w:firstLineChars="200"/>
            </w:pPr>
            <w:r>
              <w:rPr>
                <w:rFonts w:hint="eastAsia"/>
                <w:sz w:val="24"/>
                <w:szCs w:val="24"/>
              </w:rPr>
              <w:t>根据关于印发《关于做好建设项目挥发性有机物排放管理工作的意见（试行）》的通知（通环办〔2025〕32号），“排污单位需交易获得的排污总量指标，以及排污许可证核增的许可排放量，应与环评批复的新增排污总量（包括有组织、无组织）保持一致。环境影响报告书（表）编制时，应按照相关规定选择适用可行的核算方法确定建设项目污染物排放量，且不得大于对应行业《排污许可申请与核发技术规范》中规定方法所测算的污染物排放量。环境影响报告书（表）中，污染源源强核算（主要环境影响和保护措施）章节对污染物排放量的分析，应根据《排污许可申请与核发技术规范》分别明确主要排放口、一般排放口排放量，区分有组织排放及无组织排放。”</w:t>
            </w:r>
          </w:p>
          <w:p>
            <w:pPr>
              <w:autoSpaceDE w:val="0"/>
              <w:autoSpaceDN w:val="0"/>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按照关于印发《关于进一步优化建设项目排污总量指标管理提升环评审批效能的意见（试行）》的通知中“环境影响报告书（表）编制时，应按照相关规定选择适用可行的核算方法确定建设项目污染物排放量，且不得大于对应行业《排污许可证申请与核发技术规范》中规定方法所测算的污染物排放量”，根据上述两种计算方式取严，确定我公司总量申报，结果如下表：</w:t>
            </w:r>
          </w:p>
          <w:p>
            <w:pPr>
              <w:tabs>
                <w:tab w:val="center" w:pos="4574"/>
              </w:tabs>
              <w:jc w:val="center"/>
              <w:rPr>
                <w:rFonts w:hint="default" w:ascii="Times New Roman" w:hAnsi="Times New Roman" w:eastAsia="宋体" w:cs="Times New Roman"/>
                <w:b/>
                <w:sz w:val="24"/>
              </w:rPr>
            </w:pPr>
            <w:r>
              <w:rPr>
                <w:rFonts w:hint="default" w:ascii="Times New Roman" w:hAnsi="Times New Roman" w:eastAsia="宋体" w:cs="Times New Roman"/>
                <w:b/>
                <w:sz w:val="24"/>
              </w:rPr>
              <w:t>表3-15  本项目全厂主要污染物申报总量核算统计（t/a）</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94"/>
              <w:gridCol w:w="834"/>
              <w:gridCol w:w="835"/>
              <w:gridCol w:w="1298"/>
              <w:gridCol w:w="1999"/>
              <w:gridCol w:w="1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污染物类型</w:t>
                  </w:r>
                </w:p>
              </w:tc>
              <w:tc>
                <w:tcPr>
                  <w:tcW w:w="1052" w:type="pct"/>
                  <w:gridSpan w:val="2"/>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污染物</w:t>
                  </w:r>
                </w:p>
              </w:tc>
              <w:tc>
                <w:tcPr>
                  <w:tcW w:w="818"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环评核算量（外排量）</w:t>
                  </w:r>
                </w:p>
              </w:tc>
              <w:tc>
                <w:tcPr>
                  <w:tcW w:w="126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技术规范核算量（外排量）</w:t>
                  </w:r>
                </w:p>
              </w:tc>
              <w:tc>
                <w:tcPr>
                  <w:tcW w:w="1053"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申报总量（外排量）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szCs w:val="21"/>
                    </w:rPr>
                    <w:t>DA001</w:t>
                  </w:r>
                </w:p>
              </w:tc>
              <w:tc>
                <w:tcPr>
                  <w:tcW w:w="1052" w:type="pct"/>
                  <w:gridSpan w:val="2"/>
                  <w:tcBorders>
                    <w:tl2br w:val="nil"/>
                    <w:tr2bl w:val="nil"/>
                  </w:tcBorders>
                  <w:vAlign w:val="center"/>
                </w:tcPr>
                <w:p>
                  <w:pPr>
                    <w:pStyle w:val="103"/>
                    <w:rPr>
                      <w:rFonts w:hint="default" w:ascii="Times New Roman" w:hAnsi="Times New Roman" w:eastAsia="宋体" w:cs="Times New Roman"/>
                      <w:lang w:eastAsia="zh-CN"/>
                    </w:rPr>
                  </w:pPr>
                  <w:r>
                    <w:rPr>
                      <w:rFonts w:hint="default" w:ascii="Times New Roman" w:hAnsi="Times New Roman" w:cs="Times New Roman"/>
                      <w:bCs/>
                      <w:lang w:val="en-US" w:eastAsia="zh-CN"/>
                    </w:rPr>
                    <w:t>非甲烷总烃</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0.003</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cs="Times New Roman"/>
                      <w:color w:val="000000"/>
                      <w:kern w:val="0"/>
                      <w:szCs w:val="21"/>
                      <w:lang w:val="en-US" w:eastAsia="zh-CN" w:bidi="ar"/>
                    </w:rPr>
                    <w:t>0.225</w:t>
                  </w:r>
                </w:p>
              </w:tc>
              <w:tc>
                <w:tcPr>
                  <w:tcW w:w="1053" w:type="pct"/>
                  <w:tcBorders>
                    <w:tl2br w:val="nil"/>
                    <w:tr2bl w:val="nil"/>
                  </w:tcBorders>
                  <w:vAlign w:val="center"/>
                </w:tcPr>
                <w:p>
                  <w:pPr>
                    <w:pStyle w:val="13"/>
                    <w:jc w:val="center"/>
                    <w:rPr>
                      <w:rFonts w:hint="default" w:ascii="Times New Roman" w:hAnsi="Times New Roman" w:eastAsia="宋体" w:cs="Times New Roman"/>
                      <w:b/>
                      <w:bCs/>
                      <w:szCs w:val="21"/>
                      <w:lang w:val="en-US"/>
                    </w:rPr>
                  </w:pPr>
                  <w:r>
                    <w:rPr>
                      <w:rFonts w:hint="default" w:ascii="Times New Roman" w:hAnsi="Times New Roman" w:eastAsia="宋体" w:cs="Times New Roman"/>
                      <w:szCs w:val="21"/>
                      <w:lang w:val="en-US" w:eastAsia="zh-CN"/>
                    </w:rPr>
                    <w:t>0.0</w:t>
                  </w:r>
                  <w:r>
                    <w:rPr>
                      <w:rFonts w:hint="eastAsia" w:ascii="Times New Roman" w:hAnsi="Times New Roman" w:cs="Times New Roman"/>
                      <w:szCs w:val="21"/>
                      <w:lang w:val="en-US" w:eastAsia="zh-C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DA002</w:t>
                  </w: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lang w:val="en-US" w:eastAsia="zh-CN"/>
                    </w:rPr>
                    <w:t>甲醛</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0.0003</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lang w:val="en-US"/>
                    </w:rPr>
                  </w:pPr>
                  <w:r>
                    <w:rPr>
                      <w:rFonts w:hint="default" w:ascii="Times New Roman" w:hAnsi="Times New Roman" w:eastAsia="宋体" w:cs="Times New Roman"/>
                      <w:color w:val="000000"/>
                      <w:kern w:val="0"/>
                      <w:szCs w:val="21"/>
                      <w:lang w:val="en-US" w:eastAsia="zh-CN" w:bidi="ar"/>
                    </w:rPr>
                    <w:t>0.0</w:t>
                  </w:r>
                  <w:r>
                    <w:rPr>
                      <w:rFonts w:hint="eastAsia" w:cs="Times New Roman"/>
                      <w:color w:val="000000"/>
                      <w:kern w:val="0"/>
                      <w:szCs w:val="21"/>
                      <w:lang w:val="en-US" w:eastAsia="zh-CN" w:bidi="ar"/>
                    </w:rPr>
                    <w:t>27</w:t>
                  </w:r>
                </w:p>
              </w:tc>
              <w:tc>
                <w:tcPr>
                  <w:tcW w:w="1053" w:type="pct"/>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lang w:val="en-US" w:eastAsia="zh-CN"/>
                    </w:rPr>
                    <w:t>酚类</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0.0015</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lang w:val="en-US"/>
                    </w:rPr>
                  </w:pPr>
                  <w:r>
                    <w:rPr>
                      <w:rFonts w:hint="default" w:ascii="Times New Roman" w:hAnsi="Times New Roman" w:eastAsia="宋体" w:cs="Times New Roman"/>
                      <w:color w:val="000000"/>
                      <w:kern w:val="0"/>
                      <w:szCs w:val="21"/>
                      <w:lang w:val="en-US" w:eastAsia="zh-CN" w:bidi="ar"/>
                    </w:rPr>
                    <w:t>0.</w:t>
                  </w:r>
                  <w:r>
                    <w:rPr>
                      <w:rFonts w:hint="eastAsia" w:cs="Times New Roman"/>
                      <w:color w:val="000000"/>
                      <w:kern w:val="0"/>
                      <w:szCs w:val="21"/>
                      <w:lang w:val="en-US" w:eastAsia="zh-CN" w:bidi="ar"/>
                    </w:rPr>
                    <w:t>108</w:t>
                  </w:r>
                </w:p>
              </w:tc>
              <w:tc>
                <w:tcPr>
                  <w:tcW w:w="1053" w:type="pct"/>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三乙胺</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0.0007</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kern w:val="0"/>
                      <w:szCs w:val="21"/>
                      <w:lang w:bidi="ar"/>
                    </w:rPr>
                    <w:t>0.</w:t>
                  </w:r>
                  <w:r>
                    <w:rPr>
                      <w:rFonts w:hint="eastAsia" w:cs="Times New Roman"/>
                      <w:color w:val="000000"/>
                      <w:kern w:val="0"/>
                      <w:szCs w:val="21"/>
                      <w:lang w:val="en-US" w:eastAsia="zh-CN" w:bidi="ar"/>
                    </w:rPr>
                    <w:t>054</w:t>
                  </w:r>
                </w:p>
              </w:tc>
              <w:tc>
                <w:tcPr>
                  <w:tcW w:w="1053" w:type="pct"/>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颗粒物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0.0098</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000000"/>
                      <w:kern w:val="0"/>
                      <w:szCs w:val="21"/>
                      <w:lang w:bidi="ar"/>
                    </w:rPr>
                    <w:t>0.</w:t>
                  </w:r>
                  <w:r>
                    <w:rPr>
                      <w:rFonts w:hint="eastAsia" w:cs="Times New Roman"/>
                      <w:color w:val="000000"/>
                      <w:kern w:val="0"/>
                      <w:szCs w:val="21"/>
                      <w:lang w:val="en-US" w:eastAsia="zh-CN" w:bidi="ar"/>
                    </w:rPr>
                    <w:t>108</w:t>
                  </w:r>
                </w:p>
              </w:tc>
              <w:tc>
                <w:tcPr>
                  <w:tcW w:w="1053" w:type="pct"/>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DA003</w:t>
                  </w:r>
                </w:p>
              </w:tc>
              <w:tc>
                <w:tcPr>
                  <w:tcW w:w="1052" w:type="pct"/>
                  <w:gridSpan w:val="2"/>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cs="Times New Roman"/>
                      <w:lang w:val="en-US" w:eastAsia="zh-CN"/>
                    </w:rPr>
                    <w:t>非甲烷总烃</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0.0232</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val="en-US" w:eastAsia="zh-CN" w:bidi="ar"/>
                    </w:rPr>
                    <w:t>1.8</w:t>
                  </w:r>
                </w:p>
              </w:tc>
              <w:tc>
                <w:tcPr>
                  <w:tcW w:w="1053" w:type="pct"/>
                  <w:tcBorders>
                    <w:tl2br w:val="nil"/>
                    <w:tr2bl w:val="nil"/>
                  </w:tcBorders>
                  <w:vAlign w:val="center"/>
                </w:tcPr>
                <w:p>
                  <w:pPr>
                    <w:pStyle w:val="13"/>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0.0232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tcBorders>
                    <w:tl2br w:val="nil"/>
                    <w:tr2bl w:val="nil"/>
                  </w:tcBorders>
                  <w:vAlign w:val="center"/>
                </w:tcPr>
                <w:p>
                  <w:pPr>
                    <w:pStyle w:val="103"/>
                    <w:rPr>
                      <w:rFonts w:hint="default" w:ascii="Times New Roman" w:hAnsi="Times New Roman" w:cs="Times New Roman"/>
                      <w:lang w:val="en-US" w:eastAsia="zh-CN"/>
                    </w:rPr>
                  </w:pPr>
                  <w:r>
                    <w:rPr>
                      <w:rFonts w:hint="default" w:ascii="Times New Roman" w:hAnsi="Times New Roman" w:cs="Times New Roman"/>
                      <w:lang w:val="en-US" w:eastAsia="zh-CN"/>
                    </w:rPr>
                    <w:t>其中</w:t>
                  </w:r>
                </w:p>
              </w:tc>
              <w:tc>
                <w:tcPr>
                  <w:tcW w:w="526" w:type="pct"/>
                  <w:tcBorders>
                    <w:tl2br w:val="nil"/>
                    <w:tr2bl w:val="nil"/>
                  </w:tcBorders>
                  <w:vAlign w:val="center"/>
                </w:tcPr>
                <w:p>
                  <w:pPr>
                    <w:pStyle w:val="103"/>
                    <w:rPr>
                      <w:rFonts w:hint="default" w:ascii="Times New Roman" w:hAnsi="Times New Roman" w:cs="Times New Roman"/>
                      <w:lang w:val="en-US" w:eastAsia="zh-CN"/>
                    </w:rPr>
                  </w:pPr>
                  <w:r>
                    <w:rPr>
                      <w:rFonts w:hint="default" w:ascii="Times New Roman" w:hAnsi="Times New Roman" w:cs="Times New Roman"/>
                      <w:lang w:val="en-US" w:eastAsia="zh-CN"/>
                    </w:rPr>
                    <w:t>苯系物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0.0052</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0.72</w:t>
                  </w:r>
                </w:p>
              </w:tc>
              <w:tc>
                <w:tcPr>
                  <w:tcW w:w="1053"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DA004</w:t>
                  </w: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颗粒物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0.0094</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cs="Times New Roman"/>
                      <w:color w:val="000000"/>
                      <w:kern w:val="0"/>
                      <w:szCs w:val="21"/>
                      <w:lang w:val="en-US" w:eastAsia="zh-CN" w:bidi="ar"/>
                    </w:rPr>
                    <w:t>0.13152</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cs="Times New Roman"/>
                      <w:lang w:val="en-US" w:eastAsia="zh-CN"/>
                    </w:rPr>
                    <w:t>非甲烷总烃</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0.1854</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cs="Times New Roman"/>
                      <w:color w:val="000000"/>
                      <w:kern w:val="0"/>
                      <w:szCs w:val="21"/>
                      <w:lang w:val="en-US" w:eastAsia="zh-CN" w:bidi="ar"/>
                    </w:rPr>
                    <w:t>1.3776</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0.2187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vMerge w:val="restart"/>
                  <w:tcBorders>
                    <w:tl2br w:val="nil"/>
                    <w:tr2bl w:val="nil"/>
                  </w:tcBorders>
                  <w:vAlign w:val="center"/>
                </w:tcPr>
                <w:p>
                  <w:pPr>
                    <w:pStyle w:val="103"/>
                    <w:rPr>
                      <w:rFonts w:hint="default" w:ascii="Times New Roman" w:hAnsi="Times New Roman" w:eastAsia="宋体" w:cs="Times New Roman"/>
                      <w:lang w:val="en-US" w:eastAsia="zh-CN"/>
                    </w:rPr>
                  </w:pPr>
                  <w:r>
                    <w:rPr>
                      <w:rFonts w:hint="default" w:ascii="Times New Roman" w:hAnsi="Times New Roman" w:cs="Times New Roman"/>
                      <w:lang w:val="en-US" w:eastAsia="zh-CN"/>
                    </w:rPr>
                    <w:t>其中</w:t>
                  </w:r>
                </w:p>
              </w:tc>
              <w:tc>
                <w:tcPr>
                  <w:tcW w:w="526" w:type="pct"/>
                  <w:tcBorders>
                    <w:tl2br w:val="nil"/>
                    <w:tr2bl w:val="nil"/>
                  </w:tcBorders>
                  <w:vAlign w:val="center"/>
                </w:tcPr>
                <w:p>
                  <w:pPr>
                    <w:pStyle w:val="103"/>
                    <w:rPr>
                      <w:rFonts w:hint="default" w:ascii="Times New Roman" w:hAnsi="Times New Roman" w:cs="Times New Roman"/>
                      <w:lang w:val="en-US" w:eastAsia="zh-CN"/>
                    </w:rPr>
                  </w:pPr>
                  <w:r>
                    <w:rPr>
                      <w:rFonts w:hint="default" w:ascii="Times New Roman" w:hAnsi="Times New Roman" w:cs="Times New Roman"/>
                      <w:lang w:val="en-US" w:eastAsia="zh-CN"/>
                    </w:rPr>
                    <w:t>二甲苯</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0.0396</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cs="Times New Roman"/>
                      <w:color w:val="000000"/>
                      <w:kern w:val="0"/>
                      <w:szCs w:val="21"/>
                      <w:lang w:val="en-US" w:eastAsia="zh-CN" w:bidi="ar"/>
                    </w:rPr>
                    <w:t>0.27552</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vMerge w:val="continue"/>
                  <w:tcBorders>
                    <w:tl2br w:val="nil"/>
                    <w:tr2bl w:val="nil"/>
                  </w:tcBorders>
                  <w:vAlign w:val="center"/>
                </w:tcPr>
                <w:p>
                  <w:pPr>
                    <w:pStyle w:val="103"/>
                    <w:rPr>
                      <w:rFonts w:hint="default" w:ascii="Times New Roman" w:hAnsi="Times New Roman" w:eastAsia="宋体" w:cs="Times New Roman"/>
                    </w:rPr>
                  </w:pPr>
                </w:p>
              </w:tc>
              <w:tc>
                <w:tcPr>
                  <w:tcW w:w="526" w:type="pct"/>
                  <w:tcBorders>
                    <w:tl2br w:val="nil"/>
                    <w:tr2bl w:val="nil"/>
                  </w:tcBorders>
                  <w:vAlign w:val="center"/>
                </w:tcPr>
                <w:p>
                  <w:pPr>
                    <w:pStyle w:val="103"/>
                    <w:rPr>
                      <w:rFonts w:hint="default" w:ascii="Times New Roman" w:hAnsi="Times New Roman" w:cs="Times New Roman"/>
                      <w:bCs/>
                      <w:lang w:val="en-US" w:eastAsia="zh-CN"/>
                    </w:rPr>
                  </w:pPr>
                  <w:r>
                    <w:rPr>
                      <w:rFonts w:hint="default" w:ascii="Times New Roman" w:hAnsi="Times New Roman" w:cs="Times New Roman"/>
                      <w:bCs/>
                      <w:lang w:val="en-US" w:eastAsia="zh-CN"/>
                    </w:rPr>
                    <w:t>苯系物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0.0204</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cs="Times New Roman"/>
                      <w:color w:val="000000"/>
                      <w:kern w:val="0"/>
                      <w:szCs w:val="21"/>
                      <w:lang w:val="en-US" w:eastAsia="zh-CN" w:bidi="ar"/>
                    </w:rPr>
                    <w:t>0.55104</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DA005</w:t>
                  </w: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颗粒物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0.104</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0.288</w:t>
                  </w:r>
                </w:p>
              </w:tc>
              <w:tc>
                <w:tcPr>
                  <w:tcW w:w="1672" w:type="dxa"/>
                  <w:tcBorders>
                    <w:tl2br w:val="nil"/>
                    <w:tr2bl w:val="nil"/>
                  </w:tcBorders>
                  <w:vAlign w:val="center"/>
                </w:tcPr>
                <w:p>
                  <w:pPr>
                    <w:pStyle w:val="13"/>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0.104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DA006</w:t>
                  </w: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颗粒物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0.2676</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lang w:val="en-US"/>
                    </w:rPr>
                  </w:pPr>
                  <w:r>
                    <w:rPr>
                      <w:rFonts w:hint="default" w:ascii="Times New Roman" w:hAnsi="Times New Roman" w:cs="Times New Roman"/>
                      <w:color w:val="000000"/>
                      <w:kern w:val="0"/>
                      <w:szCs w:val="21"/>
                      <w:lang w:val="en-US" w:eastAsia="zh-CN" w:bidi="ar"/>
                    </w:rPr>
                    <w:t>0.27384</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eastAsia" w:ascii="Times New Roman" w:hAnsi="Times New Roman" w:cs="Times New Roman"/>
                      <w:szCs w:val="21"/>
                      <w:lang w:val="en-US" w:eastAsia="zh-CN"/>
                    </w:rPr>
                    <w:t>0.0268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DA007</w:t>
                  </w: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非甲烷总烃</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0.0015</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0.</w:t>
                  </w:r>
                  <w:r>
                    <w:rPr>
                      <w:rFonts w:hint="default" w:ascii="Times New Roman" w:hAnsi="Times New Roman" w:eastAsia="宋体" w:cs="Times New Roman"/>
                      <w:color w:val="000000"/>
                      <w:kern w:val="0"/>
                      <w:szCs w:val="21"/>
                      <w:lang w:val="en-US" w:eastAsia="zh-CN" w:bidi="ar"/>
                    </w:rPr>
                    <w:t>1667</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rPr>
                  </w:pPr>
                  <w:r>
                    <w:rPr>
                      <w:rFonts w:hint="default" w:ascii="Times New Roman" w:hAnsi="Times New Roman" w:cs="Times New Roman"/>
                      <w:szCs w:val="21"/>
                      <w:lang w:val="en-US" w:eastAsia="zh-CN"/>
                    </w:rPr>
                    <w:t>0.00</w:t>
                  </w:r>
                  <w:r>
                    <w:rPr>
                      <w:rFonts w:hint="eastAsia" w:ascii="Times New Roman" w:hAnsi="Times New Roman" w:cs="Times New Roman"/>
                      <w:szCs w:val="21"/>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DA008</w:t>
                  </w: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颗粒物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0.008</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0.00</w:t>
                  </w:r>
                  <w:r>
                    <w:rPr>
                      <w:rFonts w:hint="default" w:ascii="Times New Roman" w:hAnsi="Times New Roman" w:eastAsia="宋体" w:cs="Times New Roman"/>
                      <w:color w:val="000000"/>
                      <w:kern w:val="0"/>
                      <w:szCs w:val="21"/>
                      <w:lang w:val="en-US" w:eastAsia="zh-CN" w:bidi="ar"/>
                    </w:rPr>
                    <w:t>86</w:t>
                  </w:r>
                </w:p>
              </w:tc>
              <w:tc>
                <w:tcPr>
                  <w:tcW w:w="1672" w:type="dxa"/>
                  <w:tcBorders>
                    <w:tl2br w:val="nil"/>
                    <w:tr2bl w:val="nil"/>
                  </w:tcBorders>
                  <w:vAlign w:val="center"/>
                </w:tcPr>
                <w:p>
                  <w:pPr>
                    <w:pStyle w:val="13"/>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0.016</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0.0</w:t>
                  </w:r>
                  <w:r>
                    <w:rPr>
                      <w:rFonts w:hint="default" w:ascii="Times New Roman" w:hAnsi="Times New Roman" w:eastAsia="宋体" w:cs="Times New Roman"/>
                      <w:color w:val="000000"/>
                      <w:kern w:val="0"/>
                      <w:szCs w:val="21"/>
                      <w:lang w:val="en-US" w:eastAsia="zh-CN" w:bidi="ar"/>
                    </w:rPr>
                    <w:t>302</w:t>
                  </w:r>
                </w:p>
              </w:tc>
              <w:tc>
                <w:tcPr>
                  <w:tcW w:w="1672" w:type="dxa"/>
                  <w:tcBorders>
                    <w:tl2br w:val="nil"/>
                    <w:tr2bl w:val="nil"/>
                  </w:tcBorders>
                  <w:vAlign w:val="center"/>
                </w:tcPr>
                <w:p>
                  <w:pPr>
                    <w:pStyle w:val="13"/>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103"/>
                    <w:rPr>
                      <w:rFonts w:hint="default" w:ascii="Times New Roman" w:hAnsi="Times New Roman" w:eastAsia="宋体" w:cs="Times New Roman"/>
                    </w:rPr>
                  </w:pPr>
                  <w:r>
                    <w:rPr>
                      <w:rFonts w:hint="default" w:ascii="Times New Roman" w:hAnsi="Times New Roman" w:eastAsia="宋体" w:cs="Times New Roman"/>
                    </w:rPr>
                    <w:t>NOx</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0.0242</w:t>
                  </w:r>
                </w:p>
              </w:tc>
              <w:tc>
                <w:tcPr>
                  <w:tcW w:w="1260" w:type="pct"/>
                  <w:tcBorders>
                    <w:tl2br w:val="nil"/>
                    <w:tr2bl w:val="nil"/>
                  </w:tcBorders>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0.0</w:t>
                  </w:r>
                  <w:r>
                    <w:rPr>
                      <w:rFonts w:hint="default" w:ascii="Times New Roman" w:hAnsi="Times New Roman" w:eastAsia="宋体" w:cs="Times New Roman"/>
                      <w:color w:val="000000"/>
                      <w:kern w:val="0"/>
                      <w:szCs w:val="21"/>
                      <w:lang w:val="en-US" w:eastAsia="zh-CN" w:bidi="ar"/>
                    </w:rPr>
                    <w:t>431</w:t>
                  </w:r>
                </w:p>
              </w:tc>
              <w:tc>
                <w:tcPr>
                  <w:tcW w:w="1672" w:type="dxa"/>
                  <w:tcBorders>
                    <w:tl2br w:val="nil"/>
                    <w:tr2bl w:val="nil"/>
                  </w:tcBorders>
                  <w:vAlign w:val="center"/>
                </w:tcPr>
                <w:p>
                  <w:pPr>
                    <w:pStyle w:val="13"/>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0.0242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无组织</w:t>
                  </w: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0.4182</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0.4182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三乙胺</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0.0016</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非甲烷总烃</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0.225</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vMerge w:val="restart"/>
                  <w:tcBorders>
                    <w:tl2br w:val="nil"/>
                    <w:tr2bl w:val="nil"/>
                  </w:tcBorders>
                  <w:vAlign w:val="center"/>
                </w:tcPr>
                <w:p>
                  <w:pPr>
                    <w:pStyle w:val="92"/>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其中</w:t>
                  </w:r>
                </w:p>
              </w:tc>
              <w:tc>
                <w:tcPr>
                  <w:tcW w:w="526" w:type="pct"/>
                  <w:tcBorders>
                    <w:tl2br w:val="nil"/>
                    <w:tr2bl w:val="nil"/>
                  </w:tcBorders>
                  <w:vAlign w:val="center"/>
                </w:tcPr>
                <w:p>
                  <w:pPr>
                    <w:pStyle w:val="92"/>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甲醛</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0.0002</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vMerge w:val="continue"/>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p>
              </w:tc>
              <w:tc>
                <w:tcPr>
                  <w:tcW w:w="526" w:type="pct"/>
                  <w:tcBorders>
                    <w:tl2br w:val="nil"/>
                    <w:tr2bl w:val="nil"/>
                  </w:tcBorders>
                  <w:vAlign w:val="center"/>
                </w:tcPr>
                <w:p>
                  <w:pPr>
                    <w:pStyle w:val="92"/>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酚</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0.0008</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vMerge w:val="continue"/>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p>
              </w:tc>
              <w:tc>
                <w:tcPr>
                  <w:tcW w:w="526" w:type="pct"/>
                  <w:tcBorders>
                    <w:tl2br w:val="nil"/>
                    <w:tr2bl w:val="nil"/>
                  </w:tcBorders>
                  <w:vAlign w:val="center"/>
                </w:tcPr>
                <w:p>
                  <w:pPr>
                    <w:pStyle w:val="92"/>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二甲苯</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0.0245</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525" w:type="pct"/>
                  <w:vMerge w:val="continue"/>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p>
              </w:tc>
              <w:tc>
                <w:tcPr>
                  <w:tcW w:w="526" w:type="pct"/>
                  <w:tcBorders>
                    <w:tl2br w:val="nil"/>
                    <w:tr2bl w:val="nil"/>
                  </w:tcBorders>
                  <w:vAlign w:val="center"/>
                </w:tcPr>
                <w:p>
                  <w:pPr>
                    <w:pStyle w:val="92"/>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苯系物</w:t>
                  </w:r>
                </w:p>
              </w:tc>
              <w:tc>
                <w:tcPr>
                  <w:tcW w:w="81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0.015</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672" w:type="dxa"/>
                  <w:tcBorders>
                    <w:tl2br w:val="nil"/>
                    <w:tr2bl w:val="nil"/>
                  </w:tcBorders>
                  <w:vAlign w:val="center"/>
                </w:tcPr>
                <w:p>
                  <w:pPr>
                    <w:pStyle w:val="13"/>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5"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COD</w:t>
                  </w:r>
                </w:p>
              </w:tc>
              <w:tc>
                <w:tcPr>
                  <w:tcW w:w="818"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0.078</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053"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氨氮</w:t>
                  </w:r>
                </w:p>
              </w:tc>
              <w:tc>
                <w:tcPr>
                  <w:tcW w:w="818"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0.0078</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053"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0.0078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总磷</w:t>
                  </w:r>
                </w:p>
              </w:tc>
              <w:tc>
                <w:tcPr>
                  <w:tcW w:w="818"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0.0008</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053"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5" w:type="pct"/>
                  <w:vMerge w:val="continue"/>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Cs w:val="21"/>
                    </w:rPr>
                  </w:pPr>
                </w:p>
              </w:tc>
              <w:tc>
                <w:tcPr>
                  <w:tcW w:w="1052" w:type="pct"/>
                  <w:gridSpan w:val="2"/>
                  <w:tcBorders>
                    <w:tl2br w:val="nil"/>
                    <w:tr2bl w:val="nil"/>
                  </w:tcBorders>
                  <w:vAlign w:val="center"/>
                </w:tcPr>
                <w:p>
                  <w:pPr>
                    <w:pStyle w:val="92"/>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总氮</w:t>
                  </w:r>
                </w:p>
              </w:tc>
              <w:tc>
                <w:tcPr>
                  <w:tcW w:w="818"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0.0234</w:t>
                  </w:r>
                </w:p>
              </w:tc>
              <w:tc>
                <w:tcPr>
                  <w:tcW w:w="1260" w:type="pct"/>
                  <w:tcBorders>
                    <w:tl2br w:val="nil"/>
                    <w:tr2bl w:val="nil"/>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053" w:type="pct"/>
                  <w:tcBorders>
                    <w:tl2br w:val="nil"/>
                    <w:tr2bl w:val="nil"/>
                  </w:tcBorders>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0.0234</w:t>
                  </w:r>
                </w:p>
              </w:tc>
            </w:tr>
          </w:tbl>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rPr>
              <w:t>5、平衡方案</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根据《国民经济行业分类》，本项目属于[C3421]金属切削机床制造；对照《固定污染源排污许可分类管理名录》（2019年版），企业属于“二十九、通用设备制造业34 83金属加工机械制造 342”中“其他”，判定为排污登记管理类的建设项目，</w:t>
            </w:r>
            <w:r>
              <w:rPr>
                <w:color w:val="auto"/>
                <w:sz w:val="24"/>
                <w:szCs w:val="24"/>
              </w:rPr>
              <w:t>根据《南通市如皋生态环境局关于建设项目总量平衡相关问题的函》</w:t>
            </w:r>
            <w:r>
              <w:rPr>
                <w:rFonts w:hint="eastAsia"/>
                <w:color w:val="auto"/>
                <w:sz w:val="24"/>
                <w:szCs w:val="24"/>
              </w:rPr>
              <w:t>以及《关于进一步优化建设项目排污总量指标管理提升环评审批效能的意见（试行）》（通环办〔2023〕132号）</w:t>
            </w:r>
            <w:r>
              <w:rPr>
                <w:color w:val="auto"/>
                <w:sz w:val="24"/>
                <w:szCs w:val="24"/>
              </w:rPr>
              <w:t>，</w:t>
            </w:r>
            <w:r>
              <w:rPr>
                <w:rFonts w:hint="eastAsia"/>
                <w:color w:val="auto"/>
                <w:sz w:val="24"/>
                <w:szCs w:val="24"/>
              </w:rPr>
              <w:t>本项目为新建项目，排污许可管理类型为</w:t>
            </w:r>
            <w:r>
              <w:rPr>
                <w:rFonts w:hint="eastAsia"/>
                <w:color w:val="auto"/>
                <w:sz w:val="24"/>
                <w:szCs w:val="24"/>
                <w:lang w:val="en-US" w:eastAsia="zh-CN"/>
              </w:rPr>
              <w:t>登记</w:t>
            </w:r>
            <w:r>
              <w:rPr>
                <w:rFonts w:hint="eastAsia"/>
                <w:color w:val="auto"/>
                <w:sz w:val="24"/>
                <w:szCs w:val="24"/>
              </w:rPr>
              <w:t>管理，因此本项目</w:t>
            </w:r>
            <w:r>
              <w:rPr>
                <w:rFonts w:hint="eastAsia"/>
                <w:color w:val="auto"/>
                <w:sz w:val="24"/>
                <w:szCs w:val="24"/>
                <w:lang w:val="en-US" w:eastAsia="zh-CN"/>
              </w:rPr>
              <w:t>无</w:t>
            </w:r>
            <w:r>
              <w:rPr>
                <w:rFonts w:hint="eastAsia"/>
                <w:color w:val="auto"/>
                <w:sz w:val="24"/>
                <w:szCs w:val="24"/>
              </w:rPr>
              <w:t>需</w:t>
            </w:r>
            <w:r>
              <w:rPr>
                <w:color w:val="auto"/>
                <w:sz w:val="24"/>
                <w:szCs w:val="24"/>
              </w:rPr>
              <w:t>实施总量平衡</w:t>
            </w:r>
            <w:r>
              <w:rPr>
                <w:rFonts w:hint="default" w:ascii="Times New Roman" w:hAnsi="Times New Roman" w:eastAsia="宋体" w:cs="Times New Roman"/>
                <w:sz w:val="24"/>
              </w:rPr>
              <w:t>。</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本项目建成后，全厂主要污染物控制为：</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大气污染物（有组织/无组织）：颗粒物≤</w:t>
            </w:r>
            <w:r>
              <w:rPr>
                <w:rFonts w:hint="eastAsia" w:cs="Times New Roman"/>
                <w:sz w:val="24"/>
                <w:lang w:val="en-US" w:eastAsia="zh-CN"/>
              </w:rPr>
              <w:t>0.1519</w:t>
            </w:r>
            <w:r>
              <w:rPr>
                <w:rFonts w:hint="default" w:ascii="Times New Roman" w:hAnsi="Times New Roman" w:eastAsia="宋体" w:cs="Times New Roman"/>
                <w:sz w:val="24"/>
              </w:rPr>
              <w:t>/0.</w:t>
            </w:r>
            <w:r>
              <w:rPr>
                <w:rFonts w:hint="eastAsia" w:cs="Times New Roman"/>
                <w:sz w:val="24"/>
                <w:lang w:val="en-US" w:eastAsia="zh-CN"/>
              </w:rPr>
              <w:t>4182</w:t>
            </w:r>
            <w:r>
              <w:rPr>
                <w:rFonts w:hint="default" w:ascii="Times New Roman" w:hAnsi="Times New Roman" w:eastAsia="宋体" w:cs="Times New Roman"/>
                <w:sz w:val="24"/>
              </w:rPr>
              <w:t>t/a、VOCs≤</w:t>
            </w:r>
            <w:r>
              <w:rPr>
                <w:rFonts w:hint="eastAsia" w:cs="Times New Roman"/>
                <w:sz w:val="24"/>
                <w:lang w:val="en-US" w:eastAsia="zh-CN"/>
              </w:rPr>
              <w:t>0.2972</w:t>
            </w:r>
            <w:r>
              <w:rPr>
                <w:rFonts w:hint="default" w:ascii="Times New Roman" w:hAnsi="Times New Roman" w:eastAsia="宋体" w:cs="Times New Roman"/>
                <w:sz w:val="24"/>
              </w:rPr>
              <w:t>/</w:t>
            </w:r>
            <w:r>
              <w:rPr>
                <w:rFonts w:hint="eastAsia" w:cs="Times New Roman"/>
                <w:sz w:val="24"/>
                <w:lang w:val="en-US" w:eastAsia="zh-CN"/>
              </w:rPr>
              <w:t>0.2266</w:t>
            </w:r>
            <w:r>
              <w:rPr>
                <w:rFonts w:hint="default" w:ascii="Times New Roman" w:hAnsi="Times New Roman" w:eastAsia="宋体" w:cs="Times New Roman"/>
                <w:sz w:val="24"/>
              </w:rPr>
              <w:t>t/a、二氧化硫≤0.0</w:t>
            </w:r>
            <w:r>
              <w:rPr>
                <w:rFonts w:hint="default" w:ascii="Times New Roman" w:hAnsi="Times New Roman" w:eastAsia="宋体" w:cs="Times New Roman"/>
                <w:sz w:val="24"/>
                <w:lang w:val="en-US" w:eastAsia="zh-CN"/>
              </w:rPr>
              <w:t>16</w:t>
            </w:r>
            <w:r>
              <w:rPr>
                <w:rFonts w:hint="default" w:ascii="Times New Roman" w:hAnsi="Times New Roman" w:eastAsia="宋体" w:cs="Times New Roman"/>
                <w:sz w:val="24"/>
              </w:rPr>
              <w:t>/0t/a、氮氧化物≤0.0</w:t>
            </w:r>
            <w:r>
              <w:rPr>
                <w:rFonts w:hint="default" w:ascii="Times New Roman" w:hAnsi="Times New Roman" w:eastAsia="宋体" w:cs="Times New Roman"/>
                <w:sz w:val="24"/>
                <w:lang w:val="en-US" w:eastAsia="zh-CN"/>
              </w:rPr>
              <w:t>242</w:t>
            </w:r>
            <w:r>
              <w:rPr>
                <w:rFonts w:hint="default" w:ascii="Times New Roman" w:hAnsi="Times New Roman" w:eastAsia="宋体" w:cs="Times New Roman"/>
                <w:sz w:val="24"/>
              </w:rPr>
              <w:t>/0t/a。</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水污染物（接管量/外排量）：废水量≤1</w:t>
            </w:r>
            <w:r>
              <w:rPr>
                <w:rFonts w:hint="default" w:ascii="Times New Roman" w:hAnsi="Times New Roman" w:eastAsia="宋体" w:cs="Times New Roman"/>
                <w:sz w:val="24"/>
                <w:lang w:val="en-US" w:eastAsia="zh-CN"/>
              </w:rPr>
              <w:t>56</w:t>
            </w:r>
            <w:r>
              <w:rPr>
                <w:rFonts w:hint="default" w:ascii="Times New Roman" w:hAnsi="Times New Roman" w:eastAsia="宋体" w:cs="Times New Roman"/>
                <w:sz w:val="24"/>
              </w:rPr>
              <w:t>0/1</w:t>
            </w:r>
            <w:r>
              <w:rPr>
                <w:rFonts w:hint="default" w:ascii="Times New Roman" w:hAnsi="Times New Roman" w:eastAsia="宋体" w:cs="Times New Roman"/>
                <w:sz w:val="24"/>
                <w:lang w:val="en-US" w:eastAsia="zh-CN"/>
              </w:rPr>
              <w:t>56</w:t>
            </w:r>
            <w:r>
              <w:rPr>
                <w:rFonts w:hint="default" w:ascii="Times New Roman" w:hAnsi="Times New Roman" w:eastAsia="宋体" w:cs="Times New Roman"/>
                <w:sz w:val="24"/>
              </w:rPr>
              <w:t>0t/a、COD≤0.</w:t>
            </w:r>
            <w:r>
              <w:rPr>
                <w:rFonts w:hint="default" w:ascii="Times New Roman" w:hAnsi="Times New Roman" w:eastAsia="宋体" w:cs="Times New Roman"/>
                <w:sz w:val="24"/>
                <w:lang w:val="en-US" w:eastAsia="zh-CN"/>
              </w:rPr>
              <w:t>3182</w:t>
            </w:r>
            <w:r>
              <w:rPr>
                <w:rFonts w:hint="default" w:ascii="Times New Roman" w:hAnsi="Times New Roman" w:eastAsia="宋体" w:cs="Times New Roman"/>
                <w:sz w:val="24"/>
              </w:rPr>
              <w:t>t/a/0.0</w:t>
            </w:r>
            <w:r>
              <w:rPr>
                <w:rFonts w:hint="default" w:ascii="Times New Roman" w:hAnsi="Times New Roman" w:eastAsia="宋体" w:cs="Times New Roman"/>
                <w:sz w:val="24"/>
                <w:lang w:val="en-US" w:eastAsia="zh-CN"/>
              </w:rPr>
              <w:t>78</w:t>
            </w:r>
            <w:r>
              <w:rPr>
                <w:rFonts w:hint="default" w:ascii="Times New Roman" w:hAnsi="Times New Roman" w:eastAsia="宋体" w:cs="Times New Roman"/>
                <w:sz w:val="24"/>
              </w:rPr>
              <w:t>t/a、氨氮≤0.</w:t>
            </w:r>
            <w:r>
              <w:rPr>
                <w:rFonts w:hint="default" w:ascii="Times New Roman" w:hAnsi="Times New Roman" w:eastAsia="宋体" w:cs="Times New Roman"/>
                <w:sz w:val="24"/>
                <w:lang w:val="en-US" w:eastAsia="zh-CN"/>
              </w:rPr>
              <w:t>0457</w:t>
            </w:r>
            <w:r>
              <w:rPr>
                <w:rFonts w:hint="default" w:ascii="Times New Roman" w:hAnsi="Times New Roman" w:eastAsia="宋体" w:cs="Times New Roman"/>
                <w:sz w:val="24"/>
              </w:rPr>
              <w:t>t/a/0.0</w:t>
            </w:r>
            <w:r>
              <w:rPr>
                <w:rFonts w:hint="default" w:ascii="Times New Roman" w:hAnsi="Times New Roman" w:eastAsia="宋体" w:cs="Times New Roman"/>
                <w:sz w:val="24"/>
                <w:lang w:val="en-US" w:eastAsia="zh-CN"/>
              </w:rPr>
              <w:t>078</w:t>
            </w:r>
            <w:r>
              <w:rPr>
                <w:rFonts w:hint="default" w:ascii="Times New Roman" w:hAnsi="Times New Roman" w:eastAsia="宋体" w:cs="Times New Roman"/>
                <w:sz w:val="24"/>
              </w:rPr>
              <w:t>t/a、总磷≤0.00</w:t>
            </w:r>
            <w:r>
              <w:rPr>
                <w:rFonts w:hint="default" w:ascii="Times New Roman" w:hAnsi="Times New Roman" w:eastAsia="宋体" w:cs="Times New Roman"/>
                <w:sz w:val="24"/>
                <w:lang w:val="en-US" w:eastAsia="zh-CN"/>
              </w:rPr>
              <w:t>53</w:t>
            </w:r>
            <w:r>
              <w:rPr>
                <w:rFonts w:hint="default" w:ascii="Times New Roman" w:hAnsi="Times New Roman" w:eastAsia="宋体" w:cs="Times New Roman"/>
                <w:sz w:val="24"/>
              </w:rPr>
              <w:t>t/a/0.000</w:t>
            </w:r>
            <w:r>
              <w:rPr>
                <w:rFonts w:hint="default" w:ascii="Times New Roman" w:hAnsi="Times New Roman" w:eastAsia="宋体" w:cs="Times New Roman"/>
                <w:sz w:val="24"/>
                <w:lang w:val="en-US" w:eastAsia="zh-CN"/>
              </w:rPr>
              <w:t>8</w:t>
            </w:r>
            <w:r>
              <w:rPr>
                <w:rFonts w:hint="default" w:ascii="Times New Roman" w:hAnsi="Times New Roman" w:eastAsia="宋体" w:cs="Times New Roman"/>
                <w:sz w:val="24"/>
              </w:rPr>
              <w:t>t/a、总氮≤0.0</w:t>
            </w:r>
            <w:r>
              <w:rPr>
                <w:rFonts w:hint="default" w:ascii="Times New Roman" w:hAnsi="Times New Roman" w:eastAsia="宋体" w:cs="Times New Roman"/>
                <w:sz w:val="24"/>
                <w:lang w:val="en-US" w:eastAsia="zh-CN"/>
              </w:rPr>
              <w:t>629</w:t>
            </w:r>
            <w:r>
              <w:rPr>
                <w:rFonts w:hint="default" w:ascii="Times New Roman" w:hAnsi="Times New Roman" w:eastAsia="宋体" w:cs="Times New Roman"/>
                <w:sz w:val="24"/>
              </w:rPr>
              <w:t>t/a/0.0</w:t>
            </w:r>
            <w:r>
              <w:rPr>
                <w:rFonts w:hint="default" w:ascii="Times New Roman" w:hAnsi="Times New Roman" w:eastAsia="宋体" w:cs="Times New Roman"/>
                <w:sz w:val="24"/>
                <w:lang w:val="en-US" w:eastAsia="zh-CN"/>
              </w:rPr>
              <w:t>234</w:t>
            </w:r>
            <w:r>
              <w:rPr>
                <w:rFonts w:hint="default" w:ascii="Times New Roman" w:hAnsi="Times New Roman" w:eastAsia="宋体" w:cs="Times New Roman"/>
                <w:sz w:val="24"/>
              </w:rPr>
              <w:t>t/a。</w:t>
            </w:r>
          </w:p>
          <w:p>
            <w:pPr>
              <w:adjustRightInd w:val="0"/>
              <w:snapToGrid w:val="0"/>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sz w:val="24"/>
              </w:rPr>
              <w:t>固体废物：全厂所有工业固废均进行合理处理处置，固体废弃物排放量为零，无需申请总量。</w:t>
            </w:r>
          </w:p>
        </w:tc>
      </w:tr>
    </w:tbl>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6"/>
          <w:szCs w:val="36"/>
        </w:rPr>
        <w:br w:type="page"/>
      </w:r>
      <w:r>
        <w:rPr>
          <w:rFonts w:hint="default" w:ascii="Times New Roman" w:hAnsi="Times New Roman" w:eastAsia="黑体" w:cs="Times New Roman"/>
          <w:snapToGrid w:val="0"/>
          <w:color w:val="000000"/>
          <w:sz w:val="30"/>
          <w:szCs w:val="30"/>
        </w:rPr>
        <w:t>四、主要环境影响和保护措施</w:t>
      </w:r>
    </w:p>
    <w:tbl>
      <w:tblPr>
        <w:tblStyle w:val="26"/>
        <w:tblW w:w="501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3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71" w:type="pct"/>
            <w:tcMar>
              <w:left w:w="28" w:type="dxa"/>
              <w:right w:w="28" w:type="dxa"/>
            </w:tcMar>
            <w:vAlign w:val="center"/>
          </w:tcPr>
          <w:p>
            <w:pPr>
              <w:pStyle w:val="22"/>
              <w:adjustRightInd w:val="0"/>
              <w:snapToGrid w:val="0"/>
              <w:spacing w:before="0" w:beforeAutospacing="0" w:after="0" w:afterAutospacing="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施工</w:t>
            </w:r>
          </w:p>
          <w:p>
            <w:pPr>
              <w:pStyle w:val="22"/>
              <w:adjustRightInd w:val="0"/>
              <w:snapToGrid w:val="0"/>
              <w:spacing w:before="0" w:beforeAutospacing="0" w:after="0" w:afterAutospacing="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期环</w:t>
            </w:r>
          </w:p>
          <w:p>
            <w:pPr>
              <w:pStyle w:val="22"/>
              <w:adjustRightInd w:val="0"/>
              <w:snapToGrid w:val="0"/>
              <w:spacing w:before="0" w:beforeAutospacing="0" w:after="0" w:afterAutospacing="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境保</w:t>
            </w:r>
          </w:p>
          <w:p>
            <w:pPr>
              <w:pStyle w:val="22"/>
              <w:adjustRightInd w:val="0"/>
              <w:snapToGrid w:val="0"/>
              <w:spacing w:before="0" w:beforeAutospacing="0" w:after="0" w:afterAutospacing="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护措</w:t>
            </w:r>
          </w:p>
          <w:p>
            <w:pPr>
              <w:pStyle w:val="22"/>
              <w:adjustRightInd w:val="0"/>
              <w:snapToGrid w:val="0"/>
              <w:spacing w:before="0" w:beforeAutospacing="0" w:after="0" w:afterAutospacing="0"/>
              <w:jc w:val="center"/>
              <w:rPr>
                <w:rFonts w:hint="default" w:ascii="Times New Roman" w:hAnsi="Times New Roman" w:cs="Times New Roman"/>
                <w:bCs/>
                <w:color w:val="000000"/>
                <w:kern w:val="2"/>
                <w:sz w:val="21"/>
                <w:szCs w:val="21"/>
              </w:rPr>
            </w:pPr>
            <w:r>
              <w:rPr>
                <w:rFonts w:hint="default" w:ascii="Times New Roman" w:hAnsi="Times New Roman" w:cs="Times New Roman"/>
                <w:b/>
                <w:bCs/>
                <w:color w:val="000000"/>
                <w:kern w:val="2"/>
                <w:sz w:val="21"/>
                <w:szCs w:val="21"/>
              </w:rPr>
              <w:t>施</w:t>
            </w:r>
          </w:p>
        </w:tc>
        <w:tc>
          <w:tcPr>
            <w:tcW w:w="4628" w:type="pct"/>
            <w:vAlign w:val="center"/>
          </w:tcPr>
          <w:p>
            <w:pPr>
              <w:adjustRightInd w:val="0"/>
              <w:snapToGrid w:val="0"/>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1、废气</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施工期产生的废气主要有施工扬尘、施工机械驱动设备（如柴油机等）和运输及施工车辆所排放的废气等。</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①施工粉尘</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施工期对大气环境的主要影响是施工期间的场地平整、地基加固、建材运输装卸等产生的施工扬尘使周围大气中的悬浮微粒浓度增加，局部地区污染加剧，根据同类工地现场监测，施工作业场地附近地面粉尘浓度可达1.5～30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，距离施工现场约200m外的粉尘浓度一般低于0.5mg/m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②汽车尾气</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本项目施工设备如汽车、施工机械的汽柴油发动机排放的尾气也是重要的废气污染源，主要污染物为SO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、CO和NOx，本项目施工期较短，则车辆运输尾气相对较小，不定性分析。</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参考《江苏省重点行业堆场扬尘污染防治指导意见（试行）》（苏环办〔2021〕80号），本项目采取的施工期污染防治措施如下：</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（1）施工期间，运输车辆及施工机械在运行中将产生机动车尾气，其中主要含有CO、NOx、CH等污染物。这些废气排放局限于施工现场和运输沿线，为非连续性的短期污染源。</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施工期油漆废气主要包含VOCs、苯系物（如苯、甲苯、二甲苯）、漆雾颗粒和异味气体等有害物质。这些污染物不仅对环境造成污染，还可能对人体健康产生危害。建设单位选择符合国家质量标准的低VOCs含量涂料，尽量减少油漆废气排放。</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加强物料管理施工现场的建筑材料、构件、料具应按总平面布局进行码放。当风速过大时，应停止施工作业，并对堆存的砂粉等建筑材料采取遮盖措施；应首选使用商品混凝土，因需要必须进行现场搅拌砂浆、混凝土时，对水泥稳定（级配）碎石/水泥混凝土搅拌站、预制场等实施封闭管理，混凝土搅拌站等应设置自动喷淋设施，石灰石消解过程必须密闭进行，其他产生扬尘的物料应当密闭贮存，不具备密闭贮存条件的，在其周围设置不低于堆放物高度的围挡并有效覆盖。建筑土方、工程渣土、建筑垃圾应及时运输至指定场所进行处置；</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4）注重降尘作业。施工现场土方作业应采取防止扬尘措施，主要道路应定期清扫、洒水。拆除建筑物或构筑物时，应采用隔离、洒水等降噪、降尘措施，并应及时清理废弃物。施工进行铣刨、切割等作业时，应采取有效防扬尘措施。</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5）清运建筑垃圾。运输车辆应完好，不应装载过满，并尽量采取遮盖、密闭措施，减少沿途抛洒，并及时清扫散落在路面上的泥土和建筑材料，施工道路和场地应定时洒水压尘，运输车辆上路前应喷水冲洗轮胎，以减少运输过程中的扬尘。</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（6）硬化路面。施工现场的主要道路及材料加工区地面应进行硬化处理，道路应畅通，路面应平整坚实。裸露的场地和堆放的土方应采取覆盖、固化或绿化等措施，保证黄土不见天。</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（7）加强监测监控。在拌和站、施工便道主要出入口及易产生扬尘的施工区域，安装环保在线监测、视频监控等智慧工地管理系统，扬尘监测数据传输至现场管理机构的监管平台。</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建筑工程施工现场应沿工地四周连续设置围墙围挡，不得留有缺口，底边要封闭，不得有泥浆外漏，围墙围挡应坚固、稳定、整洁、美观，重要地区和主要路段范围内的围墙围挡高度不低于2.5m，一般路段围墙围挡高度不低于1.8m。围墙围挡外侧应用公益广告、宣传标语等进行美化或绿化，不得用不具备封闭围挡功能的各类广告牌代替围墙；禁止紧靠围墙围挡内侧堆放泥土、砂石等散装材料以及脚手架钢管、模板、竹片等。土方开挖、清运建筑垃圾等作业时，应当采取洒水、喷淋等湿法作业。</w:t>
            </w:r>
          </w:p>
          <w:p>
            <w:pPr>
              <w:adjustRightInd w:val="0"/>
              <w:snapToGrid w:val="0"/>
              <w:spacing w:line="360" w:lineRule="auto"/>
              <w:ind w:firstLine="482" w:firstLineChars="200"/>
              <w:rPr>
                <w:rFonts w:hint="default" w:ascii="Times New Roman" w:hAnsi="Times New Roman" w:cs="Times New Roman"/>
                <w:b/>
                <w:bCs/>
                <w:color w:val="000000"/>
                <w:sz w:val="24"/>
                <w:lang w:val="zh-CN"/>
              </w:rPr>
            </w:pPr>
            <w:r>
              <w:rPr>
                <w:rFonts w:hint="default" w:ascii="Times New Roman" w:hAnsi="Times New Roman" w:cs="Times New Roman"/>
                <w:b/>
                <w:bCs/>
                <w:color w:val="000000"/>
                <w:sz w:val="24"/>
                <w:lang w:val="zh-CN"/>
              </w:rPr>
              <w:t>2、废水</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本项目施工期产生的废水主要有施工人员生活污水、施工机械和车辆冲洗等，主要污染因子为COD、石油类和SS。</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①施工人员生活污水</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本项目施工期为300天，施工人员平均按20人计，高峰期按30人计。施工期间生活用水主要为饮用水和盥洗用水，该污水的主要污染因子为COD、SS和NH</w:t>
            </w:r>
            <w:r>
              <w:rPr>
                <w:rFonts w:hint="default" w:ascii="Times New Roman" w:hAnsi="Times New Roman" w:cs="Times New Roman"/>
                <w:color w:val="000000"/>
                <w:sz w:val="24"/>
                <w:vertAlign w:val="subscript"/>
                <w:lang w:val="zh-CN"/>
              </w:rPr>
              <w:t>3</w:t>
            </w:r>
            <w:r>
              <w:rPr>
                <w:rFonts w:hint="default" w:ascii="Times New Roman" w:hAnsi="Times New Roman" w:cs="Times New Roman"/>
                <w:color w:val="000000"/>
                <w:sz w:val="24"/>
                <w:lang w:val="zh-CN"/>
              </w:rPr>
              <w:t>-N等。</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根据《建筑施工手册（第四版）》施工现场生活用水量＝施工现场高峰昼夜人数×施工现场生活用水定额（一般为20～60L每人每天，本项目取60L每人每天）×施工现场用水不均衡系数（施工现场生活用水为1.3～1.5，本项目取1.5）×施工天数。本项目施工期间用水量为810t，产污系数按80%计，则本项目施工期间施工人员排放的污水量为648t。</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施工营地采用化粪池收集生活污水，经预处理后接管至</w:t>
            </w:r>
            <w:r>
              <w:rPr>
                <w:rFonts w:hint="default" w:ascii="Times New Roman" w:hAnsi="Times New Roman" w:cs="Times New Roman"/>
                <w:color w:val="000000"/>
                <w:sz w:val="24"/>
              </w:rPr>
              <w:t>如皋市搬经镇污水处理厂</w:t>
            </w:r>
            <w:r>
              <w:rPr>
                <w:rFonts w:hint="default" w:ascii="Times New Roman" w:hAnsi="Times New Roman" w:cs="Times New Roman"/>
                <w:color w:val="000000"/>
                <w:sz w:val="24"/>
                <w:lang w:val="zh-CN"/>
              </w:rPr>
              <w:t>，严禁施工生活污水未经处理排入附近河流。</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②施工现场废水</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施工现场废水包括施工场地含砂雨水，车辆场地清洗废水。泥浆水和场地清洗废水含有大量的泥砂，虽然没有大量有毒有害污染物质，但其中可能会含有较多的泥土、砂石。</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施工单位在施工现场设置1个泥浆废水处理池对上述生产废水予以处理，施工场地含砂雨水、泥浆水和车辆场地清洗废水集中收集后经泥浆废水处理池沉淀处理后，作为进出厂区的施工车辆喷淋清洗用水和施工场地抑尘喷洒用水，沉淀泥浆作为弃土外运处理。</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建议在施工期间采取以下相应措施：</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施工期间，在排污工程不健全的情况下，应当尽量减少物料流失、散落和溢流出现，减少废水产生量；施工物料堆场远离地表水体并设置在径流不易冲刷处；施工时产生的泥浆未经处理不得随意排放；施工现场应建造集水池、沉砂池、排水沟等水处理构筑物，按废水的不同的性质，分类收集，分质处理。</w:t>
            </w:r>
          </w:p>
          <w:p>
            <w:pPr>
              <w:adjustRightInd w:val="0"/>
              <w:snapToGrid w:val="0"/>
              <w:spacing w:line="360" w:lineRule="auto"/>
              <w:ind w:firstLine="482" w:firstLineChars="200"/>
              <w:rPr>
                <w:rFonts w:hint="default" w:ascii="Times New Roman" w:hAnsi="Times New Roman" w:cs="Times New Roman"/>
                <w:b/>
                <w:bCs/>
                <w:color w:val="000000"/>
                <w:sz w:val="24"/>
                <w:lang w:val="zh-CN"/>
              </w:rPr>
            </w:pPr>
            <w:r>
              <w:rPr>
                <w:rFonts w:hint="default" w:ascii="Times New Roman" w:hAnsi="Times New Roman" w:cs="Times New Roman"/>
                <w:b/>
                <w:bCs/>
                <w:color w:val="000000"/>
                <w:sz w:val="24"/>
                <w:lang w:val="zh-CN"/>
              </w:rPr>
              <w:t>3、噪声</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本项目施工机械和运输车辆的噪声是施工期间的主要噪声源。本项目施工机具主要包括装载机、推土机、自卸汽车等。正常使用的混凝土搅拌机、推土机。典型施工机械噪声源强见表 4-1。</w:t>
            </w:r>
          </w:p>
          <w:p>
            <w:pPr>
              <w:pStyle w:val="22"/>
              <w:spacing w:before="0" w:beforeAutospacing="0" w:after="0" w:afterAutospacing="0"/>
              <w:jc w:val="center"/>
              <w:rPr>
                <w:rFonts w:hint="default" w:ascii="Times New Roman" w:hAnsi="Times New Roman" w:cs="Times New Roman"/>
                <w:b/>
                <w:kern w:val="2"/>
                <w:szCs w:val="24"/>
              </w:rPr>
            </w:pPr>
            <w:r>
              <w:rPr>
                <w:rFonts w:hint="default" w:ascii="Times New Roman" w:hAnsi="Times New Roman" w:cs="Times New Roman"/>
                <w:b/>
                <w:kern w:val="2"/>
                <w:szCs w:val="24"/>
              </w:rPr>
              <w:t>表4-1 典型施工机械噪声源强</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700"/>
              <w:gridCol w:w="2699"/>
              <w:gridCol w:w="2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1666" w:type="pct"/>
                  <w:tcBorders>
                    <w:tl2br w:val="nil"/>
                    <w:tr2bl w:val="nil"/>
                  </w:tcBorders>
                  <w:shd w:val="clear" w:color="auto" w:fill="FFFFFF"/>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主要噪声源</w:t>
                  </w:r>
                </w:p>
              </w:tc>
              <w:tc>
                <w:tcPr>
                  <w:tcW w:w="1666" w:type="pct"/>
                  <w:tcBorders>
                    <w:tl2br w:val="nil"/>
                    <w:tr2bl w:val="nil"/>
                  </w:tcBorders>
                  <w:shd w:val="clear" w:color="auto" w:fill="FFFFFF"/>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测点与机械距离</w:t>
                  </w:r>
                </w:p>
              </w:tc>
              <w:tc>
                <w:tcPr>
                  <w:tcW w:w="1667" w:type="pct"/>
                  <w:tcBorders>
                    <w:tl2br w:val="nil"/>
                    <w:tr2bl w:val="nil"/>
                  </w:tcBorders>
                  <w:shd w:val="clear" w:color="auto" w:fill="FFFFFF"/>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平均A声级dB（A）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搅拌机</w:t>
                  </w:r>
                </w:p>
              </w:tc>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10m</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装载机</w:t>
                  </w:r>
                </w:p>
              </w:tc>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5m</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挖掘机</w:t>
                  </w:r>
                </w:p>
              </w:tc>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10m</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推土机</w:t>
                  </w:r>
                </w:p>
              </w:tc>
              <w:tc>
                <w:tcPr>
                  <w:tcW w:w="166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10m</w:t>
                  </w:r>
                </w:p>
              </w:tc>
              <w:tc>
                <w:tcPr>
                  <w:tcW w:w="16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76</w:t>
                  </w:r>
                </w:p>
              </w:tc>
            </w:tr>
          </w:tbl>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施工期噪声影响主要表现为施工机械所在场所施工机械噪声对附近的影响。施工机械噪声影响主要在距离上述施工场所在地35m范围内。考虑工程施工期道路运输车辆的不连续性，其造成的影响是有限的，这种新增加的噪声影响会随着施工过程的结束而降低或消失。</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建议在施工期间采取以下相应措施：</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①在建筑施工期间向周围排放噪声必须按照《中华人民共和国噪声污染防治法》规定，严格按《建筑施工噪声排放标准》（GB12523-20</w:t>
            </w:r>
            <w:r>
              <w:rPr>
                <w:rFonts w:hint="eastAsia" w:cs="Times New Roman"/>
                <w:color w:val="000000"/>
                <w:sz w:val="24"/>
                <w:lang w:val="en-US" w:eastAsia="zh-CN"/>
              </w:rPr>
              <w:t>25</w:t>
            </w:r>
            <w:r>
              <w:rPr>
                <w:rFonts w:hint="default" w:ascii="Times New Roman" w:hAnsi="Times New Roman" w:cs="Times New Roman"/>
                <w:color w:val="000000"/>
                <w:sz w:val="24"/>
                <w:lang w:val="zh-CN"/>
              </w:rPr>
              <w:t>）进行控制。施工期高噪声设备应合理安排施工时间，夜间禁止使用高噪声机械设备，杜绝深夜施工噪声扰民。</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加强施工管理，合理安排作业时间，严格按照施工噪声管理的有关规定，夜间不得进行打桩作业；</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②尽量采用低噪声施工设备和噪声低的施工方法；</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③作业时在高噪声设备周围设置屏蔽；</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④尽量采用商品混凝土；</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⑤加强运输车辆的管理，建材等运输尽量在白天进行，并控制车辆鸣笛。</w:t>
            </w:r>
          </w:p>
          <w:p>
            <w:pPr>
              <w:adjustRightInd w:val="0"/>
              <w:snapToGrid w:val="0"/>
              <w:spacing w:line="360" w:lineRule="auto"/>
              <w:ind w:firstLine="482" w:firstLineChars="200"/>
              <w:rPr>
                <w:rFonts w:hint="default" w:ascii="Times New Roman" w:hAnsi="Times New Roman" w:cs="Times New Roman"/>
                <w:color w:val="000000"/>
                <w:sz w:val="24"/>
                <w:lang w:val="zh-CN"/>
              </w:rPr>
            </w:pPr>
            <w:r>
              <w:rPr>
                <w:rFonts w:hint="default" w:ascii="Times New Roman" w:hAnsi="Times New Roman" w:cs="Times New Roman"/>
                <w:b/>
                <w:bCs/>
                <w:color w:val="000000"/>
                <w:sz w:val="24"/>
                <w:lang w:val="zh-CN"/>
              </w:rPr>
              <w:t>4、固废</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本项目施工期间固体废弃物主要是施工垃圾及施工人员产生的生活垃圾。</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①生活垃圾</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生活垃圾每人每天发生量按1kg计算，施工期施工人员按平均20人计，生活垃圾日产生量约0.02t/d，由环卫部门集中收集安全处置。施工期生活垃圾以有机类废物为主，其成分为易拉罐、矿泉水瓶、塑料袋、一次性饭盒、剩余食品等。由于这些生活垃圾的污染物含量很高，如处理不当，不但影响景观，散发臭气，滋生蝇、鼠，而且其含有的BOD</w:t>
            </w:r>
            <w:r>
              <w:rPr>
                <w:rFonts w:hint="default" w:ascii="Times New Roman" w:hAnsi="Times New Roman" w:cs="Times New Roman"/>
                <w:color w:val="000000"/>
                <w:sz w:val="24"/>
                <w:vertAlign w:val="subscript"/>
                <w:lang w:val="zh-CN"/>
              </w:rPr>
              <w:t>5</w:t>
            </w:r>
            <w:r>
              <w:rPr>
                <w:rFonts w:hint="default" w:ascii="Times New Roman" w:hAnsi="Times New Roman" w:cs="Times New Roman"/>
                <w:color w:val="000000"/>
                <w:sz w:val="24"/>
                <w:lang w:val="zh-CN"/>
              </w:rPr>
              <w:t>、COD、</w:t>
            </w:r>
            <w:r>
              <w:rPr>
                <w:rFonts w:hint="default" w:ascii="Times New Roman" w:hAnsi="Times New Roman" w:cs="Times New Roman"/>
                <w:color w:val="000000"/>
                <w:sz w:val="24"/>
              </w:rPr>
              <w:t>大肠杆菌</w:t>
            </w:r>
            <w:r>
              <w:rPr>
                <w:rFonts w:hint="default" w:ascii="Times New Roman" w:hAnsi="Times New Roman" w:cs="Times New Roman"/>
                <w:color w:val="000000"/>
                <w:sz w:val="24"/>
                <w:lang w:val="zh-CN"/>
              </w:rPr>
              <w:t>等对周围环境造成不良影响。</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②建筑垃圾</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施工期的建材损耗垃圾及装修垃圾以无机废物为主，主要包括施工中的下脚料，如废弃的堆土、砖瓦、混凝土块等，同时还包括少量的有机垃圾，主要是各种包装材料，包括废旧塑胶、泡沫等。这些废弃物基本上不溶解、不腐烂变质，但如处理不当，会影响周围环境的质量。对于这些废物，应集中处理，废弃的堆土、砖瓦、混凝土块等可用做填路材料，包装材料可以回收利用，其他的建筑垃圾应在指定的堆放点存放，运至指定地点处置。</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采取上述措施后，施工期间产生的固废可以得到妥善的处置，不会对周围环境产生影响。</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建议在施工期间采取以下相应措施：</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①车辆运输固废时，运输车辆必须做到装载适量，加盖苫布，出工地前做好外部清洗，沿途不漏泥土、不飞扬；运输必须限制在规定时段内进行，按指定路段行驶。</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②对可再利用的废料，如木材、钢筋等，应进行回收，以节省资源。</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③对砖瓦等建筑垃圾，可采用一般堆存的方法处理，但一定要将其最终运送到指定的建筑垃圾倾倒场。</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④实施全封闭型施工，尽可能使施工期间的污染和影响控制在施工场地范围内，尽量减少对周围环境的影响。</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⑤施工人员产生的生活垃圾集中收集后由环卫部门统一清运处理。</w:t>
            </w:r>
          </w:p>
          <w:p>
            <w:pPr>
              <w:adjustRightInd w:val="0"/>
              <w:snapToGrid w:val="0"/>
              <w:spacing w:line="360" w:lineRule="auto"/>
              <w:ind w:firstLine="482" w:firstLineChars="200"/>
              <w:rPr>
                <w:rFonts w:hint="default" w:ascii="Times New Roman" w:hAnsi="Times New Roman" w:cs="Times New Roman"/>
                <w:b/>
                <w:bCs/>
                <w:color w:val="000000"/>
                <w:sz w:val="24"/>
                <w:lang w:val="zh-CN"/>
              </w:rPr>
            </w:pPr>
            <w:r>
              <w:rPr>
                <w:rFonts w:hint="default" w:ascii="Times New Roman" w:hAnsi="Times New Roman" w:cs="Times New Roman"/>
                <w:b/>
                <w:bCs/>
                <w:color w:val="000000"/>
                <w:sz w:val="24"/>
                <w:lang w:val="zh-CN"/>
              </w:rPr>
              <w:t>5、生态环境</w:t>
            </w:r>
          </w:p>
          <w:p>
            <w:pPr>
              <w:adjustRightInd w:val="0"/>
              <w:snapToGrid w:val="0"/>
              <w:spacing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工程施工过程中开挖土方，可能对陆地现有地表结构造成破坏，改变土壤结构。同时可能导致水土流失，破坏当地的生态环境。</w:t>
            </w:r>
          </w:p>
          <w:p>
            <w:pPr>
              <w:adjustRightInd w:val="0"/>
              <w:snapToGrid w:val="0"/>
              <w:spacing w:line="360" w:lineRule="auto"/>
              <w:ind w:firstLine="480" w:firstLineChars="200"/>
              <w:rPr>
                <w:rFonts w:hint="default" w:ascii="Times New Roman" w:hAnsi="Times New Roman" w:cs="Times New Roman"/>
                <w:bCs/>
                <w:color w:val="000000"/>
                <w:spacing w:val="-10"/>
                <w:szCs w:val="21"/>
              </w:rPr>
            </w:pPr>
            <w:r>
              <w:rPr>
                <w:rFonts w:hint="default" w:ascii="Times New Roman" w:hAnsi="Times New Roman" w:cs="Times New Roman"/>
                <w:color w:val="000000"/>
                <w:sz w:val="24"/>
                <w:lang w:val="zh-CN"/>
              </w:rPr>
              <w:t>项目所在地为如皋市</w:t>
            </w:r>
            <w:r>
              <w:rPr>
                <w:rFonts w:hint="default" w:ascii="Times New Roman" w:hAnsi="Times New Roman" w:cs="Times New Roman"/>
                <w:color w:val="000000"/>
                <w:sz w:val="24"/>
              </w:rPr>
              <w:t>搬经</w:t>
            </w:r>
            <w:r>
              <w:rPr>
                <w:rFonts w:hint="default" w:ascii="Times New Roman" w:hAnsi="Times New Roman" w:cs="Times New Roman"/>
                <w:color w:val="000000"/>
                <w:sz w:val="24"/>
                <w:lang w:val="zh-CN"/>
              </w:rPr>
              <w:t>镇，项目建成后厂区设置绿化面积，可对原生态环境进行补偿，因此项目的建设对区域生态环境影响较小。</w:t>
            </w:r>
          </w:p>
        </w:tc>
      </w:tr>
    </w:tbl>
    <w:p>
      <w:pPr>
        <w:rPr>
          <w:rFonts w:hint="default" w:ascii="Times New Roman" w:hAnsi="Times New Roman" w:cs="Times New Roman"/>
          <w:color w:val="00000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7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81" w:type="pct"/>
            <w:tcMar>
              <w:left w:w="28" w:type="dxa"/>
              <w:right w:w="28" w:type="dxa"/>
            </w:tcMar>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运营</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期环</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境影</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响和</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保护</w:t>
            </w:r>
          </w:p>
          <w:p>
            <w:pPr>
              <w:adjustRightInd w:val="0"/>
              <w:snapToGrid w:val="0"/>
              <w:jc w:val="center"/>
              <w:rPr>
                <w:rFonts w:hint="default" w:ascii="Times New Roman" w:hAnsi="Times New Roman" w:cs="Times New Roman"/>
                <w:bCs/>
                <w:color w:val="000000"/>
                <w:szCs w:val="21"/>
              </w:rPr>
            </w:pPr>
            <w:r>
              <w:rPr>
                <w:rFonts w:hint="default" w:ascii="Times New Roman" w:hAnsi="Times New Roman" w:cs="Times New Roman"/>
                <w:b/>
                <w:color w:val="000000"/>
                <w:szCs w:val="21"/>
              </w:rPr>
              <w:t>措施</w:t>
            </w:r>
          </w:p>
        </w:tc>
        <w:tc>
          <w:tcPr>
            <w:tcW w:w="4518" w:type="pct"/>
            <w:vAlign w:val="center"/>
          </w:tcPr>
          <w:p>
            <w:pPr>
              <w:pStyle w:val="11"/>
              <w:widowControl w:val="0"/>
              <w:spacing w:before="0" w:after="0" w:line="360" w:lineRule="auto"/>
              <w:ind w:right="0" w:firstLine="482" w:firstLineChars="200"/>
              <w:rPr>
                <w:rFonts w:hint="default" w:ascii="Times New Roman" w:hAnsi="Times New Roman" w:eastAsia="宋体"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1、大气</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本项目设置大气环境影响专项，详见专项评价、大气环境影响自查表详见大气专项。 </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根据专项，本项目主要环境影响评价结论如下：</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（1）工程分析结论</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w:t>
            </w:r>
            <w:r>
              <w:rPr>
                <w:rFonts w:hint="default" w:ascii="Times New Roman" w:hAnsi="Times New Roman" w:cs="Times New Roman"/>
                <w:color w:val="000000"/>
                <w:sz w:val="24"/>
                <w:szCs w:val="24"/>
                <w:lang w:val="en-US" w:eastAsia="zh-CN"/>
              </w:rPr>
              <w:t>发泡废气</w:t>
            </w:r>
            <w:r>
              <w:rPr>
                <w:rFonts w:hint="default" w:ascii="Times New Roman" w:hAnsi="Times New Roman" w:cs="Times New Roman"/>
                <w:color w:val="000000"/>
                <w:sz w:val="24"/>
                <w:szCs w:val="24"/>
              </w:rPr>
              <w:t>经集气罩收集后通过二级活性炭吸附装置处理后经DA00</w:t>
            </w:r>
            <w:r>
              <w:rPr>
                <w:rFonts w:hint="default" w:ascii="Times New Roman" w:hAnsi="Times New Roman" w:cs="Times New Roman"/>
                <w:color w:val="000000"/>
                <w:sz w:val="24"/>
                <w:szCs w:val="24"/>
                <w:lang w:val="en-US" w:eastAsia="zh-CN"/>
              </w:rPr>
              <w:t>1</w:t>
            </w:r>
            <w:r>
              <w:rPr>
                <w:rFonts w:hint="default" w:ascii="Times New Roman" w:hAnsi="Times New Roman" w:cs="Times New Roman"/>
                <w:color w:val="000000"/>
                <w:sz w:val="24"/>
                <w:szCs w:val="24"/>
              </w:rPr>
              <w:t>排气筒排放，</w:t>
            </w:r>
            <w:r>
              <w:rPr>
                <w:rFonts w:hint="eastAsia" w:cs="Times New Roman"/>
                <w:color w:val="000000"/>
                <w:sz w:val="24"/>
                <w:szCs w:val="24"/>
                <w:lang w:val="en-US" w:eastAsia="zh-CN"/>
              </w:rPr>
              <w:t>混砂、</w:t>
            </w:r>
            <w:r>
              <w:rPr>
                <w:rFonts w:hint="default" w:ascii="Times New Roman" w:hAnsi="Times New Roman" w:cs="Times New Roman"/>
                <w:color w:val="000000"/>
                <w:sz w:val="24"/>
                <w:szCs w:val="24"/>
                <w:lang w:val="en-US" w:eastAsia="zh-CN"/>
              </w:rPr>
              <w:t>冷芯制模废气</w:t>
            </w:r>
            <w:r>
              <w:rPr>
                <w:rFonts w:hint="default" w:ascii="Times New Roman" w:hAnsi="Times New Roman" w:cs="Times New Roman"/>
                <w:color w:val="000000"/>
                <w:sz w:val="24"/>
                <w:szCs w:val="24"/>
              </w:rPr>
              <w:t>经集气罩收集后通过</w:t>
            </w:r>
            <w:r>
              <w:rPr>
                <w:rFonts w:hint="default" w:ascii="Times New Roman" w:hAnsi="Times New Roman" w:cs="Times New Roman"/>
                <w:color w:val="000000"/>
                <w:sz w:val="24"/>
                <w:szCs w:val="24"/>
                <w:lang w:val="en-US" w:eastAsia="zh-CN"/>
              </w:rPr>
              <w:t>布袋除尘器+磷酸喷淋塔+除雾器+</w:t>
            </w:r>
            <w:r>
              <w:rPr>
                <w:rFonts w:hint="default" w:ascii="Times New Roman" w:hAnsi="Times New Roman" w:cs="Times New Roman"/>
                <w:color w:val="000000"/>
                <w:sz w:val="24"/>
                <w:szCs w:val="24"/>
              </w:rPr>
              <w:t>二级活性炭吸附装置处理后经DA00</w:t>
            </w: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排气筒排放</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刮腻子（含电烘干）废气经密闭收集后通过冷却器+二级活性炭吸附装置处理后经DA003排气筒排放；喷漆晾干废气经密闭收集后通过多级过滤器+二级活性炭吸附装置处理后经DA004排气筒排放；抛丸废气经密闭收集后通过布袋除尘器处理后经DA005排气筒排放；喷塑废气经密闭收集后通过管式滤筒除尘器处理后经DA006排气筒排放；固化废气经密闭收集后通过冷却器+二级活性炭吸附</w:t>
            </w:r>
            <w:r>
              <w:rPr>
                <w:rFonts w:hint="eastAsia" w:cs="Times New Roman"/>
                <w:color w:val="000000"/>
                <w:sz w:val="24"/>
                <w:szCs w:val="24"/>
                <w:lang w:val="en-US" w:eastAsia="zh-CN"/>
              </w:rPr>
              <w:t>装置</w:t>
            </w:r>
            <w:r>
              <w:rPr>
                <w:rFonts w:hint="default" w:ascii="Times New Roman" w:hAnsi="Times New Roman" w:cs="Times New Roman"/>
                <w:color w:val="000000"/>
                <w:sz w:val="24"/>
                <w:szCs w:val="24"/>
                <w:lang w:val="en-US" w:eastAsia="zh-CN"/>
              </w:rPr>
              <w:t>处理后经DA007排气筒排放；天然气燃烧废气采用低氮燃烧，尾气通过DA008排气筒排放</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废气</w:t>
            </w:r>
            <w:r>
              <w:rPr>
                <w:rFonts w:hint="default" w:ascii="Times New Roman" w:hAnsi="Times New Roman" w:cs="Times New Roman"/>
                <w:color w:val="000000"/>
                <w:sz w:val="24"/>
                <w:szCs w:val="24"/>
              </w:rPr>
              <w:t>排放浓度能够达到《合成树脂工业污染物排放标准》（GB 31572-2015，含2024年修改单）</w:t>
            </w:r>
            <w:r>
              <w:rPr>
                <w:rFonts w:hint="default" w:ascii="Times New Roman" w:hAnsi="Times New Roman" w:cs="Times New Roman"/>
                <w:color w:val="000000"/>
                <w:sz w:val="24"/>
                <w:szCs w:val="24"/>
                <w:lang w:eastAsia="zh-CN"/>
              </w:rPr>
              <w:t>、《大气污染物综合排放标准》（DB32/40241-2021）、《铸造行业大气污染物排放限值》（T/CFA030802.2-2020）、《工业涂装工序大气污染物排放标准》（DB32/4439-2022）、《恶臭污染物排放标准》（GB14554-93）、《锅炉大气污染物排放标准》（DB32/4385-2022）</w:t>
            </w:r>
            <w:r>
              <w:rPr>
                <w:rFonts w:hint="default" w:ascii="Times New Roman" w:hAnsi="Times New Roman" w:cs="Times New Roman"/>
                <w:color w:val="000000"/>
                <w:sz w:val="24"/>
                <w:szCs w:val="24"/>
              </w:rPr>
              <w:t>中要求，本项目废气治理措施可行。</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（2）大气环境质量现状评价结论</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根据2024年南通市生态环境状况公报，本项目所在区域环境空气质量现状为达标区。</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根据环境质量现状监测报告，项目所在地</w:t>
            </w:r>
            <w:r>
              <w:rPr>
                <w:rFonts w:hint="default" w:ascii="Times New Roman" w:hAnsi="Times New Roman" w:cs="Times New Roman"/>
                <w:color w:val="auto"/>
                <w:sz w:val="24"/>
                <w:szCs w:val="24"/>
                <w:highlight w:val="none"/>
                <w:lang w:val="en-US" w:eastAsia="zh-CN"/>
              </w:rPr>
              <w:t>苯乙烯、苯、甲苯、二甲苯、苯系物、</w:t>
            </w:r>
            <w:r>
              <w:rPr>
                <w:rFonts w:hint="default" w:ascii="Times New Roman" w:hAnsi="Times New Roman" w:eastAsia="宋体" w:cs="Times New Roman"/>
                <w:color w:val="auto"/>
                <w:sz w:val="24"/>
                <w:szCs w:val="24"/>
                <w:highlight w:val="none"/>
                <w:lang w:val="en-US" w:eastAsia="zh-CN"/>
              </w:rPr>
              <w:t>甲醛满足《环境影响评价技术导则 大气环境》（HJ2.2-2018）中附录D的参考限值；</w:t>
            </w:r>
            <w:r>
              <w:rPr>
                <w:rFonts w:hint="default" w:ascii="Times New Roman" w:hAnsi="Times New Roman" w:cs="Times New Roman"/>
                <w:color w:val="auto"/>
                <w:sz w:val="24"/>
                <w:szCs w:val="24"/>
                <w:highlight w:val="none"/>
                <w:lang w:val="en-US" w:eastAsia="zh-CN"/>
              </w:rPr>
              <w:t>NOx、</w:t>
            </w:r>
            <w:r>
              <w:rPr>
                <w:rFonts w:hint="default" w:ascii="Times New Roman" w:hAnsi="Times New Roman" w:eastAsia="宋体" w:cs="Times New Roman"/>
                <w:color w:val="auto"/>
                <w:sz w:val="24"/>
                <w:szCs w:val="24"/>
                <w:highlight w:val="none"/>
                <w:lang w:val="en-US" w:eastAsia="zh-CN"/>
              </w:rPr>
              <w:t>TSP满足《环境空气质量标准》（GB3095-2012）；非甲烷总烃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酚类能够满足《大气污染物综合排放标准详解》中标准限值；</w:t>
            </w:r>
            <w:r>
              <w:rPr>
                <w:rFonts w:hint="default" w:ascii="Times New Roman" w:hAnsi="Times New Roman" w:cs="Times New Roman"/>
                <w:color w:val="auto"/>
                <w:sz w:val="24"/>
                <w:szCs w:val="24"/>
                <w:highlight w:val="none"/>
                <w:lang w:val="en-US" w:eastAsia="zh-CN"/>
              </w:rPr>
              <w:t>三乙胺、乙苯能够满足前苏联CH245-71中“居民区大气中有毒物最高允许浓度”一次浓度值；臭气浓度能够满足《恶臭污染物排放标准》（GB14554-93）表1二级标准</w:t>
            </w:r>
            <w:r>
              <w:rPr>
                <w:rFonts w:hint="default" w:ascii="Times New Roman" w:hAnsi="Times New Roman" w:eastAsia="宋体" w:cs="Times New Roman"/>
                <w:color w:val="auto"/>
                <w:sz w:val="24"/>
                <w:szCs w:val="24"/>
                <w:highlight w:val="none"/>
                <w:lang w:eastAsia="zh-CN"/>
              </w:rPr>
              <w:t>。因此，项目所在地大气环境质量良好</w:t>
            </w:r>
            <w:r>
              <w:rPr>
                <w:rFonts w:hint="default" w:ascii="Times New Roman" w:hAnsi="Times New Roman" w:cs="Times New Roman"/>
                <w:color w:val="000000"/>
                <w:sz w:val="24"/>
                <w:szCs w:val="24"/>
              </w:rPr>
              <w:t>。</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（3）环境影响预测与分析结论</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根据估算结果可知，正常工况下，本项目排放的大气污染物对项目周围环境敏感目标的贡献值相对较小，本项目</w:t>
            </w:r>
            <w:r>
              <w:rPr>
                <w:rFonts w:hint="default" w:ascii="Times New Roman" w:hAnsi="Times New Roman" w:cs="Times New Roman"/>
                <w:color w:val="000000"/>
                <w:sz w:val="24"/>
                <w:szCs w:val="24"/>
                <w:lang w:val="en-US" w:eastAsia="zh-CN"/>
              </w:rPr>
              <w:t>废气</w:t>
            </w:r>
            <w:r>
              <w:rPr>
                <w:rFonts w:hint="default" w:ascii="Times New Roman" w:hAnsi="Times New Roman" w:cs="Times New Roman"/>
                <w:color w:val="000000"/>
                <w:sz w:val="24"/>
                <w:szCs w:val="24"/>
              </w:rPr>
              <w:t>排放浓度</w:t>
            </w:r>
            <w:r>
              <w:rPr>
                <w:rFonts w:hint="default" w:ascii="Times New Roman" w:hAnsi="Times New Roman" w:cs="Times New Roman"/>
                <w:color w:val="000000"/>
                <w:sz w:val="24"/>
                <w:szCs w:val="24"/>
                <w:lang w:val="en-US" w:eastAsia="zh-CN"/>
              </w:rPr>
              <w:t>均能达标</w:t>
            </w:r>
            <w:r>
              <w:rPr>
                <w:rFonts w:hint="default" w:ascii="Times New Roman" w:hAnsi="Times New Roman" w:cs="Times New Roman"/>
                <w:color w:val="000000"/>
                <w:sz w:val="24"/>
                <w:szCs w:val="24"/>
              </w:rPr>
              <w:t>。</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因此，建设项目正常排放情况下，排放的污染物对周围敏感目标环境影响较小。全厂大气卫生防护距离应为：确定本项目需设置以生产车间为执行边界的50m卫生防护距离。经现场勘查，卫生防护距离内</w:t>
            </w:r>
            <w:r>
              <w:rPr>
                <w:rFonts w:hint="default" w:ascii="Times New Roman" w:hAnsi="Times New Roman" w:cs="Times New Roman"/>
                <w:color w:val="000000"/>
                <w:sz w:val="24"/>
                <w:szCs w:val="24"/>
                <w:lang w:val="en-US" w:eastAsia="zh-CN"/>
              </w:rPr>
              <w:t>无</w:t>
            </w:r>
            <w:r>
              <w:rPr>
                <w:rFonts w:hint="default" w:ascii="Times New Roman" w:hAnsi="Times New Roman" w:cs="Times New Roman"/>
                <w:color w:val="000000"/>
                <w:sz w:val="24"/>
                <w:szCs w:val="24"/>
              </w:rPr>
              <w:t>居民，今后也不得新建居民、学校、医院等环境敏感目标，因此对周围的环境影响比较小。</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（4）污染防治措施分析结论</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本项目发泡废气经集气罩收集后通过二级活性炭吸附装置处理后经DA001排气筒排放，</w:t>
            </w:r>
            <w:r>
              <w:rPr>
                <w:rFonts w:hint="eastAsia" w:cs="Times New Roman"/>
                <w:color w:val="000000"/>
                <w:sz w:val="24"/>
                <w:szCs w:val="24"/>
                <w:lang w:val="en-US" w:eastAsia="zh-CN"/>
              </w:rPr>
              <w:t>混砂、</w:t>
            </w:r>
            <w:r>
              <w:rPr>
                <w:rFonts w:hint="default" w:ascii="Times New Roman" w:hAnsi="Times New Roman" w:cs="Times New Roman"/>
                <w:color w:val="000000"/>
                <w:sz w:val="24"/>
                <w:szCs w:val="24"/>
              </w:rPr>
              <w:t>冷芯制模废气经集气罩收集后通过布袋除尘器+磷酸喷淋塔+除雾器+二级活性炭吸附装置处理后经DA002排气筒排放；</w:t>
            </w:r>
            <w:r>
              <w:rPr>
                <w:rFonts w:hint="default" w:ascii="Times New Roman" w:hAnsi="Times New Roman" w:cs="Times New Roman"/>
                <w:color w:val="000000"/>
                <w:sz w:val="24"/>
                <w:szCs w:val="24"/>
                <w:lang w:val="en-US" w:eastAsia="zh-CN"/>
              </w:rPr>
              <w:t>刮腻子（含电烘干）废气经密闭收集后通过冷却器+二级活性炭吸附装置处理后经DA003排气筒排放；</w:t>
            </w:r>
            <w:r>
              <w:rPr>
                <w:rFonts w:hint="default" w:ascii="Times New Roman" w:hAnsi="Times New Roman" w:cs="Times New Roman"/>
                <w:color w:val="000000"/>
                <w:sz w:val="24"/>
                <w:szCs w:val="24"/>
              </w:rPr>
              <w:t>喷漆晾干废气经密闭收集后通过多级过滤器+二级活性炭吸附装置处理后经DA00</w:t>
            </w:r>
            <w:r>
              <w:rPr>
                <w:rFonts w:hint="default"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排气筒排放；抛丸废气经密闭收集后通过布袋除尘器处理后经DA00</w:t>
            </w:r>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排气筒排放；喷塑废气经密闭收集后通过管式滤筒除尘器处理后经DA00</w:t>
            </w:r>
            <w:r>
              <w:rPr>
                <w:rFonts w:hint="default"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排气筒排放；固化废气经密闭收集后通过冷却器+二级活性炭吸附</w:t>
            </w:r>
            <w:r>
              <w:rPr>
                <w:rFonts w:hint="eastAsia" w:cs="Times New Roman"/>
                <w:color w:val="000000"/>
                <w:sz w:val="24"/>
                <w:szCs w:val="24"/>
                <w:lang w:eastAsia="zh-CN"/>
              </w:rPr>
              <w:t>装置</w:t>
            </w:r>
            <w:r>
              <w:rPr>
                <w:rFonts w:hint="default" w:ascii="Times New Roman" w:hAnsi="Times New Roman" w:cs="Times New Roman"/>
                <w:color w:val="000000"/>
                <w:sz w:val="24"/>
                <w:szCs w:val="24"/>
              </w:rPr>
              <w:t>处理后经DA00</w:t>
            </w: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排气筒排放；天然气燃烧废气采用低氮燃烧，尾气通过DA00</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排气筒排放，项目所采取的废气治理措施在技术上是成熟的，通过采取以上污染防治措施能够确保污染物达标排放，防治措施可行。</w:t>
            </w:r>
          </w:p>
          <w:p>
            <w:pPr>
              <w:pStyle w:val="11"/>
              <w:widowControl w:val="0"/>
              <w:spacing w:before="0" w:after="0" w:line="360" w:lineRule="auto"/>
              <w:ind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（5）总结论</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szCs w:val="24"/>
              </w:rPr>
              <w:t>项目所在区域环境空气质量达标区，项目采取的大气污染防治措施可行，污染物能够达标排放，且排放量较少，对环境空气质量和敏感目标影响较小；在确保各项污染防治措施落实、污染物达标排放的前提下，从环境角度考虑，项目建设可行。</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2、废水</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①产排污环节</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根据企业介绍，企业地面铺设环氧地坪，车间地面经人工清扫即可</w:t>
            </w:r>
            <w:r>
              <w:rPr>
                <w:rFonts w:hint="default" w:ascii="Times New Roman" w:hAnsi="Times New Roman" w:cs="Times New Roman"/>
                <w:color w:val="000000"/>
                <w:sz w:val="24"/>
                <w:lang w:eastAsia="zh-CN"/>
              </w:rPr>
              <w:t>，</w:t>
            </w:r>
            <w:r>
              <w:rPr>
                <w:rFonts w:hint="default" w:ascii="Times New Roman" w:hAnsi="Times New Roman" w:cs="Times New Roman"/>
                <w:color w:val="auto"/>
                <w:sz w:val="24"/>
                <w:lang w:val="en-US" w:eastAsia="zh-CN"/>
              </w:rPr>
              <w:t>无需冲洗</w:t>
            </w:r>
            <w:r>
              <w:rPr>
                <w:rFonts w:hint="default" w:ascii="Times New Roman" w:hAnsi="Times New Roman" w:cs="Times New Roman"/>
                <w:color w:val="auto"/>
                <w:sz w:val="24"/>
              </w:rPr>
              <w:t>，</w:t>
            </w:r>
            <w:r>
              <w:rPr>
                <w:rFonts w:hint="default" w:ascii="Times New Roman" w:hAnsi="Times New Roman" w:cs="Times New Roman"/>
                <w:color w:val="000000"/>
                <w:sz w:val="24"/>
              </w:rPr>
              <w:t>废水主要为员工生活污水。</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②污染物产生及排放情况</w:t>
            </w:r>
          </w:p>
          <w:p>
            <w:pPr>
              <w:jc w:val="center"/>
              <w:rPr>
                <w:rFonts w:hint="default" w:ascii="Times New Roman" w:hAnsi="Times New Roman" w:cs="Times New Roman"/>
                <w:b/>
                <w:sz w:val="24"/>
              </w:rPr>
            </w:pPr>
            <w:r>
              <w:rPr>
                <w:rFonts w:hint="default" w:ascii="Times New Roman" w:hAnsi="Times New Roman" w:cs="Times New Roman"/>
                <w:b/>
                <w:sz w:val="24"/>
              </w:rPr>
              <w:t>表4-2  本项目水污染物产生及排放状况</w:t>
            </w:r>
          </w:p>
          <w:tbl>
            <w:tblPr>
              <w:tblStyle w:val="26"/>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15"/>
              <w:gridCol w:w="824"/>
              <w:gridCol w:w="739"/>
              <w:gridCol w:w="866"/>
              <w:gridCol w:w="611"/>
              <w:gridCol w:w="776"/>
              <w:gridCol w:w="887"/>
              <w:gridCol w:w="708"/>
              <w:gridCol w:w="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污染源</w:t>
                  </w:r>
                </w:p>
              </w:tc>
              <w:tc>
                <w:tcPr>
                  <w:tcW w:w="528" w:type="pct"/>
                  <w:vMerge w:val="restar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废水量m</w:t>
                  </w:r>
                  <w:r>
                    <w:rPr>
                      <w:rFonts w:hint="default" w:ascii="Times New Roman" w:hAnsi="Times New Roman" w:cs="Times New Roman"/>
                      <w:b/>
                      <w:kern w:val="0"/>
                      <w:szCs w:val="21"/>
                      <w:vertAlign w:val="superscript"/>
                    </w:rPr>
                    <w:t>3</w:t>
                  </w:r>
                  <w:r>
                    <w:rPr>
                      <w:rFonts w:hint="default" w:ascii="Times New Roman" w:hAnsi="Times New Roman" w:cs="Times New Roman"/>
                      <w:b/>
                      <w:kern w:val="0"/>
                      <w:szCs w:val="21"/>
                    </w:rPr>
                    <w:t>/a</w:t>
                  </w:r>
                </w:p>
              </w:tc>
              <w:tc>
                <w:tcPr>
                  <w:tcW w:w="534" w:type="pct"/>
                  <w:vMerge w:val="restar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污染物名称</w:t>
                  </w:r>
                </w:p>
              </w:tc>
              <w:tc>
                <w:tcPr>
                  <w:tcW w:w="1040" w:type="pct"/>
                  <w:gridSpan w:val="2"/>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污染物产生情况</w:t>
                  </w:r>
                </w:p>
              </w:tc>
              <w:tc>
                <w:tcPr>
                  <w:tcW w:w="396" w:type="pct"/>
                  <w:vMerge w:val="restar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治理</w:t>
                  </w:r>
                </w:p>
                <w:p>
                  <w:pPr>
                    <w:jc w:val="center"/>
                    <w:rPr>
                      <w:rFonts w:hint="default" w:ascii="Times New Roman" w:hAnsi="Times New Roman" w:cs="Times New Roman"/>
                      <w:b/>
                      <w:kern w:val="0"/>
                      <w:szCs w:val="21"/>
                    </w:rPr>
                  </w:pPr>
                  <w:r>
                    <w:rPr>
                      <w:rFonts w:hint="default" w:ascii="Times New Roman" w:hAnsi="Times New Roman" w:cs="Times New Roman"/>
                      <w:b/>
                      <w:kern w:val="0"/>
                      <w:szCs w:val="21"/>
                    </w:rPr>
                    <w:t>措施</w:t>
                  </w:r>
                </w:p>
              </w:tc>
              <w:tc>
                <w:tcPr>
                  <w:tcW w:w="1077" w:type="pct"/>
                  <w:gridSpan w:val="2"/>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污染物排放情况</w:t>
                  </w:r>
                </w:p>
              </w:tc>
              <w:tc>
                <w:tcPr>
                  <w:tcW w:w="458" w:type="pct"/>
                  <w:vMerge w:val="restar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标准浓度限值mg/L</w:t>
                  </w:r>
                </w:p>
              </w:tc>
              <w:tc>
                <w:tcPr>
                  <w:tcW w:w="504" w:type="pct"/>
                  <w:vMerge w:val="restar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排放</w:t>
                  </w:r>
                </w:p>
                <w:p>
                  <w:pPr>
                    <w:jc w:val="center"/>
                    <w:rPr>
                      <w:rFonts w:hint="default" w:ascii="Times New Roman" w:hAnsi="Times New Roman" w:cs="Times New Roman"/>
                      <w:b/>
                      <w:kern w:val="0"/>
                      <w:szCs w:val="21"/>
                    </w:rPr>
                  </w:pPr>
                  <w:r>
                    <w:rPr>
                      <w:rFonts w:hint="default" w:ascii="Times New Roman" w:hAnsi="Times New Roman" w:cs="Times New Roman"/>
                      <w:b/>
                      <w:kern w:val="0"/>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pStyle w:val="67"/>
                    <w:rPr>
                      <w:rFonts w:hint="default" w:ascii="Times New Roman" w:hAnsi="Times New Roman" w:eastAsia="宋体" w:cs="Times New Roman"/>
                      <w:b/>
                      <w:kern w:val="0"/>
                      <w:szCs w:val="21"/>
                      <w:lang w:eastAsia="zh-CN"/>
                    </w:rPr>
                  </w:pPr>
                </w:p>
              </w:tc>
              <w:tc>
                <w:tcPr>
                  <w:tcW w:w="528" w:type="pct"/>
                  <w:vMerge w:val="continue"/>
                  <w:tcBorders>
                    <w:tl2br w:val="nil"/>
                    <w:tr2bl w:val="nil"/>
                  </w:tcBorders>
                  <w:vAlign w:val="center"/>
                </w:tcPr>
                <w:p>
                  <w:pPr>
                    <w:pStyle w:val="67"/>
                    <w:rPr>
                      <w:rFonts w:hint="default" w:ascii="Times New Roman" w:hAnsi="Times New Roman" w:eastAsia="宋体" w:cs="Times New Roman"/>
                      <w:b/>
                      <w:kern w:val="0"/>
                      <w:szCs w:val="21"/>
                      <w:lang w:eastAsia="zh-CN"/>
                    </w:rPr>
                  </w:pPr>
                </w:p>
              </w:tc>
              <w:tc>
                <w:tcPr>
                  <w:tcW w:w="534" w:type="pct"/>
                  <w:vMerge w:val="continue"/>
                  <w:tcBorders>
                    <w:tl2br w:val="nil"/>
                    <w:tr2bl w:val="nil"/>
                  </w:tcBorders>
                  <w:vAlign w:val="center"/>
                </w:tcPr>
                <w:p>
                  <w:pPr>
                    <w:pStyle w:val="67"/>
                    <w:rPr>
                      <w:rFonts w:hint="default" w:ascii="Times New Roman" w:hAnsi="Times New Roman" w:eastAsia="宋体" w:cs="Times New Roman"/>
                      <w:b/>
                      <w:kern w:val="0"/>
                      <w:szCs w:val="21"/>
                      <w:lang w:eastAsia="zh-CN"/>
                    </w:rPr>
                  </w:pPr>
                </w:p>
              </w:tc>
              <w:tc>
                <w:tcPr>
                  <w:tcW w:w="478" w:type="pc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浓度</w:t>
                  </w:r>
                </w:p>
                <w:p>
                  <w:pPr>
                    <w:jc w:val="center"/>
                    <w:rPr>
                      <w:rFonts w:hint="default" w:ascii="Times New Roman" w:hAnsi="Times New Roman" w:cs="Times New Roman"/>
                      <w:b/>
                      <w:kern w:val="0"/>
                      <w:szCs w:val="21"/>
                    </w:rPr>
                  </w:pPr>
                  <w:r>
                    <w:rPr>
                      <w:rFonts w:hint="default" w:ascii="Times New Roman" w:hAnsi="Times New Roman" w:cs="Times New Roman"/>
                      <w:b/>
                      <w:kern w:val="0"/>
                      <w:szCs w:val="21"/>
                    </w:rPr>
                    <w:t>mg/L</w:t>
                  </w:r>
                </w:p>
              </w:tc>
              <w:tc>
                <w:tcPr>
                  <w:tcW w:w="561" w:type="pc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产生量</w:t>
                  </w:r>
                </w:p>
                <w:p>
                  <w:pPr>
                    <w:jc w:val="center"/>
                    <w:rPr>
                      <w:rFonts w:hint="default" w:ascii="Times New Roman" w:hAnsi="Times New Roman" w:cs="Times New Roman"/>
                      <w:b/>
                      <w:kern w:val="0"/>
                      <w:szCs w:val="21"/>
                    </w:rPr>
                  </w:pPr>
                  <w:r>
                    <w:rPr>
                      <w:rFonts w:hint="default" w:ascii="Times New Roman" w:hAnsi="Times New Roman" w:cs="Times New Roman"/>
                      <w:b/>
                      <w:kern w:val="0"/>
                      <w:szCs w:val="21"/>
                    </w:rPr>
                    <w:t>（t/a）</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2" w:type="pc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浓度mg/L</w:t>
                  </w:r>
                </w:p>
              </w:tc>
              <w:tc>
                <w:tcPr>
                  <w:tcW w:w="574" w:type="pct"/>
                  <w:tcBorders>
                    <w:tl2br w:val="nil"/>
                    <w:tr2bl w:val="nil"/>
                  </w:tcBorders>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接管量（t/a）</w:t>
                  </w:r>
                </w:p>
              </w:tc>
              <w:tc>
                <w:tcPr>
                  <w:tcW w:w="45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4" w:type="pct"/>
                  <w:vMerge w:val="continue"/>
                  <w:tcBorders>
                    <w:tl2br w:val="nil"/>
                    <w:tr2bl w:val="nil"/>
                  </w:tcBorders>
                  <w:vAlign w:val="center"/>
                </w:tcPr>
                <w:p>
                  <w:pPr>
                    <w:jc w:val="center"/>
                    <w:textAlignment w:val="baseline"/>
                    <w:rPr>
                      <w:rFonts w:hint="default" w:ascii="Times New Roman" w:hAnsi="Times New Roman" w:cs="Times New Roman"/>
                      <w:b/>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Borders>
                    <w:tl2br w:val="nil"/>
                    <w:tr2bl w:val="nil"/>
                  </w:tcBorders>
                  <w:vAlign w:val="center"/>
                </w:tcPr>
                <w:p>
                  <w:pPr>
                    <w:jc w:val="center"/>
                    <w:rPr>
                      <w:rFonts w:hint="default" w:ascii="Times New Roman" w:hAnsi="Times New Roman" w:cs="Times New Roman"/>
                      <w:szCs w:val="21"/>
                    </w:rPr>
                  </w:pPr>
                  <w:bookmarkStart w:id="4" w:name="OLE_LINK1" w:colFirst="3" w:colLast="3"/>
                  <w:r>
                    <w:rPr>
                      <w:rFonts w:hint="default" w:ascii="Times New Roman" w:hAnsi="Times New Roman" w:cs="Times New Roman"/>
                      <w:szCs w:val="21"/>
                    </w:rPr>
                    <w:t>生活污水</w:t>
                  </w:r>
                </w:p>
              </w:tc>
              <w:tc>
                <w:tcPr>
                  <w:tcW w:w="528" w:type="pct"/>
                  <w:vMerge w:val="restar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1200</w:t>
                  </w:r>
                </w:p>
              </w:tc>
              <w:tc>
                <w:tcPr>
                  <w:tcW w:w="53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COD</w:t>
                  </w:r>
                </w:p>
              </w:tc>
              <w:tc>
                <w:tcPr>
                  <w:tcW w:w="47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340</w:t>
                  </w:r>
                </w:p>
              </w:tc>
              <w:tc>
                <w:tcPr>
                  <w:tcW w:w="561"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0.408</w:t>
                  </w:r>
                </w:p>
              </w:tc>
              <w:tc>
                <w:tcPr>
                  <w:tcW w:w="396" w:type="pct"/>
                  <w:vMerge w:val="restart"/>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化粪池</w:t>
                  </w:r>
                  <w:r>
                    <w:rPr>
                      <w:rFonts w:hint="default" w:ascii="Times New Roman" w:hAnsi="Times New Roman" w:cs="Times New Roman"/>
                      <w:kern w:val="0"/>
                      <w:szCs w:val="21"/>
                      <w:lang w:val="en-US" w:eastAsia="zh-CN"/>
                    </w:rPr>
                    <w:t>+隔油池</w:t>
                  </w:r>
                </w:p>
              </w:tc>
              <w:tc>
                <w:tcPr>
                  <w:tcW w:w="502"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204</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0.2448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500</w:t>
                  </w:r>
                </w:p>
              </w:tc>
              <w:tc>
                <w:tcPr>
                  <w:tcW w:w="504" w:type="pct"/>
                  <w:vMerge w:val="restar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如皋市搬经污水处理厂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SS</w:t>
                  </w:r>
                </w:p>
              </w:tc>
              <w:tc>
                <w:tcPr>
                  <w:tcW w:w="47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250</w:t>
                  </w:r>
                </w:p>
              </w:tc>
              <w:tc>
                <w:tcPr>
                  <w:tcW w:w="561"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0.3</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2"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100</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0.12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400</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szCs w:val="21"/>
                    </w:rPr>
                  </w:pPr>
                </w:p>
              </w:tc>
            </w:tr>
            <w:bookmarkEnd w:id="4"/>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NH</w:t>
                  </w:r>
                  <w:r>
                    <w:rPr>
                      <w:rFonts w:hint="default" w:ascii="Times New Roman" w:hAnsi="Times New Roman" w:cs="Times New Roman"/>
                      <w:kern w:val="0"/>
                      <w:szCs w:val="21"/>
                      <w:vertAlign w:val="subscript"/>
                    </w:rPr>
                    <w:t>3</w:t>
                  </w:r>
                  <w:r>
                    <w:rPr>
                      <w:rFonts w:hint="default" w:ascii="Times New Roman" w:hAnsi="Times New Roman" w:cs="Times New Roman"/>
                      <w:kern w:val="0"/>
                      <w:szCs w:val="21"/>
                    </w:rPr>
                    <w:t>-N</w:t>
                  </w:r>
                </w:p>
              </w:tc>
              <w:tc>
                <w:tcPr>
                  <w:tcW w:w="47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32.6</w:t>
                  </w:r>
                </w:p>
              </w:tc>
              <w:tc>
                <w:tcPr>
                  <w:tcW w:w="561"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0.0391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2"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29.3</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0.0352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45</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TN</w:t>
                  </w:r>
                </w:p>
              </w:tc>
              <w:tc>
                <w:tcPr>
                  <w:tcW w:w="47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44.8</w:t>
                  </w:r>
                </w:p>
              </w:tc>
              <w:tc>
                <w:tcPr>
                  <w:tcW w:w="561"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0.0538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2"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40.3</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0.0484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70</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TP</w:t>
                  </w:r>
                </w:p>
              </w:tc>
              <w:tc>
                <w:tcPr>
                  <w:tcW w:w="47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4.27</w:t>
                  </w:r>
                </w:p>
              </w:tc>
              <w:tc>
                <w:tcPr>
                  <w:tcW w:w="561"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0.0051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2"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3.42</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0.0041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bidi="ar"/>
                    </w:rPr>
                    <w:t>8</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restar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食堂废水</w:t>
                  </w:r>
                </w:p>
              </w:tc>
              <w:tc>
                <w:tcPr>
                  <w:tcW w:w="528" w:type="pct"/>
                  <w:vMerge w:val="restart"/>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360</w:t>
                  </w:r>
                </w:p>
              </w:tc>
              <w:tc>
                <w:tcPr>
                  <w:tcW w:w="534"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eastAsia="宋体" w:cs="Times New Roman"/>
                      <w:kern w:val="0"/>
                      <w:sz w:val="21"/>
                      <w:szCs w:val="21"/>
                    </w:rPr>
                    <w:t>COD</w:t>
                  </w:r>
                </w:p>
              </w:tc>
              <w:tc>
                <w:tcPr>
                  <w:tcW w:w="478" w:type="pct"/>
                  <w:tcBorders>
                    <w:tl2br w:val="nil"/>
                    <w:tr2bl w:val="nil"/>
                  </w:tcBorders>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bidi="ar"/>
                    </w:rPr>
                    <w:t>340</w:t>
                  </w:r>
                </w:p>
              </w:tc>
              <w:tc>
                <w:tcPr>
                  <w:tcW w:w="866"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0.1224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776"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204</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0.0734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500</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eastAsia="宋体" w:cs="Times New Roman"/>
                      <w:kern w:val="0"/>
                      <w:sz w:val="21"/>
                      <w:szCs w:val="21"/>
                    </w:rPr>
                    <w:t>SS</w:t>
                  </w:r>
                </w:p>
              </w:tc>
              <w:tc>
                <w:tcPr>
                  <w:tcW w:w="478" w:type="pct"/>
                  <w:tcBorders>
                    <w:tl2br w:val="nil"/>
                    <w:tr2bl w:val="nil"/>
                  </w:tcBorders>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bidi="ar"/>
                    </w:rPr>
                    <w:t>250</w:t>
                  </w:r>
                </w:p>
              </w:tc>
              <w:tc>
                <w:tcPr>
                  <w:tcW w:w="866"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0.09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776"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100</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0.036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400</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eastAsia="宋体" w:cs="Times New Roman"/>
                      <w:kern w:val="0"/>
                      <w:sz w:val="21"/>
                      <w:szCs w:val="21"/>
                    </w:rPr>
                    <w:t>NH</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-N</w:t>
                  </w:r>
                </w:p>
              </w:tc>
              <w:tc>
                <w:tcPr>
                  <w:tcW w:w="478" w:type="pct"/>
                  <w:tcBorders>
                    <w:tl2br w:val="nil"/>
                    <w:tr2bl w:val="nil"/>
                  </w:tcBorders>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bidi="ar"/>
                    </w:rPr>
                    <w:t>32.6</w:t>
                  </w:r>
                </w:p>
              </w:tc>
              <w:tc>
                <w:tcPr>
                  <w:tcW w:w="866"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0.0117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776"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29.3</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0.0105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45</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eastAsia="宋体" w:cs="Times New Roman"/>
                      <w:kern w:val="0"/>
                      <w:sz w:val="21"/>
                      <w:szCs w:val="21"/>
                    </w:rPr>
                    <w:t>TN</w:t>
                  </w:r>
                </w:p>
              </w:tc>
              <w:tc>
                <w:tcPr>
                  <w:tcW w:w="478" w:type="pct"/>
                  <w:tcBorders>
                    <w:tl2br w:val="nil"/>
                    <w:tr2bl w:val="nil"/>
                  </w:tcBorders>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bidi="ar"/>
                    </w:rPr>
                    <w:t>44.8</w:t>
                  </w:r>
                </w:p>
              </w:tc>
              <w:tc>
                <w:tcPr>
                  <w:tcW w:w="866"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0.0161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776"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40.3</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0.0145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70</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eastAsia="宋体" w:cs="Times New Roman"/>
                      <w:kern w:val="0"/>
                      <w:sz w:val="21"/>
                      <w:szCs w:val="21"/>
                    </w:rPr>
                    <w:t>TP</w:t>
                  </w:r>
                </w:p>
              </w:tc>
              <w:tc>
                <w:tcPr>
                  <w:tcW w:w="478" w:type="pct"/>
                  <w:tcBorders>
                    <w:tl2br w:val="nil"/>
                    <w:tr2bl w:val="nil"/>
                  </w:tcBorders>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sz w:val="21"/>
                      <w:szCs w:val="21"/>
                    </w:rPr>
                    <w:t>4.27</w:t>
                  </w:r>
                </w:p>
              </w:tc>
              <w:tc>
                <w:tcPr>
                  <w:tcW w:w="866"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0.0015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776" w:type="dxa"/>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3.42</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0.0012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8</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Merge w:val="continue"/>
                  <w:tcBorders>
                    <w:tl2br w:val="nil"/>
                    <w:tr2bl w:val="nil"/>
                  </w:tcBorders>
                  <w:vAlign w:val="center"/>
                </w:tcPr>
                <w:p>
                  <w:pPr>
                    <w:jc w:val="center"/>
                    <w:rPr>
                      <w:rFonts w:hint="default" w:ascii="Times New Roman" w:hAnsi="Times New Roman" w:cs="Times New Roman"/>
                      <w:szCs w:val="21"/>
                    </w:rPr>
                  </w:pPr>
                </w:p>
              </w:tc>
              <w:tc>
                <w:tcPr>
                  <w:tcW w:w="528"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34"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Cs w:val="21"/>
                    </w:rPr>
                  </w:pPr>
                  <w:r>
                    <w:rPr>
                      <w:rFonts w:hint="default" w:ascii="Times New Roman" w:hAnsi="Times New Roman" w:eastAsia="宋体" w:cs="Times New Roman"/>
                      <w:kern w:val="0"/>
                      <w:sz w:val="21"/>
                      <w:szCs w:val="21"/>
                      <w:lang w:val="en-US" w:eastAsia="zh-CN"/>
                    </w:rPr>
                    <w:t>动植物油</w:t>
                  </w:r>
                </w:p>
              </w:tc>
              <w:tc>
                <w:tcPr>
                  <w:tcW w:w="478" w:type="pct"/>
                  <w:tcBorders>
                    <w:tl2br w:val="nil"/>
                    <w:tr2bl w:val="nil"/>
                  </w:tcBorders>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30</w:t>
                  </w:r>
                </w:p>
              </w:tc>
              <w:tc>
                <w:tcPr>
                  <w:tcW w:w="866"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0.0108 </w:t>
                  </w:r>
                </w:p>
              </w:tc>
              <w:tc>
                <w:tcPr>
                  <w:tcW w:w="396" w:type="pct"/>
                  <w:vMerge w:val="continue"/>
                  <w:tcBorders>
                    <w:tl2br w:val="nil"/>
                    <w:tr2bl w:val="nil"/>
                  </w:tcBorders>
                  <w:vAlign w:val="center"/>
                </w:tcPr>
                <w:p>
                  <w:pPr>
                    <w:jc w:val="center"/>
                    <w:rPr>
                      <w:rFonts w:hint="default" w:ascii="Times New Roman" w:hAnsi="Times New Roman" w:cs="Times New Roman"/>
                      <w:kern w:val="0"/>
                      <w:szCs w:val="21"/>
                    </w:rPr>
                  </w:pPr>
                </w:p>
              </w:tc>
              <w:tc>
                <w:tcPr>
                  <w:tcW w:w="502" w:type="pct"/>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6</w:t>
                  </w:r>
                </w:p>
              </w:tc>
              <w:tc>
                <w:tcPr>
                  <w:tcW w:w="887" w:type="dxa"/>
                  <w:tcBorders>
                    <w:tl2br w:val="nil"/>
                    <w:tr2bl w:val="nil"/>
                  </w:tcBorders>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 xml:space="preserve">0.0022 </w:t>
                  </w:r>
                </w:p>
              </w:tc>
              <w:tc>
                <w:tcPr>
                  <w:tcW w:w="458" w:type="pct"/>
                  <w:tcBorders>
                    <w:tl2br w:val="nil"/>
                    <w:tr2bl w:val="nil"/>
                  </w:tcBorders>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eastAsia="宋体" w:cs="Times New Roman"/>
                      <w:sz w:val="21"/>
                      <w:szCs w:val="21"/>
                      <w:lang w:val="en-US" w:eastAsia="zh-CN" w:bidi="ar"/>
                    </w:rPr>
                  </w:pPr>
                  <w:r>
                    <w:rPr>
                      <w:rFonts w:hint="default" w:ascii="Times New Roman" w:hAnsi="Times New Roman" w:cs="Times New Roman"/>
                      <w:sz w:val="21"/>
                      <w:szCs w:val="21"/>
                      <w:lang w:val="en-US" w:eastAsia="zh-CN" w:bidi="ar"/>
                    </w:rPr>
                    <w:t>100</w:t>
                  </w:r>
                </w:p>
              </w:tc>
              <w:tc>
                <w:tcPr>
                  <w:tcW w:w="504" w:type="pct"/>
                  <w:vMerge w:val="continue"/>
                  <w:tcBorders>
                    <w:tl2br w:val="nil"/>
                    <w:tr2bl w:val="nil"/>
                  </w:tcBorders>
                  <w:vAlign w:val="center"/>
                </w:tcPr>
                <w:p>
                  <w:pPr>
                    <w:jc w:val="center"/>
                    <w:textAlignment w:val="baseline"/>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tcBorders>
                    <w:tl2br w:val="nil"/>
                    <w:tr2bl w:val="nil"/>
                  </w:tcBorders>
                  <w:vAlign w:val="center"/>
                </w:tcPr>
                <w:p>
                  <w:pPr>
                    <w:textAlignment w:val="baseline"/>
                    <w:rPr>
                      <w:rFonts w:hint="default" w:ascii="Times New Roman" w:hAnsi="Times New Roman" w:cs="Times New Roman"/>
                      <w:kern w:val="0"/>
                      <w:szCs w:val="21"/>
                    </w:rPr>
                  </w:pPr>
                  <w:r>
                    <w:rPr>
                      <w:rFonts w:hint="default" w:ascii="Times New Roman" w:hAnsi="Times New Roman" w:cs="Times New Roman"/>
                      <w:kern w:val="0"/>
                      <w:szCs w:val="21"/>
                    </w:rPr>
                    <w:t>注：</w:t>
                  </w:r>
                  <w:r>
                    <w:rPr>
                      <w:rFonts w:hint="default" w:ascii="Times New Roman" w:hAnsi="Times New Roman" w:eastAsia="宋体" w:cs="Times New Roman"/>
                      <w:kern w:val="0"/>
                      <w:sz w:val="21"/>
                      <w:szCs w:val="21"/>
                    </w:rPr>
                    <w:t>注：根据《排放源统计调查产排污核算方法和系数手册》中生活源产排污系数手册，COD340mg/L，氨氮32.6mg/L，TP4.27mg/L，总氮44.8mg/L。三级化粪池处理效率参考《村镇生活污染防治最佳可行技术指南（试行）》（HJ-BAT-9）：“COD：40%~50%，SS：60%~70%，TN：不大于10%，TP：不大于20%”。因此，本项目三级化粪池对COD处理效率取40%，对SS处理效率取60%，对NH</w:t>
                  </w:r>
                  <w:r>
                    <w:rPr>
                      <w:rFonts w:hint="default" w:ascii="Times New Roman" w:hAnsi="Times New Roman" w:eastAsia="宋体" w:cs="Times New Roman"/>
                      <w:kern w:val="0"/>
                      <w:sz w:val="21"/>
                      <w:szCs w:val="21"/>
                      <w:vertAlign w:val="subscript"/>
                    </w:rPr>
                    <w:t>3</w:t>
                  </w:r>
                  <w:r>
                    <w:rPr>
                      <w:rFonts w:hint="default" w:ascii="Times New Roman" w:hAnsi="Times New Roman" w:eastAsia="宋体" w:cs="Times New Roman"/>
                      <w:kern w:val="0"/>
                      <w:sz w:val="21"/>
                      <w:szCs w:val="21"/>
                    </w:rPr>
                    <w:t>-N处理效率取10%，对TP处理效率取20%，对TN处理效率取10%</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对</w:t>
                  </w:r>
                  <w:r>
                    <w:rPr>
                      <w:rFonts w:hint="default" w:ascii="Times New Roman" w:hAnsi="Times New Roman" w:eastAsia="宋体" w:cs="Times New Roman"/>
                      <w:kern w:val="0"/>
                      <w:sz w:val="21"/>
                      <w:szCs w:val="21"/>
                      <w:lang w:eastAsia="zh-CN"/>
                    </w:rPr>
                    <w:t>动植物油处理效率取80%</w:t>
                  </w:r>
                </w:p>
              </w:tc>
            </w:tr>
          </w:tbl>
          <w:p>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③排放口基本情况</w:t>
            </w:r>
          </w:p>
          <w:p>
            <w:pPr>
              <w:adjustRightInd w:val="0"/>
              <w:snapToGrid w:val="0"/>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3</w:t>
            </w:r>
            <w:r>
              <w:rPr>
                <w:rFonts w:hint="default" w:ascii="Times New Roman" w:hAnsi="Times New Roman" w:cs="Times New Roman"/>
                <w:b/>
                <w:bCs/>
                <w:sz w:val="24"/>
              </w:rPr>
              <w:t xml:space="preserve"> 废水类别、污染物及污染治理设施信息表</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540"/>
              <w:gridCol w:w="1008"/>
              <w:gridCol w:w="721"/>
              <w:gridCol w:w="826"/>
              <w:gridCol w:w="701"/>
              <w:gridCol w:w="701"/>
              <w:gridCol w:w="826"/>
              <w:gridCol w:w="574"/>
              <w:gridCol w:w="701"/>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349"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废水类别</w:t>
                  </w:r>
                </w:p>
              </w:tc>
              <w:tc>
                <w:tcPr>
                  <w:tcW w:w="652"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污染物种类</w:t>
                  </w:r>
                </w:p>
              </w:tc>
              <w:tc>
                <w:tcPr>
                  <w:tcW w:w="467"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排放去向</w:t>
                  </w:r>
                </w:p>
              </w:tc>
              <w:tc>
                <w:tcPr>
                  <w:tcW w:w="535"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排放规律</w:t>
                  </w:r>
                </w:p>
              </w:tc>
              <w:tc>
                <w:tcPr>
                  <w:tcW w:w="1443" w:type="pct"/>
                  <w:gridSpan w:val="3"/>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污染治理措施</w:t>
                  </w:r>
                </w:p>
              </w:tc>
              <w:tc>
                <w:tcPr>
                  <w:tcW w:w="372"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排放口编号</w:t>
                  </w:r>
                </w:p>
              </w:tc>
              <w:tc>
                <w:tcPr>
                  <w:tcW w:w="454"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是否为可行技术</w:t>
                  </w:r>
                </w:p>
              </w:tc>
              <w:tc>
                <w:tcPr>
                  <w:tcW w:w="459"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 w:type="pct"/>
                  <w:vMerge w:val="continue"/>
                  <w:tcBorders>
                    <w:tl2br w:val="nil"/>
                    <w:tr2bl w:val="nil"/>
                  </w:tcBorders>
                  <w:vAlign w:val="center"/>
                </w:tcPr>
                <w:p>
                  <w:pPr>
                    <w:jc w:val="center"/>
                    <w:rPr>
                      <w:rFonts w:hint="default" w:ascii="Times New Roman" w:hAnsi="Times New Roman" w:cs="Times New Roman"/>
                      <w:szCs w:val="21"/>
                    </w:rPr>
                  </w:pPr>
                </w:p>
              </w:tc>
              <w:tc>
                <w:tcPr>
                  <w:tcW w:w="349" w:type="pct"/>
                  <w:vMerge w:val="continue"/>
                  <w:tcBorders>
                    <w:tl2br w:val="nil"/>
                    <w:tr2bl w:val="nil"/>
                  </w:tcBorders>
                  <w:vAlign w:val="center"/>
                </w:tcPr>
                <w:p>
                  <w:pPr>
                    <w:jc w:val="center"/>
                    <w:rPr>
                      <w:rFonts w:hint="default" w:ascii="Times New Roman" w:hAnsi="Times New Roman" w:cs="Times New Roman"/>
                      <w:kern w:val="0"/>
                      <w:szCs w:val="21"/>
                    </w:rPr>
                  </w:pPr>
                </w:p>
              </w:tc>
              <w:tc>
                <w:tcPr>
                  <w:tcW w:w="652" w:type="pct"/>
                  <w:vMerge w:val="continue"/>
                  <w:tcBorders>
                    <w:tl2br w:val="nil"/>
                    <w:tr2bl w:val="nil"/>
                  </w:tcBorders>
                  <w:vAlign w:val="center"/>
                </w:tcPr>
                <w:p>
                  <w:pPr>
                    <w:jc w:val="center"/>
                    <w:rPr>
                      <w:rFonts w:hint="default" w:ascii="Times New Roman" w:hAnsi="Times New Roman" w:cs="Times New Roman"/>
                      <w:kern w:val="0"/>
                      <w:szCs w:val="21"/>
                    </w:rPr>
                  </w:pPr>
                </w:p>
              </w:tc>
              <w:tc>
                <w:tcPr>
                  <w:tcW w:w="467" w:type="pct"/>
                  <w:vMerge w:val="continue"/>
                  <w:tcBorders>
                    <w:tl2br w:val="nil"/>
                    <w:tr2bl w:val="nil"/>
                  </w:tcBorders>
                  <w:vAlign w:val="center"/>
                </w:tcPr>
                <w:p>
                  <w:pPr>
                    <w:jc w:val="center"/>
                    <w:rPr>
                      <w:rFonts w:hint="default" w:ascii="Times New Roman" w:hAnsi="Times New Roman" w:cs="Times New Roman"/>
                      <w:szCs w:val="21"/>
                    </w:rPr>
                  </w:pPr>
                </w:p>
              </w:tc>
              <w:tc>
                <w:tcPr>
                  <w:tcW w:w="535" w:type="pct"/>
                  <w:vMerge w:val="continue"/>
                  <w:tcBorders>
                    <w:tl2br w:val="nil"/>
                    <w:tr2bl w:val="nil"/>
                  </w:tcBorders>
                  <w:vAlign w:val="center"/>
                </w:tcPr>
                <w:p>
                  <w:pPr>
                    <w:jc w:val="center"/>
                    <w:rPr>
                      <w:rFonts w:hint="default" w:ascii="Times New Roman" w:hAnsi="Times New Roman" w:cs="Times New Roman"/>
                      <w:szCs w:val="21"/>
                    </w:rPr>
                  </w:pPr>
                </w:p>
              </w:tc>
              <w:tc>
                <w:tcPr>
                  <w:tcW w:w="454" w:type="pc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污染治理措施编号</w:t>
                  </w:r>
                </w:p>
              </w:tc>
              <w:tc>
                <w:tcPr>
                  <w:tcW w:w="454" w:type="pc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污染治理措施名称</w:t>
                  </w:r>
                </w:p>
              </w:tc>
              <w:tc>
                <w:tcPr>
                  <w:tcW w:w="535" w:type="pc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污染治理措施工艺</w:t>
                  </w:r>
                </w:p>
              </w:tc>
              <w:tc>
                <w:tcPr>
                  <w:tcW w:w="372" w:type="pct"/>
                  <w:vMerge w:val="continue"/>
                  <w:tcBorders>
                    <w:tl2br w:val="nil"/>
                    <w:tr2bl w:val="nil"/>
                  </w:tcBorders>
                  <w:vAlign w:val="center"/>
                </w:tcPr>
                <w:p>
                  <w:pPr>
                    <w:jc w:val="center"/>
                    <w:rPr>
                      <w:rFonts w:hint="default" w:ascii="Times New Roman" w:hAnsi="Times New Roman" w:cs="Times New Roman"/>
                      <w:szCs w:val="21"/>
                    </w:rPr>
                  </w:pPr>
                </w:p>
              </w:tc>
              <w:tc>
                <w:tcPr>
                  <w:tcW w:w="454" w:type="pct"/>
                  <w:vMerge w:val="continue"/>
                  <w:tcBorders>
                    <w:tl2br w:val="nil"/>
                    <w:tr2bl w:val="nil"/>
                  </w:tcBorders>
                  <w:vAlign w:val="center"/>
                </w:tcPr>
                <w:p>
                  <w:pPr>
                    <w:jc w:val="center"/>
                    <w:rPr>
                      <w:rFonts w:hint="default" w:ascii="Times New Roman" w:hAnsi="Times New Roman" w:cs="Times New Roman"/>
                      <w:szCs w:val="21"/>
                    </w:rPr>
                  </w:pPr>
                </w:p>
              </w:tc>
              <w:tc>
                <w:tcPr>
                  <w:tcW w:w="459" w:type="pct"/>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49"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生活污水</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食堂废水</w:t>
                  </w:r>
                </w:p>
              </w:tc>
              <w:tc>
                <w:tcPr>
                  <w:tcW w:w="652"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pH、COD、SS、NH</w:t>
                  </w:r>
                  <w:r>
                    <w:rPr>
                      <w:rFonts w:hint="default" w:ascii="Times New Roman" w:hAnsi="Times New Roman" w:cs="Times New Roman"/>
                      <w:szCs w:val="21"/>
                      <w:vertAlign w:val="subscript"/>
                    </w:rPr>
                    <w:t>3</w:t>
                  </w:r>
                  <w:r>
                    <w:rPr>
                      <w:rFonts w:hint="default" w:ascii="Times New Roman" w:hAnsi="Times New Roman" w:cs="Times New Roman"/>
                      <w:szCs w:val="21"/>
                    </w:rPr>
                    <w:t>-N、TN、TP</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动植物油</w:t>
                  </w:r>
                </w:p>
              </w:tc>
              <w:tc>
                <w:tcPr>
                  <w:tcW w:w="46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如皋市搬经污水处理厂</w:t>
                  </w:r>
                </w:p>
              </w:tc>
              <w:tc>
                <w:tcPr>
                  <w:tcW w:w="535"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间接</w:t>
                  </w:r>
                </w:p>
              </w:tc>
              <w:tc>
                <w:tcPr>
                  <w:tcW w:w="454"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TW001</w:t>
                  </w:r>
                </w:p>
              </w:tc>
              <w:tc>
                <w:tcPr>
                  <w:tcW w:w="454"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化粪池</w:t>
                  </w:r>
                  <w:r>
                    <w:rPr>
                      <w:rFonts w:hint="default" w:ascii="Times New Roman" w:hAnsi="Times New Roman" w:cs="Times New Roman"/>
                      <w:szCs w:val="21"/>
                      <w:lang w:val="en-US" w:eastAsia="zh-CN"/>
                    </w:rPr>
                    <w:t>+隔油池</w:t>
                  </w:r>
                </w:p>
              </w:tc>
              <w:tc>
                <w:tcPr>
                  <w:tcW w:w="535" w:type="pct"/>
                  <w:tcBorders>
                    <w:tl2br w:val="nil"/>
                    <w:tr2bl w:val="nil"/>
                  </w:tcBorders>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rPr>
                    <w:t>厌氧发酵</w:t>
                  </w:r>
                  <w:r>
                    <w:rPr>
                      <w:rFonts w:hint="default" w:ascii="Times New Roman" w:hAnsi="Times New Roman" w:cs="Times New Roman"/>
                      <w:szCs w:val="21"/>
                      <w:lang w:val="en-US" w:eastAsia="zh-CN"/>
                    </w:rPr>
                    <w:t>+物理隔油</w:t>
                  </w:r>
                </w:p>
              </w:tc>
              <w:tc>
                <w:tcPr>
                  <w:tcW w:w="372"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DW001</w:t>
                  </w:r>
                </w:p>
              </w:tc>
              <w:tc>
                <w:tcPr>
                  <w:tcW w:w="454"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p>
              </w:tc>
              <w:tc>
                <w:tcPr>
                  <w:tcW w:w="459"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企业总排</w:t>
                  </w:r>
                </w:p>
              </w:tc>
            </w:tr>
          </w:tbl>
          <w:p>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④源强分析</w:t>
            </w:r>
          </w:p>
          <w:p>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1）生活污水</w:t>
            </w:r>
          </w:p>
          <w:p>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职工人数为100人，公司不设食宿，年工作时间为300天。生活用水参考《建筑给水排水设计标准》（GB50015-2019），员工用水定额为50L/人/天计。排水量以用水量的80%计，职工生活用水量约为1500t/a，生活污水产生量约为1200t/a，主要污染物为COD、SS、NH</w:t>
            </w:r>
            <w:r>
              <w:rPr>
                <w:rFonts w:hint="default" w:ascii="Times New Roman" w:hAnsi="Times New Roman" w:cs="Times New Roman"/>
                <w:sz w:val="24"/>
                <w:vertAlign w:val="subscript"/>
              </w:rPr>
              <w:t>3</w:t>
            </w:r>
            <w:r>
              <w:rPr>
                <w:rFonts w:hint="default" w:ascii="Times New Roman" w:hAnsi="Times New Roman" w:cs="Times New Roman"/>
                <w:sz w:val="24"/>
              </w:rPr>
              <w:t>-N、TP、TN。</w:t>
            </w:r>
          </w:p>
          <w:p>
            <w:pPr>
              <w:numPr>
                <w:ilvl w:val="0"/>
                <w:numId w:val="17"/>
              </w:numPr>
              <w:spacing w:line="360" w:lineRule="auto"/>
              <w:ind w:firstLine="480" w:firstLineChars="200"/>
              <w:jc w:val="left"/>
              <w:rPr>
                <w:rFonts w:hint="default" w:ascii="Times New Roman" w:hAnsi="Times New Roman" w:cs="Times New Roman"/>
                <w:sz w:val="24"/>
                <w:lang w:val="en-US" w:eastAsia="zh-CN"/>
              </w:rPr>
            </w:pPr>
            <w:bookmarkStart w:id="5" w:name="OLE_LINK22"/>
            <w:bookmarkStart w:id="6" w:name="OLE_LINK23"/>
            <w:r>
              <w:rPr>
                <w:rFonts w:hint="default" w:ascii="Times New Roman" w:hAnsi="Times New Roman" w:cs="Times New Roman"/>
                <w:sz w:val="24"/>
                <w:lang w:val="en-US" w:eastAsia="zh-CN"/>
              </w:rPr>
              <w:t>食堂废水</w:t>
            </w:r>
          </w:p>
          <w:p>
            <w:pPr>
              <w:numPr>
                <w:ilvl w:val="0"/>
                <w:numId w:val="0"/>
              </w:numPr>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项目食堂就餐职工约100人，服务天数300天。根据《江苏省林牧渔业、工业、生活和服务业用水定额（2019年修订）》（苏水节〔2020〕5号），食堂用水量按15L/人•d算，则员工食堂用水量为450t/a。产污系数以0.8计，则食堂废水量约为360t/a。</w:t>
            </w:r>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⑤废水治理设施可行性分析</w:t>
            </w:r>
          </w:p>
          <w:p>
            <w:pPr>
              <w:spacing w:line="360" w:lineRule="auto"/>
              <w:ind w:firstLine="480" w:firstLineChars="200"/>
              <w:jc w:val="left"/>
              <w:rPr>
                <w:rFonts w:hint="default" w:ascii="Times New Roman" w:hAnsi="Times New Roman" w:cs="Times New Roman"/>
                <w:kern w:val="44"/>
                <w:sz w:val="24"/>
              </w:rPr>
            </w:pPr>
            <w:r>
              <w:rPr>
                <w:rFonts w:hint="default" w:ascii="Times New Roman" w:hAnsi="Times New Roman" w:cs="Times New Roman"/>
                <w:kern w:val="44"/>
                <w:sz w:val="24"/>
              </w:rPr>
              <w:t>1）水污染控制和水环境影响减缓措施有效性评价</w:t>
            </w:r>
          </w:p>
          <w:p>
            <w:pPr>
              <w:spacing w:line="360" w:lineRule="auto"/>
              <w:ind w:firstLine="480" w:firstLineChars="200"/>
              <w:jc w:val="left"/>
              <w:rPr>
                <w:rFonts w:hint="default" w:ascii="Times New Roman" w:hAnsi="Times New Roman" w:cs="Times New Roman"/>
                <w:kern w:val="44"/>
                <w:sz w:val="24"/>
              </w:rPr>
            </w:pPr>
            <w:r>
              <w:rPr>
                <w:rFonts w:hint="default" w:ascii="Times New Roman" w:hAnsi="Times New Roman" w:cs="Times New Roman"/>
                <w:kern w:val="44"/>
                <w:sz w:val="24"/>
              </w:rPr>
              <w:t>本项目生活污水（食堂废水）污染物为COD、SS、氨氮、TP、TN、动植物油等。本项目拟将生活污水（食堂废水）经隔油池+化粪池预处理后农肥利用。</w:t>
            </w:r>
          </w:p>
          <w:p>
            <w:pPr>
              <w:spacing w:line="360" w:lineRule="auto"/>
              <w:ind w:firstLine="480" w:firstLineChars="200"/>
              <w:jc w:val="left"/>
              <w:rPr>
                <w:rFonts w:hint="default" w:ascii="Times New Roman" w:hAnsi="Times New Roman" w:cs="Times New Roman"/>
                <w:kern w:val="44"/>
                <w:sz w:val="24"/>
                <w:lang w:val="zh-CN"/>
              </w:rPr>
            </w:pPr>
            <w:r>
              <w:rPr>
                <w:rFonts w:hint="default" w:ascii="Times New Roman" w:hAnsi="Times New Roman" w:cs="Times New Roman"/>
                <w:kern w:val="44"/>
                <w:sz w:val="24"/>
              </w:rPr>
              <w:t>化粪池是处理粪便并加以过滤沉淀的设备，其原理是：经分解和澄清后的上层的水化物进入管道流走，下层沉淀的固化物（粪便等垃圾）进一步水解，最后作为污泥被清掏。建设单位应保证污水处理达标并及时运走，通过化粪池加盖，周围加强绿化建设，并标有警示牌，避免意外发生，减少对环境的影响</w:t>
            </w:r>
            <w:r>
              <w:rPr>
                <w:rFonts w:hint="default" w:ascii="Times New Roman" w:hAnsi="Times New Roman" w:cs="Times New Roman"/>
                <w:kern w:val="44"/>
                <w:sz w:val="24"/>
                <w:lang w:val="zh-CN"/>
              </w:rPr>
              <w:t xml:space="preserve">。    </w:t>
            </w:r>
          </w:p>
          <w:p>
            <w:pPr>
              <w:spacing w:line="360" w:lineRule="auto"/>
              <w:ind w:firstLine="480" w:firstLineChars="200"/>
              <w:jc w:val="left"/>
              <w:rPr>
                <w:rFonts w:hint="default" w:ascii="Times New Roman" w:hAnsi="Times New Roman" w:cs="Times New Roman"/>
                <w:kern w:val="44"/>
                <w:sz w:val="24"/>
                <w:lang w:val="zh-CN"/>
              </w:rPr>
            </w:pPr>
            <w:r>
              <w:rPr>
                <w:rFonts w:hint="default" w:ascii="Times New Roman" w:hAnsi="Times New Roman" w:cs="Times New Roman"/>
                <w:kern w:val="44"/>
                <w:sz w:val="24"/>
                <w:lang w:val="zh-CN"/>
              </w:rPr>
              <w:t>隔油池原理：隔油池是利用废水中悬浮物和水的比重不同而达到分离的目的。隔油池的构造多采用平流式，含油废水通过配水槽进入平面为矩形的隔油池，沿水平方向缓慢流动，在流动中油品上浮水面，由集油管或设置在池面的刮油机推送到集油管中流入脱水罐。在隔油池中沉淀下来的重油及其他杂质，积聚到池底污泥斗中，通过排泥管进入污泥管中。经过隔油处理的废水则溢流入排水渠排出池外，进行后续处理，以去除乳化油及其他污染物。</w:t>
            </w:r>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kern w:val="44"/>
                <w:sz w:val="24"/>
                <w:lang w:val="zh-CN"/>
              </w:rPr>
              <w:t>参考《排污许可证申请与核发技术规范 铁路、船舶、航空航天和其他运输设备制造业》（HJ112</w:t>
            </w:r>
            <w:r>
              <w:rPr>
                <w:rFonts w:hint="default" w:ascii="Times New Roman" w:hAnsi="Times New Roman" w:cs="Times New Roman"/>
                <w:kern w:val="44"/>
                <w:sz w:val="24"/>
              </w:rPr>
              <w:t>4</w:t>
            </w:r>
            <w:r>
              <w:rPr>
                <w:rFonts w:hint="default" w:ascii="Times New Roman" w:hAnsi="Times New Roman" w:cs="Times New Roman"/>
                <w:kern w:val="44"/>
                <w:sz w:val="24"/>
                <w:lang w:val="zh-CN"/>
              </w:rPr>
              <w:t>-2020）废水污染防治可行技术，生活污水处理设施可行技术包括隔油、化粪池、其他生物法。本项目生活污水采用化粪池处理，属于可行技术，能确保生活污水达标排放</w:t>
            </w:r>
            <w:r>
              <w:rPr>
                <w:rFonts w:hint="default" w:ascii="Times New Roman" w:hAnsi="Times New Roman" w:cs="Times New Roman"/>
                <w:sz w:val="24"/>
                <w:lang w:val="zh-CN"/>
              </w:rPr>
              <w:t>。</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2）依托可行性</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A、规模上的可行性</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如皋市搬经污水处理厂处理能力为5000m</w:t>
            </w:r>
            <w:r>
              <w:rPr>
                <w:rFonts w:hint="default" w:ascii="Times New Roman" w:hAnsi="Times New Roman" w:cs="Times New Roman"/>
                <w:sz w:val="24"/>
                <w:vertAlign w:val="superscript"/>
              </w:rPr>
              <w:t>3</w:t>
            </w:r>
            <w:r>
              <w:rPr>
                <w:rFonts w:hint="default" w:ascii="Times New Roman" w:hAnsi="Times New Roman" w:cs="Times New Roman"/>
                <w:sz w:val="24"/>
              </w:rPr>
              <w:t>/d，目前接管废水总量为4355m</w:t>
            </w:r>
            <w:r>
              <w:rPr>
                <w:rFonts w:hint="default" w:ascii="Times New Roman" w:hAnsi="Times New Roman" w:cs="Times New Roman"/>
                <w:sz w:val="24"/>
                <w:vertAlign w:val="superscript"/>
              </w:rPr>
              <w:t>3</w:t>
            </w:r>
            <w:r>
              <w:rPr>
                <w:rFonts w:hint="default" w:ascii="Times New Roman" w:hAnsi="Times New Roman" w:cs="Times New Roman"/>
                <w:sz w:val="24"/>
              </w:rPr>
              <w:t>/d，尚有645m</w:t>
            </w:r>
            <w:r>
              <w:rPr>
                <w:rFonts w:hint="default" w:ascii="Times New Roman" w:hAnsi="Times New Roman" w:cs="Times New Roman"/>
                <w:sz w:val="24"/>
                <w:vertAlign w:val="superscript"/>
              </w:rPr>
              <w:t>3</w:t>
            </w:r>
            <w:r>
              <w:rPr>
                <w:rFonts w:hint="default" w:ascii="Times New Roman" w:hAnsi="Times New Roman" w:cs="Times New Roman"/>
                <w:sz w:val="24"/>
              </w:rPr>
              <w:t>/d的余量。根据工程分析，本项目新增废水量为1</w:t>
            </w:r>
            <w:r>
              <w:rPr>
                <w:rFonts w:hint="default" w:ascii="Times New Roman" w:hAnsi="Times New Roman" w:cs="Times New Roman"/>
                <w:sz w:val="24"/>
                <w:lang w:val="en-US" w:eastAsia="zh-CN"/>
              </w:rPr>
              <w:t>560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cs="Times New Roman"/>
                <w:sz w:val="24"/>
                <w:lang w:val="en-US" w:eastAsia="zh-CN"/>
              </w:rPr>
              <w:t>5.2</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/d），占污水处理厂剩余处理能力的0.</w:t>
            </w:r>
            <w:r>
              <w:rPr>
                <w:rFonts w:hint="default" w:ascii="Times New Roman" w:hAnsi="Times New Roman" w:cs="Times New Roman"/>
                <w:sz w:val="24"/>
                <w:lang w:val="en-US" w:eastAsia="zh-CN"/>
              </w:rPr>
              <w:t>81</w:t>
            </w:r>
            <w:r>
              <w:rPr>
                <w:rFonts w:hint="default" w:ascii="Times New Roman" w:hAnsi="Times New Roman" w:cs="Times New Roman"/>
                <w:sz w:val="24"/>
              </w:rPr>
              <w:t>%，不会对污水处理厂运行造成负荷。</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B、处理工艺上的可行性</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如皋市搬经污水处理厂采用“AAO+深度处理”工艺，污水厂接管的废水经处理后达到《城镇污水处理厂污染物排放标准》（GB18918-2002）表1中一级A标准，最终排入焦港河。根据污水厂现有工程的处理效率，按照设计处理工艺在正常运行情况下，废水能够保证达到设计的处理效率，稳定达标排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C、水质接管可行性</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本项目生活污水</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食堂废水</w:t>
            </w:r>
            <w:r>
              <w:rPr>
                <w:rFonts w:hint="default" w:ascii="Times New Roman" w:hAnsi="Times New Roman" w:cs="Times New Roman"/>
                <w:sz w:val="24"/>
                <w:lang w:eastAsia="zh-CN"/>
              </w:rPr>
              <w:t>）</w:t>
            </w:r>
            <w:r>
              <w:rPr>
                <w:rFonts w:hint="default" w:ascii="Times New Roman" w:hAnsi="Times New Roman" w:cs="Times New Roman"/>
                <w:sz w:val="24"/>
              </w:rPr>
              <w:t>水质简单，经厂区化粪池</w:t>
            </w:r>
            <w:r>
              <w:rPr>
                <w:rFonts w:hint="default" w:ascii="Times New Roman" w:hAnsi="Times New Roman" w:cs="Times New Roman"/>
                <w:sz w:val="24"/>
                <w:lang w:val="en-US" w:eastAsia="zh-CN"/>
              </w:rPr>
              <w:t>+隔油池</w:t>
            </w:r>
            <w:r>
              <w:rPr>
                <w:rFonts w:hint="default" w:ascii="Times New Roman" w:hAnsi="Times New Roman" w:cs="Times New Roman"/>
                <w:sz w:val="24"/>
              </w:rPr>
              <w:t>预处理后可达到如皋市搬经污水处理厂接管水质要求。如皋市搬经污水处理厂采用的工艺在技术上较为成熟，设计中主要设备、监测仪表和控制系统均采用优质设备，自动监控水平较高。因此，污水处理厂正常运转是有保证的，如皋市搬经污水处理厂的工艺可保证尾水达标排放</w:t>
            </w:r>
            <w:r>
              <w:rPr>
                <w:rFonts w:hint="default" w:ascii="Times New Roman" w:hAnsi="Times New Roman" w:cs="Times New Roman"/>
                <w:sz w:val="24"/>
                <w:lang w:eastAsia="zh-CN"/>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D、管网建设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现阶段，镇区污水管网已大面积覆盖，本项目位于如皋市搬经镇搬经社区10组、19组、村集体，项目废水可接管至该区污水管网。</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由上述分析可知，本项目生活污水经化粪池</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食堂废水先经隔油池</w:t>
            </w:r>
            <w:r>
              <w:rPr>
                <w:rFonts w:hint="default" w:ascii="Times New Roman" w:hAnsi="Times New Roman" w:cs="Times New Roman"/>
                <w:color w:val="auto"/>
                <w:sz w:val="24"/>
                <w:lang w:eastAsia="zh-CN"/>
              </w:rPr>
              <w:t>）</w:t>
            </w:r>
            <w:r>
              <w:rPr>
                <w:rFonts w:hint="default" w:ascii="Times New Roman" w:hAnsi="Times New Roman" w:cs="Times New Roman"/>
                <w:sz w:val="24"/>
              </w:rPr>
              <w:t>处理后能满足接管标准的要求，接管的废水经如皋市搬经污水处理厂处理达到《城镇污水处理厂污染物排放标准》（GB18918-2002）中一级A标准，尾水排入焦港河。本项目水质较简单，按照设计处理工艺在正常运行情况下，废水能够保证达到设计的处理效率，达标排放，对周边环境影响较小。</w:t>
            </w:r>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⑥地表水环境影响评价结论</w:t>
            </w:r>
          </w:p>
          <w:p>
            <w:pPr>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sz w:val="24"/>
              </w:rPr>
              <w:t>本项目废水经预处理达标后接管至如皋市搬经污水处理厂，项目废水满足如皋市搬经污水处理厂的进水水量及水质要求，污水处理厂尾水能够实现稳定达标排放，且项目所在地管网已覆盖到位，因此，本项目废水接入如皋市搬经污水处理厂是可行，对地表水环境的影响可接受</w:t>
            </w:r>
            <w:r>
              <w:rPr>
                <w:rFonts w:hint="default" w:ascii="Times New Roman" w:hAnsi="Times New Roman" w:cs="Times New Roman"/>
                <w:kern w:val="0"/>
                <w:sz w:val="24"/>
              </w:rPr>
              <w:t>。</w:t>
            </w:r>
          </w:p>
          <w:p>
            <w:pPr>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⑦监测计划</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1）根据《排污许可证申请与核发技术规范 铁路、船舶、航空航天和其他运输设备制造业》（HJ1124-2020），间接排放的生活污水单独排放无需进行日常监测。</w:t>
            </w:r>
          </w:p>
          <w:p>
            <w:pPr>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2）</w:t>
            </w:r>
            <w:r>
              <w:rPr>
                <w:rFonts w:hint="default" w:ascii="Times New Roman" w:hAnsi="Times New Roman" w:cs="Times New Roman"/>
                <w:sz w:val="24"/>
              </w:rPr>
              <w:t>“三同时”验收监测计划</w:t>
            </w:r>
          </w:p>
          <w:p>
            <w:pPr>
              <w:spacing w:line="360" w:lineRule="auto"/>
              <w:ind w:firstLine="480" w:firstLineChars="200"/>
              <w:jc w:val="left"/>
              <w:rPr>
                <w:rFonts w:hint="default" w:ascii="Times New Roman" w:hAnsi="Times New Roman" w:cs="Times New Roman"/>
                <w:b/>
                <w:bCs/>
                <w:sz w:val="24"/>
              </w:rPr>
            </w:pPr>
            <w:r>
              <w:rPr>
                <w:rFonts w:hint="default" w:ascii="Times New Roman" w:hAnsi="Times New Roman" w:cs="Times New Roman"/>
                <w:sz w:val="24"/>
              </w:rPr>
              <w:t>根据《建设项目竣工环境保护验收技术指南 污染影响类》，</w:t>
            </w:r>
            <w:r>
              <w:rPr>
                <w:rFonts w:hint="default" w:ascii="Times New Roman" w:hAnsi="Times New Roman" w:cs="Times New Roman"/>
                <w:bCs/>
                <w:sz w:val="24"/>
              </w:rPr>
              <w:t>建设项目需针对大气污染源、废水污染源、噪声污染源制定验收监测计划。</w:t>
            </w:r>
            <w:r>
              <w:rPr>
                <w:rFonts w:hint="default" w:ascii="Times New Roman" w:hAnsi="Times New Roman" w:cs="Times New Roman"/>
                <w:sz w:val="24"/>
              </w:rPr>
              <w:t>本项目废水监测点、监测项目及监测频次</w:t>
            </w:r>
            <w:r>
              <w:rPr>
                <w:rFonts w:hint="default" w:ascii="Times New Roman" w:hAnsi="Times New Roman" w:cs="Times New Roman"/>
                <w:bCs/>
                <w:sz w:val="24"/>
              </w:rPr>
              <w:t>见下表。</w:t>
            </w:r>
          </w:p>
          <w:p>
            <w:pPr>
              <w:adjustRightInd w:val="0"/>
              <w:snapToGrid w:val="0"/>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4</w:t>
            </w:r>
            <w:r>
              <w:rPr>
                <w:rFonts w:hint="default" w:ascii="Times New Roman" w:hAnsi="Times New Roman" w:cs="Times New Roman"/>
                <w:b/>
                <w:bCs/>
                <w:sz w:val="24"/>
              </w:rPr>
              <w:t xml:space="preserve">  验收监测计划表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494"/>
              <w:gridCol w:w="2323"/>
              <w:gridCol w:w="1080"/>
              <w:gridCol w:w="14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5"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种类</w:t>
                  </w:r>
                </w:p>
              </w:tc>
              <w:tc>
                <w:tcPr>
                  <w:tcW w:w="967"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监测点位</w:t>
                  </w:r>
                </w:p>
              </w:tc>
              <w:tc>
                <w:tcPr>
                  <w:tcW w:w="1503"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监测项目</w:t>
                  </w:r>
                </w:p>
              </w:tc>
              <w:tc>
                <w:tcPr>
                  <w:tcW w:w="699"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点位数</w:t>
                  </w:r>
                </w:p>
              </w:tc>
              <w:tc>
                <w:tcPr>
                  <w:tcW w:w="953"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restar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967" w:type="pct"/>
                  <w:tcBorders>
                    <w:tl2br w:val="nil"/>
                    <w:tr2bl w:val="nil"/>
                  </w:tcBorders>
                  <w:tcMar>
                    <w:top w:w="0" w:type="dxa"/>
                    <w:left w:w="0" w:type="dxa"/>
                    <w:bottom w:w="0" w:type="dxa"/>
                    <w:right w:w="0" w:type="dxa"/>
                  </w:tcMar>
                  <w:vAlign w:val="center"/>
                </w:tcPr>
                <w:p>
                  <w:pPr>
                    <w:pStyle w:val="66"/>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污水总排口</w:t>
                  </w:r>
                </w:p>
              </w:tc>
              <w:tc>
                <w:tcPr>
                  <w:tcW w:w="1503" w:type="pct"/>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pH、COD、SS、氨氮、总磷、总氮</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动植物油</w:t>
                  </w:r>
                </w:p>
              </w:tc>
              <w:tc>
                <w:tcPr>
                  <w:tcW w:w="699"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53" w:type="pct"/>
                  <w:vMerge w:val="restar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连续2天</w:t>
                  </w:r>
                </w:p>
                <w:p>
                  <w:pPr>
                    <w:jc w:val="center"/>
                    <w:rPr>
                      <w:rFonts w:hint="default" w:ascii="Times New Roman" w:hAnsi="Times New Roman" w:cs="Times New Roman"/>
                      <w:sz w:val="21"/>
                      <w:szCs w:val="21"/>
                    </w:rPr>
                  </w:pPr>
                  <w:r>
                    <w:rPr>
                      <w:rFonts w:hint="default" w:ascii="Times New Roman" w:hAnsi="Times New Roman" w:cs="Times New Roman"/>
                      <w:sz w:val="21"/>
                      <w:szCs w:val="21"/>
                    </w:rPr>
                    <w:t>每天4次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967" w:type="pct"/>
                  <w:tcBorders>
                    <w:tl2br w:val="nil"/>
                    <w:tr2bl w:val="nil"/>
                  </w:tcBorders>
                  <w:tcMar>
                    <w:top w:w="0" w:type="dxa"/>
                    <w:left w:w="0" w:type="dxa"/>
                    <w:bottom w:w="0" w:type="dxa"/>
                    <w:right w:w="0" w:type="dxa"/>
                  </w:tcMar>
                  <w:vAlign w:val="center"/>
                </w:tcPr>
                <w:p>
                  <w:pPr>
                    <w:pStyle w:val="66"/>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雨水排口</w:t>
                  </w:r>
                </w:p>
              </w:tc>
              <w:tc>
                <w:tcPr>
                  <w:tcW w:w="1503"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COD、SS、石油类</w:t>
                  </w:r>
                </w:p>
              </w:tc>
              <w:tc>
                <w:tcPr>
                  <w:tcW w:w="699"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53" w:type="pct"/>
                  <w:vMerge w:val="continue"/>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sz w:val="21"/>
                      <w:szCs w:val="21"/>
                    </w:rPr>
                  </w:pPr>
                </w:p>
              </w:tc>
            </w:tr>
          </w:tbl>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3）应急监测：</w:t>
            </w:r>
          </w:p>
          <w:p>
            <w:pPr>
              <w:adjustRightInd w:val="0"/>
              <w:snapToGrid w:val="0"/>
              <w:spacing w:line="360" w:lineRule="auto"/>
              <w:ind w:firstLine="480" w:firstLineChars="200"/>
              <w:rPr>
                <w:rFonts w:hint="default" w:ascii="Times New Roman" w:hAnsi="Times New Roman" w:cs="Times New Roman"/>
                <w:bCs/>
                <w:kern w:val="0"/>
                <w:sz w:val="24"/>
                <w:lang w:val="en-US"/>
              </w:rPr>
            </w:pPr>
            <w:r>
              <w:rPr>
                <w:rFonts w:hint="default" w:ascii="Times New Roman" w:hAnsi="Times New Roman" w:cs="Times New Roman"/>
                <w:bCs/>
                <w:kern w:val="0"/>
                <w:sz w:val="24"/>
              </w:rPr>
              <w:t>监测因子：pH、COD、SS、氨氮、总磷、总氮、石油类、</w:t>
            </w:r>
            <w:r>
              <w:rPr>
                <w:rFonts w:hint="default" w:ascii="Times New Roman" w:hAnsi="Times New Roman" w:cs="Times New Roman"/>
                <w:bCs/>
                <w:kern w:val="0"/>
                <w:sz w:val="24"/>
                <w:lang w:val="en-US" w:eastAsia="zh-CN"/>
              </w:rPr>
              <w:t>苯系物、二甲苯</w:t>
            </w:r>
            <w:r>
              <w:rPr>
                <w:rFonts w:hint="default" w:ascii="Times New Roman" w:hAnsi="Times New Roman" w:cs="Times New Roman"/>
                <w:bCs/>
                <w:kern w:val="0"/>
                <w:sz w:val="24"/>
                <w:lang w:eastAsia="zh-CN"/>
              </w:rPr>
              <w:t>、</w:t>
            </w:r>
            <w:r>
              <w:rPr>
                <w:rFonts w:hint="default" w:ascii="Times New Roman" w:hAnsi="Times New Roman" w:cs="Times New Roman"/>
                <w:bCs/>
                <w:color w:val="auto"/>
                <w:kern w:val="0"/>
                <w:sz w:val="24"/>
                <w:lang w:val="en-US" w:eastAsia="zh-CN"/>
              </w:rPr>
              <w:t>苯酚</w:t>
            </w:r>
          </w:p>
          <w:p>
            <w:pPr>
              <w:adjustRightInd w:val="0"/>
              <w:snapToGrid w:val="0"/>
              <w:spacing w:line="360" w:lineRule="auto"/>
              <w:ind w:firstLine="480" w:firstLineChars="200"/>
              <w:rPr>
                <w:rFonts w:hint="default" w:ascii="Times New Roman" w:hAnsi="Times New Roman" w:cs="Times New Roman"/>
                <w:bCs/>
                <w:kern w:val="0"/>
                <w:sz w:val="24"/>
              </w:rPr>
            </w:pPr>
            <w:r>
              <w:rPr>
                <w:rFonts w:hint="default" w:ascii="Times New Roman" w:hAnsi="Times New Roman" w:cs="Times New Roman"/>
                <w:bCs/>
                <w:kern w:val="0"/>
                <w:sz w:val="24"/>
              </w:rPr>
              <w:t xml:space="preserve">监测时间和频次：按照事故持续时间决定监测时间，根据事故严重性决定监测频次。一般情况下每小时取样一次。随事故控制减弱，适当减少监测频次。 </w:t>
            </w:r>
          </w:p>
          <w:p>
            <w:pPr>
              <w:adjustRightInd w:val="0"/>
              <w:snapToGrid w:val="0"/>
              <w:spacing w:line="360" w:lineRule="auto"/>
              <w:ind w:firstLine="480" w:firstLineChars="200"/>
              <w:rPr>
                <w:rFonts w:hint="default" w:ascii="Times New Roman" w:hAnsi="Times New Roman" w:cs="Times New Roman"/>
                <w:bCs/>
                <w:kern w:val="0"/>
                <w:sz w:val="24"/>
              </w:rPr>
            </w:pPr>
            <w:r>
              <w:rPr>
                <w:rFonts w:hint="default" w:ascii="Times New Roman" w:hAnsi="Times New Roman" w:cs="Times New Roman"/>
                <w:bCs/>
                <w:kern w:val="0"/>
                <w:sz w:val="24"/>
              </w:rPr>
              <w:t>监测布点：污水排放口、雨水排放口、可能受影响的河流。</w:t>
            </w:r>
          </w:p>
          <w:p>
            <w:pPr>
              <w:adjustRightInd w:val="0"/>
              <w:snapToGrid w:val="0"/>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5</w:t>
            </w:r>
            <w:r>
              <w:rPr>
                <w:rFonts w:hint="default" w:ascii="Times New Roman" w:hAnsi="Times New Roman" w:cs="Times New Roman"/>
                <w:b/>
                <w:bCs/>
                <w:sz w:val="24"/>
              </w:rPr>
              <w:t xml:space="preserve">  废水应急监测计划表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67"/>
              <w:gridCol w:w="2524"/>
              <w:gridCol w:w="1212"/>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56" w:type="pct"/>
                  <w:tcBorders>
                    <w:tl2br w:val="nil"/>
                    <w:tr2bl w:val="nil"/>
                  </w:tcBorders>
                  <w:vAlign w:val="center"/>
                </w:tcPr>
                <w:p>
                  <w:pPr>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污染种类</w:t>
                  </w:r>
                </w:p>
              </w:tc>
              <w:tc>
                <w:tcPr>
                  <w:tcW w:w="1634" w:type="pct"/>
                  <w:tcBorders>
                    <w:tl2br w:val="nil"/>
                    <w:tr2bl w:val="nil"/>
                  </w:tcBorders>
                  <w:vAlign w:val="center"/>
                </w:tcPr>
                <w:p>
                  <w:pPr>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监测位置</w:t>
                  </w:r>
                </w:p>
              </w:tc>
              <w:tc>
                <w:tcPr>
                  <w:tcW w:w="785" w:type="pct"/>
                  <w:tcBorders>
                    <w:tl2br w:val="nil"/>
                    <w:tr2bl w:val="nil"/>
                  </w:tcBorders>
                  <w:vAlign w:val="center"/>
                </w:tcPr>
                <w:p>
                  <w:pPr>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测点数</w:t>
                  </w:r>
                </w:p>
              </w:tc>
              <w:tc>
                <w:tcPr>
                  <w:tcW w:w="2900" w:type="dxa"/>
                  <w:tcBorders>
                    <w:tl2br w:val="nil"/>
                    <w:tr2bl w:val="nil"/>
                  </w:tcBorders>
                  <w:vAlign w:val="center"/>
                </w:tcPr>
                <w:p>
                  <w:pPr>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756" w:type="pct"/>
                  <w:tcBorders>
                    <w:tl2br w:val="nil"/>
                    <w:tr2bl w:val="nil"/>
                  </w:tcBorders>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地表水</w:t>
                  </w:r>
                </w:p>
              </w:tc>
              <w:tc>
                <w:tcPr>
                  <w:tcW w:w="1634" w:type="pct"/>
                  <w:tcBorders>
                    <w:tl2br w:val="nil"/>
                    <w:tr2bl w:val="nil"/>
                  </w:tcBorders>
                  <w:vAlign w:val="center"/>
                </w:tcPr>
                <w:p>
                  <w:pPr>
                    <w:jc w:val="center"/>
                    <w:rPr>
                      <w:rFonts w:hint="default" w:ascii="Times New Roman" w:hAnsi="Times New Roman" w:cs="Times New Roman"/>
                      <w:kern w:val="0"/>
                      <w:sz w:val="21"/>
                      <w:szCs w:val="21"/>
                    </w:rPr>
                  </w:pPr>
                  <w:r>
                    <w:rPr>
                      <w:rFonts w:hint="default" w:ascii="Times New Roman" w:hAnsi="Times New Roman" w:cs="Times New Roman"/>
                      <w:bCs/>
                      <w:kern w:val="0"/>
                      <w:sz w:val="21"/>
                      <w:szCs w:val="21"/>
                    </w:rPr>
                    <w:t>废水排放口、雨水排放口、可能受影响的河流</w:t>
                  </w:r>
                </w:p>
              </w:tc>
              <w:tc>
                <w:tcPr>
                  <w:tcW w:w="785" w:type="pct"/>
                  <w:tcBorders>
                    <w:tl2br w:val="nil"/>
                    <w:tr2bl w:val="nil"/>
                  </w:tcBorders>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2900" w:type="dxa"/>
                  <w:tcBorders>
                    <w:tl2br w:val="nil"/>
                    <w:tr2bl w:val="nil"/>
                  </w:tcBorders>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pH、COD、SS、氨氮、总磷、总氮、石油类、</w:t>
                  </w:r>
                  <w:r>
                    <w:rPr>
                      <w:rFonts w:hint="default" w:ascii="Times New Roman" w:hAnsi="Times New Roman" w:cs="Times New Roman"/>
                      <w:kern w:val="0"/>
                      <w:sz w:val="21"/>
                      <w:szCs w:val="21"/>
                      <w:lang w:val="en-US" w:eastAsia="zh-CN"/>
                    </w:rPr>
                    <w:t>苯系物、二甲苯</w:t>
                  </w:r>
                  <w:r>
                    <w:rPr>
                      <w:rFonts w:hint="default" w:ascii="Times New Roman" w:hAnsi="Times New Roman" w:cs="Times New Roman"/>
                      <w:kern w:val="0"/>
                      <w:sz w:val="21"/>
                      <w:szCs w:val="21"/>
                    </w:rPr>
                    <w:t>、</w:t>
                  </w:r>
                  <w:r>
                    <w:rPr>
                      <w:rFonts w:hint="default" w:ascii="Times New Roman" w:hAnsi="Times New Roman" w:cs="Times New Roman"/>
                      <w:color w:val="auto"/>
                      <w:kern w:val="0"/>
                      <w:sz w:val="21"/>
                      <w:szCs w:val="21"/>
                      <w:lang w:val="en-US" w:eastAsia="zh-CN"/>
                    </w:rPr>
                    <w:t>苯酚</w:t>
                  </w:r>
                </w:p>
              </w:tc>
            </w:tr>
            <w:bookmarkEnd w:id="5"/>
            <w:bookmarkEnd w:id="6"/>
          </w:tbl>
          <w:p>
            <w:pPr>
              <w:spacing w:line="360" w:lineRule="auto"/>
              <w:rPr>
                <w:rFonts w:hint="default" w:ascii="Times New Roman" w:hAnsi="Times New Roman" w:cs="Times New Roman"/>
                <w:color w:val="000000"/>
                <w:szCs w:val="21"/>
              </w:rPr>
            </w:pPr>
          </w:p>
        </w:tc>
      </w:tr>
    </w:tbl>
    <w:p>
      <w:pPr>
        <w:rPr>
          <w:rFonts w:hint="default" w:ascii="Times New Roman" w:hAnsi="Times New Roman" w:cs="Times New Roman"/>
          <w:color w:val="00000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8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7" w:type="pct"/>
            <w:tcMar>
              <w:left w:w="28" w:type="dxa"/>
              <w:right w:w="28" w:type="dxa"/>
            </w:tcMar>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运营</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期环</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境影</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响和</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保护</w:t>
            </w:r>
          </w:p>
          <w:p>
            <w:pPr>
              <w:adjustRightInd w:val="0"/>
              <w:snapToGrid w:val="0"/>
              <w:jc w:val="center"/>
              <w:rPr>
                <w:rFonts w:hint="default" w:ascii="Times New Roman" w:hAnsi="Times New Roman" w:cs="Times New Roman"/>
                <w:bCs/>
                <w:color w:val="000000"/>
                <w:szCs w:val="21"/>
              </w:rPr>
            </w:pPr>
            <w:r>
              <w:rPr>
                <w:rFonts w:hint="default" w:ascii="Times New Roman" w:hAnsi="Times New Roman" w:cs="Times New Roman"/>
                <w:b/>
                <w:color w:val="000000"/>
                <w:szCs w:val="21"/>
              </w:rPr>
              <w:t>措施</w:t>
            </w:r>
          </w:p>
        </w:tc>
        <w:tc>
          <w:tcPr>
            <w:tcW w:w="4642" w:type="pct"/>
            <w:vAlign w:val="center"/>
          </w:tcPr>
          <w:p>
            <w:pPr>
              <w:pStyle w:val="4"/>
              <w:spacing w:line="360" w:lineRule="auto"/>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3、噪声</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（1）预测模型</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根据《环境影响评价技术导则声环境》（HJ2.4-2021）的规定，选取预测模式，应用过程中将根据具体情况做必要简化，计算过程如下：</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a）声环境影响预测模式</w:t>
            </w:r>
          </w:p>
          <w:p>
            <w:pPr>
              <w:adjustRightInd w:val="0"/>
              <w:snapToGrid w:val="0"/>
              <w:spacing w:line="360" w:lineRule="auto"/>
              <w:ind w:firstLine="480" w:firstLineChars="200"/>
              <w:jc w:val="center"/>
              <w:rPr>
                <w:rFonts w:hint="default" w:ascii="Times New Roman" w:hAnsi="Times New Roman" w:cs="Times New Roman"/>
                <w:kern w:val="21"/>
                <w:sz w:val="24"/>
              </w:rPr>
            </w:pPr>
            <w:r>
              <w:rPr>
                <w:rFonts w:hint="default" w:ascii="Times New Roman" w:hAnsi="Times New Roman" w:cs="Times New Roman"/>
                <w:sz w:val="24"/>
              </w:rPr>
              <w:drawing>
                <wp:inline distT="0" distB="0" distL="114300" distR="114300">
                  <wp:extent cx="1135380" cy="274320"/>
                  <wp:effectExtent l="0" t="0" r="7620" b="11430"/>
                  <wp:docPr id="5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2"/>
                          <pic:cNvPicPr>
                            <a:picLocks noChangeAspect="1"/>
                          </pic:cNvPicPr>
                        </pic:nvPicPr>
                        <pic:blipFill>
                          <a:blip r:embed="rId20"/>
                          <a:stretch>
                            <a:fillRect/>
                          </a:stretch>
                        </pic:blipFill>
                        <pic:spPr>
                          <a:xfrm>
                            <a:off x="0" y="0"/>
                            <a:ext cx="1135380" cy="274320"/>
                          </a:xfrm>
                          <a:prstGeom prst="rect">
                            <a:avLst/>
                          </a:prstGeom>
                          <a:noFill/>
                          <a:ln>
                            <a:noFill/>
                          </a:ln>
                        </pic:spPr>
                      </pic:pic>
                    </a:graphicData>
                  </a:graphic>
                </wp:inline>
              </w:drawing>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式中：L</w:t>
            </w:r>
            <w:r>
              <w:rPr>
                <w:rFonts w:hint="default" w:ascii="Times New Roman" w:hAnsi="Times New Roman" w:cs="Times New Roman"/>
                <w:kern w:val="21"/>
                <w:sz w:val="24"/>
                <w:vertAlign w:val="subscript"/>
              </w:rPr>
              <w:t>A</w:t>
            </w:r>
            <w:r>
              <w:rPr>
                <w:rFonts w:hint="default" w:ascii="Times New Roman" w:hAnsi="Times New Roman" w:cs="Times New Roman"/>
                <w:kern w:val="21"/>
                <w:sz w:val="24"/>
              </w:rPr>
              <w:t>（r）—预测点r处A声级，dB（A）；</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 xml:space="preserve">      L</w:t>
            </w:r>
            <w:r>
              <w:rPr>
                <w:rFonts w:hint="default" w:ascii="Times New Roman" w:hAnsi="Times New Roman" w:cs="Times New Roman"/>
                <w:kern w:val="21"/>
                <w:sz w:val="24"/>
                <w:vertAlign w:val="subscript"/>
              </w:rPr>
              <w:t>A</w:t>
            </w:r>
            <w:r>
              <w:rPr>
                <w:rFonts w:hint="default" w:ascii="Times New Roman" w:hAnsi="Times New Roman" w:cs="Times New Roman"/>
                <w:kern w:val="21"/>
                <w:sz w:val="24"/>
              </w:rPr>
              <w:t>（r</w:t>
            </w:r>
            <w:r>
              <w:rPr>
                <w:rFonts w:hint="default" w:ascii="Times New Roman" w:hAnsi="Times New Roman" w:cs="Times New Roman"/>
                <w:kern w:val="21"/>
                <w:sz w:val="24"/>
                <w:vertAlign w:val="subscript"/>
              </w:rPr>
              <w:t>0</w:t>
            </w:r>
            <w:r>
              <w:rPr>
                <w:rFonts w:hint="default" w:ascii="Times New Roman" w:hAnsi="Times New Roman" w:cs="Times New Roman"/>
                <w:kern w:val="21"/>
                <w:sz w:val="24"/>
              </w:rPr>
              <w:t>）—r</w:t>
            </w:r>
            <w:r>
              <w:rPr>
                <w:rFonts w:hint="default" w:ascii="Times New Roman" w:hAnsi="Times New Roman" w:cs="Times New Roman"/>
                <w:kern w:val="21"/>
                <w:sz w:val="24"/>
                <w:vertAlign w:val="subscript"/>
              </w:rPr>
              <w:t>0</w:t>
            </w:r>
            <w:r>
              <w:rPr>
                <w:rFonts w:hint="default" w:ascii="Times New Roman" w:hAnsi="Times New Roman" w:cs="Times New Roman"/>
                <w:kern w:val="21"/>
                <w:sz w:val="24"/>
              </w:rPr>
              <w:t>处A声级，dB（A）；</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 xml:space="preserve">      A—倍频带衰减，dB（A）。</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b）建设项目声源在预测点产生的等效声级贡献值（L</w:t>
            </w:r>
            <w:r>
              <w:rPr>
                <w:rFonts w:hint="default" w:ascii="Times New Roman" w:hAnsi="Times New Roman" w:cs="Times New Roman"/>
                <w:kern w:val="21"/>
                <w:sz w:val="24"/>
                <w:vertAlign w:val="subscript"/>
              </w:rPr>
              <w:t>eqg</w:t>
            </w:r>
            <w:r>
              <w:rPr>
                <w:rFonts w:hint="default" w:ascii="Times New Roman" w:hAnsi="Times New Roman" w:cs="Times New Roman"/>
                <w:kern w:val="21"/>
                <w:sz w:val="24"/>
              </w:rPr>
              <w:t>）计算公式：</w:t>
            </w:r>
          </w:p>
          <w:p>
            <w:pPr>
              <w:adjustRightInd w:val="0"/>
              <w:snapToGrid w:val="0"/>
              <w:spacing w:line="360" w:lineRule="auto"/>
              <w:ind w:firstLine="480" w:firstLineChars="200"/>
              <w:jc w:val="center"/>
              <w:rPr>
                <w:rFonts w:hint="default" w:ascii="Times New Roman" w:hAnsi="Times New Roman" w:cs="Times New Roman"/>
                <w:kern w:val="21"/>
                <w:sz w:val="24"/>
              </w:rPr>
            </w:pPr>
            <w:r>
              <w:rPr>
                <w:rFonts w:hint="default" w:ascii="Times New Roman" w:hAnsi="Times New Roman" w:cs="Times New Roman"/>
                <w:sz w:val="24"/>
              </w:rPr>
              <w:drawing>
                <wp:inline distT="0" distB="0" distL="114300" distR="114300">
                  <wp:extent cx="2072640" cy="426720"/>
                  <wp:effectExtent l="0" t="0" r="3810" b="11430"/>
                  <wp:docPr id="5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3"/>
                          <pic:cNvPicPr>
                            <a:picLocks noChangeAspect="1"/>
                          </pic:cNvPicPr>
                        </pic:nvPicPr>
                        <pic:blipFill>
                          <a:blip r:embed="rId21"/>
                          <a:stretch>
                            <a:fillRect/>
                          </a:stretch>
                        </pic:blipFill>
                        <pic:spPr>
                          <a:xfrm>
                            <a:off x="0" y="0"/>
                            <a:ext cx="2072640" cy="426720"/>
                          </a:xfrm>
                          <a:prstGeom prst="rect">
                            <a:avLst/>
                          </a:prstGeom>
                          <a:noFill/>
                          <a:ln>
                            <a:noFill/>
                          </a:ln>
                        </pic:spPr>
                      </pic:pic>
                    </a:graphicData>
                  </a:graphic>
                </wp:inline>
              </w:drawing>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式中：L</w:t>
            </w:r>
            <w:r>
              <w:rPr>
                <w:rFonts w:hint="default" w:ascii="Times New Roman" w:hAnsi="Times New Roman" w:cs="Times New Roman"/>
                <w:kern w:val="21"/>
                <w:sz w:val="24"/>
                <w:vertAlign w:val="subscript"/>
              </w:rPr>
              <w:t>eqg</w:t>
            </w:r>
            <w:r>
              <w:rPr>
                <w:rFonts w:hint="default" w:ascii="Times New Roman" w:hAnsi="Times New Roman" w:cs="Times New Roman"/>
                <w:kern w:val="21"/>
                <w:sz w:val="24"/>
              </w:rPr>
              <w:t>—建设项目声源在预测点的等效声级贡献值，dB（A）；</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 xml:space="preserve">      L</w:t>
            </w:r>
            <w:r>
              <w:rPr>
                <w:rFonts w:hint="default" w:ascii="Times New Roman" w:hAnsi="Times New Roman" w:cs="Times New Roman"/>
                <w:kern w:val="21"/>
                <w:sz w:val="24"/>
                <w:vertAlign w:val="subscript"/>
              </w:rPr>
              <w:t>Ai</w:t>
            </w:r>
            <w:r>
              <w:rPr>
                <w:rFonts w:hint="default" w:ascii="Times New Roman" w:hAnsi="Times New Roman" w:cs="Times New Roman"/>
                <w:kern w:val="21"/>
                <w:sz w:val="24"/>
              </w:rPr>
              <w:t xml:space="preserve">—i声源在预测点产生的A声级，dB（A）； </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 xml:space="preserve">      T—预测计算的时间段，s；</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 xml:space="preserve">      t</w:t>
            </w:r>
            <w:r>
              <w:rPr>
                <w:rFonts w:hint="default" w:ascii="Times New Roman" w:hAnsi="Times New Roman" w:cs="Times New Roman"/>
                <w:kern w:val="21"/>
                <w:sz w:val="24"/>
                <w:vertAlign w:val="subscript"/>
              </w:rPr>
              <w:t>i</w:t>
            </w:r>
            <w:r>
              <w:rPr>
                <w:rFonts w:hint="default" w:ascii="Times New Roman" w:hAnsi="Times New Roman" w:cs="Times New Roman"/>
                <w:kern w:val="21"/>
                <w:sz w:val="24"/>
              </w:rPr>
              <w:t>—i声源在T时段内的运行时间，s。</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c）预测点的预测等效声级（L</w:t>
            </w:r>
            <w:r>
              <w:rPr>
                <w:rFonts w:hint="default" w:ascii="Times New Roman" w:hAnsi="Times New Roman" w:cs="Times New Roman"/>
                <w:kern w:val="21"/>
                <w:sz w:val="24"/>
                <w:vertAlign w:val="subscript"/>
              </w:rPr>
              <w:t>eq</w:t>
            </w:r>
            <w:r>
              <w:rPr>
                <w:rFonts w:hint="default" w:ascii="Times New Roman" w:hAnsi="Times New Roman" w:cs="Times New Roman"/>
                <w:kern w:val="21"/>
                <w:sz w:val="24"/>
              </w:rPr>
              <w:t>）计算公式：</w:t>
            </w:r>
          </w:p>
          <w:p>
            <w:pPr>
              <w:adjustRightInd w:val="0"/>
              <w:snapToGrid w:val="0"/>
              <w:spacing w:line="360" w:lineRule="auto"/>
              <w:ind w:firstLine="480" w:firstLineChars="200"/>
              <w:jc w:val="center"/>
              <w:rPr>
                <w:rFonts w:hint="default" w:ascii="Times New Roman" w:hAnsi="Times New Roman" w:cs="Times New Roman"/>
                <w:kern w:val="21"/>
                <w:sz w:val="24"/>
              </w:rPr>
            </w:pPr>
            <w:r>
              <w:rPr>
                <w:rFonts w:hint="default" w:ascii="Times New Roman" w:hAnsi="Times New Roman" w:cs="Times New Roman"/>
                <w:sz w:val="24"/>
              </w:rPr>
              <w:drawing>
                <wp:inline distT="0" distB="0" distL="114300" distR="114300">
                  <wp:extent cx="1737360" cy="304800"/>
                  <wp:effectExtent l="0" t="0" r="15240" b="0"/>
                  <wp:docPr id="5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4"/>
                          <pic:cNvPicPr>
                            <a:picLocks noChangeAspect="1"/>
                          </pic:cNvPicPr>
                        </pic:nvPicPr>
                        <pic:blipFill>
                          <a:blip r:embed="rId22"/>
                          <a:stretch>
                            <a:fillRect/>
                          </a:stretch>
                        </pic:blipFill>
                        <pic:spPr>
                          <a:xfrm>
                            <a:off x="0" y="0"/>
                            <a:ext cx="1737360" cy="304800"/>
                          </a:xfrm>
                          <a:prstGeom prst="rect">
                            <a:avLst/>
                          </a:prstGeom>
                          <a:noFill/>
                          <a:ln>
                            <a:noFill/>
                          </a:ln>
                        </pic:spPr>
                      </pic:pic>
                    </a:graphicData>
                  </a:graphic>
                </wp:inline>
              </w:drawing>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式中：L</w:t>
            </w:r>
            <w:r>
              <w:rPr>
                <w:rFonts w:hint="default" w:ascii="Times New Roman" w:hAnsi="Times New Roman" w:cs="Times New Roman"/>
                <w:kern w:val="21"/>
                <w:sz w:val="24"/>
                <w:vertAlign w:val="subscript"/>
              </w:rPr>
              <w:t>eqb</w:t>
            </w:r>
            <w:r>
              <w:rPr>
                <w:rFonts w:hint="default" w:ascii="Times New Roman" w:hAnsi="Times New Roman" w:cs="Times New Roman"/>
                <w:kern w:val="21"/>
                <w:sz w:val="24"/>
              </w:rPr>
              <w:t>—预测点的背景值，dB（A）。</w:t>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d）在环境噪声预测中各噪声源作为点声源处理，故几何发散衰减：</w:t>
            </w:r>
          </w:p>
          <w:p>
            <w:pPr>
              <w:adjustRightInd w:val="0"/>
              <w:snapToGrid w:val="0"/>
              <w:spacing w:line="360" w:lineRule="auto"/>
              <w:ind w:firstLine="720" w:firstLineChars="300"/>
              <w:jc w:val="center"/>
              <w:rPr>
                <w:rFonts w:hint="default" w:ascii="Times New Roman" w:hAnsi="Times New Roman" w:cs="Times New Roman"/>
                <w:kern w:val="21"/>
                <w:sz w:val="24"/>
              </w:rPr>
            </w:pPr>
            <w:r>
              <w:rPr>
                <w:rFonts w:hint="default" w:ascii="Times New Roman" w:hAnsi="Times New Roman" w:cs="Times New Roman"/>
                <w:sz w:val="24"/>
              </w:rPr>
              <w:drawing>
                <wp:inline distT="0" distB="0" distL="114300" distR="114300">
                  <wp:extent cx="1295400" cy="510540"/>
                  <wp:effectExtent l="0" t="0" r="0" b="3810"/>
                  <wp:docPr id="5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5"/>
                          <pic:cNvPicPr>
                            <a:picLocks noChangeAspect="1"/>
                          </pic:cNvPicPr>
                        </pic:nvPicPr>
                        <pic:blipFill>
                          <a:blip r:embed="rId23"/>
                          <a:stretch>
                            <a:fillRect/>
                          </a:stretch>
                        </pic:blipFill>
                        <pic:spPr>
                          <a:xfrm>
                            <a:off x="0" y="0"/>
                            <a:ext cx="1295400" cy="510540"/>
                          </a:xfrm>
                          <a:prstGeom prst="rect">
                            <a:avLst/>
                          </a:prstGeom>
                          <a:noFill/>
                          <a:ln>
                            <a:noFill/>
                          </a:ln>
                        </pic:spPr>
                      </pic:pic>
                    </a:graphicData>
                  </a:graphic>
                </wp:inline>
              </w:drawing>
            </w:r>
          </w:p>
          <w:p>
            <w:pPr>
              <w:adjustRightInd w:val="0"/>
              <w:snapToGrid w:val="0"/>
              <w:spacing w:line="360" w:lineRule="auto"/>
              <w:ind w:firstLine="480" w:firstLineChars="200"/>
              <w:jc w:val="left"/>
              <w:rPr>
                <w:rFonts w:hint="default" w:ascii="Times New Roman" w:hAnsi="Times New Roman" w:cs="Times New Roman"/>
                <w:kern w:val="21"/>
                <w:sz w:val="24"/>
              </w:rPr>
            </w:pPr>
            <w:r>
              <w:rPr>
                <w:rFonts w:hint="default" w:ascii="Times New Roman" w:hAnsi="Times New Roman" w:cs="Times New Roman"/>
                <w:kern w:val="21"/>
                <w:sz w:val="24"/>
              </w:rPr>
              <w:t>式中：A</w:t>
            </w:r>
            <w:r>
              <w:rPr>
                <w:rFonts w:hint="default" w:ascii="Times New Roman" w:hAnsi="Times New Roman" w:cs="Times New Roman"/>
                <w:kern w:val="21"/>
                <w:sz w:val="24"/>
                <w:vertAlign w:val="subscript"/>
              </w:rPr>
              <w:t>div</w:t>
            </w:r>
            <w:r>
              <w:rPr>
                <w:rFonts w:hint="default" w:ascii="Times New Roman" w:hAnsi="Times New Roman" w:cs="Times New Roman"/>
                <w:kern w:val="21"/>
                <w:sz w:val="24"/>
              </w:rPr>
              <w:t>—几何发散衰减；</w:t>
            </w:r>
          </w:p>
          <w:p>
            <w:pPr>
              <w:adjustRightInd w:val="0"/>
              <w:snapToGrid w:val="0"/>
              <w:spacing w:line="360" w:lineRule="auto"/>
              <w:ind w:firstLine="1200" w:firstLineChars="500"/>
              <w:jc w:val="left"/>
              <w:rPr>
                <w:rFonts w:hint="default" w:ascii="Times New Roman" w:hAnsi="Times New Roman" w:cs="Times New Roman"/>
                <w:kern w:val="21"/>
                <w:sz w:val="24"/>
              </w:rPr>
            </w:pPr>
            <w:r>
              <w:rPr>
                <w:rFonts w:hint="default" w:ascii="Times New Roman" w:hAnsi="Times New Roman" w:cs="Times New Roman"/>
                <w:kern w:val="21"/>
                <w:sz w:val="24"/>
              </w:rPr>
              <w:t>r</w:t>
            </w:r>
            <w:r>
              <w:rPr>
                <w:rFonts w:hint="default" w:ascii="Times New Roman" w:hAnsi="Times New Roman" w:cs="Times New Roman"/>
                <w:kern w:val="21"/>
                <w:sz w:val="24"/>
                <w:vertAlign w:val="subscript"/>
              </w:rPr>
              <w:t>0</w:t>
            </w:r>
            <w:r>
              <w:rPr>
                <w:rFonts w:hint="default" w:ascii="Times New Roman" w:hAnsi="Times New Roman" w:cs="Times New Roman"/>
                <w:kern w:val="21"/>
                <w:sz w:val="24"/>
              </w:rPr>
              <w:t>—噪声合成点与噪声源的距离，m；</w:t>
            </w:r>
          </w:p>
          <w:p>
            <w:pPr>
              <w:spacing w:line="360" w:lineRule="auto"/>
              <w:ind w:firstLine="1200" w:firstLineChars="500"/>
              <w:rPr>
                <w:rFonts w:hint="default" w:ascii="Times New Roman" w:hAnsi="Times New Roman" w:cs="Times New Roman"/>
                <w:sz w:val="24"/>
              </w:rPr>
            </w:pPr>
            <w:r>
              <w:rPr>
                <w:rFonts w:hint="default" w:ascii="Times New Roman" w:hAnsi="Times New Roman" w:cs="Times New Roman"/>
                <w:kern w:val="21"/>
                <w:sz w:val="24"/>
              </w:rPr>
              <w:t>r—预测点与噪声源的距离，m。</w:t>
            </w:r>
          </w:p>
          <w:p>
            <w:pPr>
              <w:numPr>
                <w:ilvl w:val="0"/>
                <w:numId w:val="18"/>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预测参数</w:t>
            </w:r>
          </w:p>
          <w:p>
            <w:pPr>
              <w:spacing w:line="360" w:lineRule="auto"/>
              <w:ind w:left="420" w:leftChars="200"/>
              <w:rPr>
                <w:rFonts w:hint="default" w:ascii="Times New Roman" w:hAnsi="Times New Roman" w:cs="Times New Roman"/>
                <w:sz w:val="24"/>
              </w:rPr>
            </w:pPr>
            <w:r>
              <w:rPr>
                <w:rFonts w:hint="default" w:ascii="Times New Roman" w:hAnsi="Times New Roman" w:cs="Times New Roman"/>
                <w:sz w:val="24"/>
              </w:rPr>
              <w:t>①噪声源强</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sz w:val="24"/>
              </w:rPr>
              <w:t>本项目在生产过程中产生的噪声主要</w:t>
            </w:r>
            <w:r>
              <w:rPr>
                <w:rFonts w:hint="default" w:ascii="Times New Roman" w:hAnsi="Times New Roman" w:cs="Times New Roman"/>
                <w:color w:val="000000"/>
                <w:sz w:val="24"/>
              </w:rPr>
              <w:t>为数控加工中心、手持打磨机、抛丸机、磨床等生产设备及风机等公辅设备，源强在70~90dB（A），噪声特征以连续性噪声为主，间歇性噪声为辅。本项目主要噪声源及降噪措施见表4-</w:t>
            </w:r>
            <w:r>
              <w:rPr>
                <w:rFonts w:hint="default" w:ascii="Times New Roman" w:hAnsi="Times New Roman" w:cs="Times New Roman"/>
                <w:color w:val="000000"/>
                <w:sz w:val="24"/>
                <w:lang w:val="en-US" w:eastAsia="zh-CN"/>
              </w:rPr>
              <w:t>6</w:t>
            </w:r>
            <w:r>
              <w:rPr>
                <w:rFonts w:hint="default" w:ascii="Times New Roman" w:hAnsi="Times New Roman" w:cs="Times New Roman"/>
                <w:color w:val="000000"/>
                <w:sz w:val="24"/>
              </w:rPr>
              <w:t>及表4-</w:t>
            </w:r>
            <w:r>
              <w:rPr>
                <w:rFonts w:hint="default" w:ascii="Times New Roman" w:hAnsi="Times New Roman" w:cs="Times New Roman"/>
                <w:color w:val="000000"/>
                <w:sz w:val="24"/>
                <w:lang w:val="en-US" w:eastAsia="zh-CN"/>
              </w:rPr>
              <w:t>7</w:t>
            </w:r>
            <w:r>
              <w:rPr>
                <w:rFonts w:hint="default" w:ascii="Times New Roman" w:hAnsi="Times New Roman" w:cs="Times New Roman"/>
                <w:color w:val="000000"/>
                <w:sz w:val="24"/>
              </w:rPr>
              <w:t>。</w:t>
            </w:r>
          </w:p>
        </w:tc>
      </w:tr>
    </w:tbl>
    <w:p>
      <w:pPr>
        <w:rPr>
          <w:rFonts w:hint="default" w:ascii="Times New Roman" w:hAnsi="Times New Roman" w:cs="Times New Roman"/>
          <w:color w:val="00000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50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65" w:hRule="atLeast"/>
          <w:jc w:val="center"/>
        </w:trPr>
        <w:tc>
          <w:tcPr>
            <w:tcW w:w="557" w:type="dxa"/>
            <w:noWrap/>
            <w:tcMar>
              <w:left w:w="28" w:type="dxa"/>
              <w:right w:w="28" w:type="dxa"/>
            </w:tcMar>
            <w:vAlign w:val="center"/>
          </w:tcPr>
          <w:p>
            <w:pPr>
              <w:adjustRightInd w:val="0"/>
              <w:snapToGrid w:val="0"/>
              <w:jc w:val="center"/>
              <w:rPr>
                <w:rFonts w:hint="default" w:ascii="Times New Roman" w:hAnsi="Times New Roman" w:cs="Times New Roman"/>
                <w:b/>
                <w:bCs/>
                <w:szCs w:val="21"/>
              </w:rPr>
            </w:pPr>
          </w:p>
        </w:tc>
        <w:tc>
          <w:tcPr>
            <w:tcW w:w="12591" w:type="dxa"/>
            <w:noWrap/>
          </w:tcPr>
          <w:p>
            <w:pPr>
              <w:widowControl/>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 xml:space="preserve">  本项目工业企业噪声源强调查清单（室内声源）</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3"/>
              <w:gridCol w:w="411"/>
              <w:gridCol w:w="868"/>
              <w:gridCol w:w="659"/>
              <w:gridCol w:w="1154"/>
              <w:gridCol w:w="595"/>
              <w:gridCol w:w="456"/>
              <w:gridCol w:w="455"/>
              <w:gridCol w:w="455"/>
              <w:gridCol w:w="455"/>
              <w:gridCol w:w="455"/>
              <w:gridCol w:w="455"/>
              <w:gridCol w:w="455"/>
              <w:gridCol w:w="455"/>
              <w:gridCol w:w="455"/>
              <w:gridCol w:w="455"/>
              <w:gridCol w:w="460"/>
              <w:gridCol w:w="465"/>
              <w:gridCol w:w="487"/>
              <w:gridCol w:w="492"/>
              <w:gridCol w:w="492"/>
              <w:gridCol w:w="492"/>
              <w:gridCol w:w="502"/>
              <w:gridCol w:w="3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序号</w:t>
                  </w:r>
                </w:p>
              </w:tc>
              <w:tc>
                <w:tcPr>
                  <w:tcW w:w="165"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建筑物名称</w:t>
                  </w:r>
                </w:p>
              </w:tc>
              <w:tc>
                <w:tcPr>
                  <w:tcW w:w="349"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声源</w:t>
                  </w:r>
                </w:p>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名称</w:t>
                  </w:r>
                </w:p>
              </w:tc>
              <w:tc>
                <w:tcPr>
                  <w:tcW w:w="265"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设备数量（台/套）</w:t>
                  </w:r>
                </w:p>
              </w:tc>
              <w:tc>
                <w:tcPr>
                  <w:tcW w:w="464" w:type="pct"/>
                  <w:tcBorders>
                    <w:tl2br w:val="nil"/>
                    <w:tr2bl w:val="nil"/>
                  </w:tcBorders>
                  <w:vAlign w:val="center"/>
                </w:tcPr>
                <w:p>
                  <w:pPr>
                    <w:widowControl/>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szCs w:val="21"/>
                    </w:rPr>
                    <w:t>声源强</w:t>
                  </w:r>
                </w:p>
              </w:tc>
              <w:tc>
                <w:tcPr>
                  <w:tcW w:w="239"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控制措施</w:t>
                  </w:r>
                </w:p>
              </w:tc>
              <w:tc>
                <w:tcPr>
                  <w:tcW w:w="549" w:type="pct"/>
                  <w:gridSpan w:val="3"/>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Style w:val="97"/>
                      <w:rFonts w:hint="default" w:ascii="Times New Roman" w:hAnsi="Times New Roman" w:cs="Times New Roman"/>
                      <w:color w:val="auto"/>
                      <w:lang w:bidi="ar"/>
                    </w:rPr>
                    <w:t>空间相对位置</w:t>
                  </w:r>
                  <w:r>
                    <w:rPr>
                      <w:rStyle w:val="98"/>
                      <w:rFonts w:hint="default" w:ascii="Times New Roman" w:hAnsi="Times New Roman" w:cs="Times New Roman"/>
                      <w:color w:val="auto"/>
                      <w:lang w:bidi="ar"/>
                    </w:rPr>
                    <w:t>/m</w:t>
                  </w:r>
                </w:p>
              </w:tc>
              <w:tc>
                <w:tcPr>
                  <w:tcW w:w="732" w:type="pct"/>
                  <w:gridSpan w:val="4"/>
                  <w:tcBorders>
                    <w:tl2br w:val="nil"/>
                    <w:tr2bl w:val="nil"/>
                  </w:tcBorders>
                  <w:vAlign w:val="center"/>
                </w:tcPr>
                <w:p>
                  <w:pPr>
                    <w:widowControl/>
                    <w:jc w:val="center"/>
                    <w:textAlignment w:val="center"/>
                    <w:rPr>
                      <w:rStyle w:val="97"/>
                      <w:rFonts w:hint="default" w:ascii="Times New Roman" w:hAnsi="Times New Roman" w:cs="Times New Roman"/>
                      <w:color w:val="auto"/>
                      <w:lang w:bidi="ar"/>
                    </w:rPr>
                  </w:pPr>
                  <w:r>
                    <w:rPr>
                      <w:rStyle w:val="97"/>
                      <w:rFonts w:hint="default" w:ascii="Times New Roman" w:hAnsi="Times New Roman" w:cs="Times New Roman"/>
                      <w:color w:val="auto"/>
                      <w:lang w:bidi="ar"/>
                    </w:rPr>
                    <w:t>距室内边界距离</w:t>
                  </w:r>
                  <w:r>
                    <w:rPr>
                      <w:rStyle w:val="98"/>
                      <w:rFonts w:hint="default" w:ascii="Times New Roman" w:hAnsi="Times New Roman" w:cs="Times New Roman"/>
                      <w:color w:val="auto"/>
                      <w:lang w:bidi="ar"/>
                    </w:rPr>
                    <w:t>/m</w:t>
                  </w:r>
                </w:p>
              </w:tc>
              <w:tc>
                <w:tcPr>
                  <w:tcW w:w="734" w:type="pct"/>
                  <w:gridSpan w:val="4"/>
                  <w:tcBorders>
                    <w:tl2br w:val="nil"/>
                    <w:tr2bl w:val="nil"/>
                  </w:tcBorders>
                  <w:vAlign w:val="center"/>
                </w:tcPr>
                <w:p>
                  <w:pPr>
                    <w:widowControl/>
                    <w:jc w:val="center"/>
                    <w:textAlignment w:val="center"/>
                    <w:rPr>
                      <w:rStyle w:val="97"/>
                      <w:rFonts w:hint="default" w:ascii="Times New Roman" w:hAnsi="Times New Roman" w:cs="Times New Roman"/>
                      <w:color w:val="auto"/>
                      <w:lang w:bidi="ar"/>
                    </w:rPr>
                  </w:pPr>
                  <w:r>
                    <w:rPr>
                      <w:rStyle w:val="97"/>
                      <w:rFonts w:hint="default" w:ascii="Times New Roman" w:hAnsi="Times New Roman" w:cs="Times New Roman"/>
                      <w:color w:val="auto"/>
                      <w:lang w:bidi="ar"/>
                    </w:rPr>
                    <w:t>室内边界声级</w:t>
                  </w:r>
                  <w:r>
                    <w:rPr>
                      <w:rStyle w:val="98"/>
                      <w:rFonts w:hint="default" w:ascii="Times New Roman" w:hAnsi="Times New Roman" w:cs="Times New Roman"/>
                      <w:color w:val="auto"/>
                      <w:lang w:bidi="ar"/>
                    </w:rPr>
                    <w:t>/dB(A)</w:t>
                  </w:r>
                </w:p>
              </w:tc>
              <w:tc>
                <w:tcPr>
                  <w:tcW w:w="187"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持续时间h/d</w:t>
                  </w:r>
                </w:p>
              </w:tc>
              <w:tc>
                <w:tcPr>
                  <w:tcW w:w="196"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Style w:val="97"/>
                      <w:rFonts w:hint="default" w:ascii="Times New Roman" w:hAnsi="Times New Roman" w:cs="Times New Roman"/>
                      <w:color w:val="auto"/>
                      <w:lang w:bidi="ar"/>
                    </w:rPr>
                    <w:t xml:space="preserve">筑物插入损失 </w:t>
                  </w:r>
                  <w:r>
                    <w:rPr>
                      <w:rStyle w:val="98"/>
                      <w:rFonts w:hint="default" w:ascii="Times New Roman" w:hAnsi="Times New Roman" w:cs="Times New Roman"/>
                      <w:color w:val="auto"/>
                      <w:lang w:bidi="ar"/>
                    </w:rPr>
                    <w:t>/ dB(A</w:t>
                  </w:r>
                  <w:r>
                    <w:rPr>
                      <w:rStyle w:val="99"/>
                      <w:rFonts w:hint="default" w:ascii="Times New Roman" w:hAnsi="Times New Roman" w:cs="Times New Roman"/>
                      <w:color w:val="auto"/>
                      <w:lang w:bidi="ar"/>
                    </w:rPr>
                    <w:t>)</w:t>
                  </w:r>
                </w:p>
              </w:tc>
              <w:tc>
                <w:tcPr>
                  <w:tcW w:w="937" w:type="pct"/>
                  <w:gridSpan w:val="5"/>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65"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349"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265"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464"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功率级/dB(A)</w:t>
                  </w:r>
                </w:p>
              </w:tc>
              <w:tc>
                <w:tcPr>
                  <w:tcW w:w="239"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X</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Y</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Z</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东</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南</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西</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北</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东</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南</w:t>
                  </w:r>
                </w:p>
              </w:tc>
              <w:tc>
                <w:tcPr>
                  <w:tcW w:w="183"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西</w:t>
                  </w:r>
                </w:p>
              </w:tc>
              <w:tc>
                <w:tcPr>
                  <w:tcW w:w="185"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北</w:t>
                  </w:r>
                </w:p>
              </w:tc>
              <w:tc>
                <w:tcPr>
                  <w:tcW w:w="187"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96"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796" w:type="pct"/>
                  <w:gridSpan w:val="4"/>
                  <w:tcBorders>
                    <w:tl2br w:val="nil"/>
                    <w:tr2bl w:val="nil"/>
                  </w:tcBorders>
                  <w:vAlign w:val="center"/>
                </w:tcPr>
                <w:p>
                  <w:pPr>
                    <w:widowControl/>
                    <w:jc w:val="center"/>
                    <w:textAlignment w:val="center"/>
                    <w:rPr>
                      <w:rStyle w:val="100"/>
                      <w:rFonts w:hint="default" w:ascii="Times New Roman" w:hAnsi="Times New Roman" w:cs="Times New Roman"/>
                      <w:b/>
                      <w:bCs/>
                      <w:color w:val="auto"/>
                      <w:lang w:bidi="ar"/>
                    </w:rPr>
                  </w:pPr>
                  <w:r>
                    <w:rPr>
                      <w:rStyle w:val="100"/>
                      <w:rFonts w:hint="default" w:ascii="Times New Roman" w:hAnsi="Times New Roman" w:cs="Times New Roman"/>
                      <w:b/>
                      <w:bCs/>
                      <w:color w:val="auto"/>
                      <w:lang w:bidi="ar"/>
                    </w:rPr>
                    <w:t>声压级</w:t>
                  </w:r>
                  <w:r>
                    <w:rPr>
                      <w:rStyle w:val="99"/>
                      <w:rFonts w:hint="default" w:ascii="Times New Roman" w:hAnsi="Times New Roman" w:cs="Times New Roman"/>
                      <w:b/>
                      <w:bCs/>
                      <w:color w:val="auto"/>
                      <w:lang w:bidi="ar"/>
                    </w:rPr>
                    <w:t>/dB(A)</w:t>
                  </w:r>
                </w:p>
              </w:tc>
              <w:tc>
                <w:tcPr>
                  <w:tcW w:w="140" w:type="pct"/>
                  <w:vMerge w:val="restar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Style w:val="100"/>
                      <w:rFonts w:hint="default" w:ascii="Times New Roman" w:hAnsi="Times New Roman" w:cs="Times New Roman"/>
                      <w:b/>
                      <w:bCs/>
                      <w:color w:val="auto"/>
                      <w:lang w:bidi="ar"/>
                    </w:rPr>
                    <w:t>建筑物外距离</w:t>
                  </w:r>
                  <w:r>
                    <w:rPr>
                      <w:rStyle w:val="99"/>
                      <w:rFonts w:hint="default" w:ascii="Times New Roman" w:hAnsi="Times New Roman" w:cs="Times New Roman"/>
                      <w:b/>
                      <w:bCs/>
                      <w:color w:val="auto"/>
                      <w:lang w:bidi="ar"/>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65"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349"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265"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464"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239"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3"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5"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87"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96" w:type="pct"/>
                  <w:vMerge w:val="continue"/>
                  <w:tcBorders>
                    <w:tl2br w:val="nil"/>
                    <w:tr2bl w:val="nil"/>
                  </w:tcBorders>
                  <w:vAlign w:val="center"/>
                </w:tcPr>
                <w:p>
                  <w:pPr>
                    <w:jc w:val="center"/>
                    <w:rPr>
                      <w:rFonts w:hint="default" w:ascii="Times New Roman" w:hAnsi="Times New Roman" w:cs="Times New Roman"/>
                      <w:b/>
                      <w:bCs/>
                      <w:color w:val="auto"/>
                      <w:szCs w:val="21"/>
                    </w:rPr>
                  </w:pPr>
                </w:p>
              </w:tc>
              <w:tc>
                <w:tcPr>
                  <w:tcW w:w="198" w:type="pc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东</w:t>
                  </w:r>
                </w:p>
              </w:tc>
              <w:tc>
                <w:tcPr>
                  <w:tcW w:w="198" w:type="pc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南</w:t>
                  </w:r>
                </w:p>
              </w:tc>
              <w:tc>
                <w:tcPr>
                  <w:tcW w:w="198" w:type="pc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西</w:t>
                  </w:r>
                </w:p>
              </w:tc>
              <w:tc>
                <w:tcPr>
                  <w:tcW w:w="202" w:type="pct"/>
                  <w:tcBorders>
                    <w:tl2br w:val="nil"/>
                    <w:tr2bl w:val="nil"/>
                  </w:tcBorders>
                  <w:vAlign w:val="center"/>
                </w:tcPr>
                <w:p>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北</w:t>
                  </w:r>
                </w:p>
              </w:tc>
              <w:tc>
                <w:tcPr>
                  <w:tcW w:w="140" w:type="pct"/>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vAlign w:val="center"/>
                </w:tcPr>
                <w:p>
                  <w:pPr>
                    <w:pStyle w:val="13"/>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65" w:type="pct"/>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车间一</w:t>
                  </w: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锅炉</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1</w:t>
                  </w:r>
                </w:p>
              </w:tc>
              <w:tc>
                <w:tcPr>
                  <w:tcW w:w="464" w:type="pc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bCs/>
                      <w:color w:val="auto"/>
                      <w:szCs w:val="21"/>
                    </w:rPr>
                    <w:t>70（等效后70）</w:t>
                  </w:r>
                </w:p>
              </w:tc>
              <w:tc>
                <w:tcPr>
                  <w:tcW w:w="239" w:type="pct"/>
                  <w:vMerge w:val="restar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减振基座、厂房隔声、距离衰减</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91</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182</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47</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160</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36.6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25.9</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54.4</w:t>
                  </w:r>
                </w:p>
              </w:tc>
              <w:tc>
                <w:tcPr>
                  <w:tcW w:w="18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11.6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0.9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8.0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29.4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混砂机</w:t>
                  </w:r>
                </w:p>
              </w:tc>
              <w:tc>
                <w:tcPr>
                  <w:tcW w:w="265" w:type="pct"/>
                  <w:tcBorders>
                    <w:tl2br w:val="nil"/>
                    <w:tr2bl w:val="nil"/>
                  </w:tcBorders>
                  <w:vAlign w:val="center"/>
                </w:tcPr>
                <w:p>
                  <w:pPr>
                    <w:pStyle w:val="79"/>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464" w:type="pct"/>
                  <w:tcBorders>
                    <w:tl2br w:val="nil"/>
                    <w:tr2bl w:val="nil"/>
                  </w:tcBorders>
                  <w:vAlign w:val="center"/>
                </w:tcPr>
                <w:p>
                  <w:pPr>
                    <w:spacing w:line="320" w:lineRule="exac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80（等效后83.0）</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szCs w:val="21"/>
                    </w:rPr>
                  </w:pPr>
                </w:p>
              </w:tc>
              <w:tc>
                <w:tcPr>
                  <w:tcW w:w="183"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121</w:t>
                  </w:r>
                </w:p>
              </w:tc>
              <w:tc>
                <w:tcPr>
                  <w:tcW w:w="183"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139</w:t>
                  </w:r>
                </w:p>
              </w:tc>
              <w:tc>
                <w:tcPr>
                  <w:tcW w:w="183"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w:t>
                  </w:r>
                </w:p>
              </w:tc>
              <w:tc>
                <w:tcPr>
                  <w:tcW w:w="183" w:type="pct"/>
                  <w:tcBorders>
                    <w:tl2br w:val="nil"/>
                    <w:tr2bl w:val="nil"/>
                  </w:tcBorders>
                  <w:vAlign w:val="center"/>
                </w:tcPr>
                <w:p>
                  <w:pPr>
                    <w:pStyle w:val="13"/>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10</w:t>
                  </w:r>
                </w:p>
              </w:tc>
              <w:tc>
                <w:tcPr>
                  <w:tcW w:w="183" w:type="pct"/>
                  <w:tcBorders>
                    <w:tl2br w:val="nil"/>
                    <w:tr2bl w:val="nil"/>
                  </w:tcBorders>
                  <w:vAlign w:val="center"/>
                </w:tcPr>
                <w:p>
                  <w:pPr>
                    <w:pStyle w:val="13"/>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110</w:t>
                  </w:r>
                </w:p>
              </w:tc>
              <w:tc>
                <w:tcPr>
                  <w:tcW w:w="183" w:type="pct"/>
                  <w:tcBorders>
                    <w:tl2br w:val="nil"/>
                    <w:tr2bl w:val="nil"/>
                  </w:tcBorders>
                  <w:vAlign w:val="center"/>
                </w:tcPr>
                <w:p>
                  <w:pPr>
                    <w:pStyle w:val="13"/>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110</w:t>
                  </w:r>
                </w:p>
              </w:tc>
              <w:tc>
                <w:tcPr>
                  <w:tcW w:w="183" w:type="pct"/>
                  <w:tcBorders>
                    <w:tl2br w:val="nil"/>
                    <w:tr2bl w:val="nil"/>
                  </w:tcBorders>
                  <w:vAlign w:val="center"/>
                </w:tcPr>
                <w:p>
                  <w:pPr>
                    <w:pStyle w:val="13"/>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55</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42.2</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42.2</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48.2</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1</w:t>
                  </w:r>
                </w:p>
              </w:tc>
              <w:tc>
                <w:tcPr>
                  <w:tcW w:w="19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38.0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17.2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17.2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23.2 </w:t>
                  </w:r>
                </w:p>
              </w:tc>
              <w:tc>
                <w:tcPr>
                  <w:tcW w:w="140"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3</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冷射芯机</w:t>
                  </w:r>
                </w:p>
              </w:tc>
              <w:tc>
                <w:tcPr>
                  <w:tcW w:w="265" w:type="pct"/>
                  <w:tcBorders>
                    <w:tl2br w:val="nil"/>
                    <w:tr2bl w:val="nil"/>
                  </w:tcBorders>
                  <w:vAlign w:val="center"/>
                </w:tcPr>
                <w:p>
                  <w:pPr>
                    <w:pStyle w:val="79"/>
                    <w:spacing w:line="240" w:lineRule="auto"/>
                    <w:ind w:firstLine="0" w:firstLineChars="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w:t>
                  </w:r>
                </w:p>
              </w:tc>
              <w:tc>
                <w:tcPr>
                  <w:tcW w:w="464" w:type="pc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rPr>
                    <w:t>75</w:t>
                  </w:r>
                  <w:r>
                    <w:rPr>
                      <w:rFonts w:hint="default" w:ascii="Times New Roman" w:hAnsi="Times New Roman" w:cs="Times New Roman"/>
                      <w:bCs/>
                      <w:color w:val="auto"/>
                      <w:szCs w:val="21"/>
                    </w:rPr>
                    <w:t>（等效后</w:t>
                  </w:r>
                  <w:r>
                    <w:rPr>
                      <w:rFonts w:hint="eastAsia" w:cs="Times New Roman"/>
                      <w:bCs/>
                      <w:color w:val="auto"/>
                      <w:szCs w:val="21"/>
                      <w:lang w:val="en-US" w:eastAsia="zh-CN"/>
                    </w:rPr>
                    <w:t>79.8</w:t>
                  </w:r>
                  <w:r>
                    <w:rPr>
                      <w:rFonts w:hint="default" w:ascii="Times New Roman" w:hAnsi="Times New Roman" w:cs="Times New Roman"/>
                      <w:bCs/>
                      <w:color w:val="auto"/>
                      <w:szCs w:val="21"/>
                    </w:rPr>
                    <w:t>）</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120</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138</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109</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58.9</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38.9</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187"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21"/>
                      <w:lang w:eastAsia="zh-CN" w:bidi="ar"/>
                    </w:rPr>
                  </w:pPr>
                  <w:r>
                    <w:rPr>
                      <w:rFonts w:hint="eastAsia" w:cs="Times New Roman"/>
                      <w:color w:val="auto"/>
                      <w:kern w:val="0"/>
                      <w:szCs w:val="21"/>
                      <w:lang w:val="en-US" w:eastAsia="zh-CN" w:bidi="ar"/>
                    </w:rPr>
                    <w:t>1</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33.9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13.9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14.0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20.1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发料机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1</w:t>
                  </w:r>
                </w:p>
              </w:tc>
              <w:tc>
                <w:tcPr>
                  <w:tcW w:w="464" w:type="pc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rPr>
                    <w:t>75</w:t>
                  </w:r>
                  <w:r>
                    <w:rPr>
                      <w:rFonts w:hint="default" w:ascii="Times New Roman" w:hAnsi="Times New Roman" w:cs="Times New Roman"/>
                      <w:bCs/>
                      <w:color w:val="auto"/>
                      <w:szCs w:val="21"/>
                    </w:rPr>
                    <w:t>（等效后75）</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105</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172</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27</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149</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93</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46.4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31.5</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35.6</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50.9</w:t>
                  </w:r>
                </w:p>
              </w:tc>
              <w:tc>
                <w:tcPr>
                  <w:tcW w:w="18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0.83</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21.4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6.5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10.6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25.9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发泡</w:t>
                  </w:r>
                  <w:r>
                    <w:rPr>
                      <w:rFonts w:hint="default" w:ascii="Times New Roman" w:hAnsi="Times New Roman" w:cs="Times New Roman"/>
                      <w:color w:val="auto"/>
                      <w:sz w:val="21"/>
                      <w:szCs w:val="21"/>
                    </w:rPr>
                    <w:t>成型</w:t>
                  </w:r>
                  <w:r>
                    <w:rPr>
                      <w:rFonts w:hint="eastAsia" w:ascii="Times New Roman" w:hAnsi="Times New Roman" w:cs="Times New Roman"/>
                      <w:color w:val="auto"/>
                      <w:sz w:val="21"/>
                      <w:szCs w:val="21"/>
                      <w:lang w:val="en-US" w:eastAsia="zh-CN"/>
                    </w:rPr>
                    <w:t>一体</w:t>
                  </w:r>
                  <w:r>
                    <w:rPr>
                      <w:rFonts w:hint="default" w:ascii="Times New Roman" w:hAnsi="Times New Roman" w:cs="Times New Roman"/>
                      <w:color w:val="auto"/>
                      <w:sz w:val="21"/>
                      <w:szCs w:val="21"/>
                    </w:rPr>
                    <w:t>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6</w:t>
                  </w:r>
                </w:p>
              </w:tc>
              <w:tc>
                <w:tcPr>
                  <w:tcW w:w="464" w:type="pc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rPr>
                    <w:t>70</w:t>
                  </w:r>
                  <w:r>
                    <w:rPr>
                      <w:rFonts w:hint="default" w:ascii="Times New Roman" w:hAnsi="Times New Roman" w:cs="Times New Roman"/>
                      <w:bCs/>
                      <w:color w:val="auto"/>
                      <w:szCs w:val="21"/>
                    </w:rPr>
                    <w:t>（等效后77.8）</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105</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163</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28</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33</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48.8</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35.4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38.6</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47.4</w:t>
                  </w:r>
                </w:p>
              </w:tc>
              <w:tc>
                <w:tcPr>
                  <w:tcW w:w="18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0.83</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23.8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10.4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13.6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22.4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数控加工中心</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5</w:t>
                  </w:r>
                </w:p>
              </w:tc>
              <w:tc>
                <w:tcPr>
                  <w:tcW w:w="464" w:type="pct"/>
                  <w:tcBorders>
                    <w:tl2br w:val="nil"/>
                    <w:tr2bl w:val="nil"/>
                  </w:tcBorders>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bCs/>
                      <w:color w:val="auto"/>
                      <w:szCs w:val="21"/>
                    </w:rPr>
                    <w:t>80（等效后98.</w:t>
                  </w:r>
                  <w:r>
                    <w:rPr>
                      <w:rFonts w:hint="default" w:ascii="Times New Roman" w:hAnsi="Times New Roman" w:cs="Times New Roman"/>
                      <w:bCs/>
                      <w:color w:val="auto"/>
                      <w:szCs w:val="21"/>
                      <w:lang w:val="en-US" w:eastAsia="zh-CN"/>
                    </w:rPr>
                    <w:t>1</w:t>
                  </w:r>
                  <w:r>
                    <w:rPr>
                      <w:rFonts w:hint="default" w:ascii="Times New Roman" w:hAnsi="Times New Roman" w:cs="Times New Roman"/>
                      <w:bCs/>
                      <w:color w:val="auto"/>
                      <w:szCs w:val="21"/>
                    </w:rPr>
                    <w:t>）</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60</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174</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78</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148</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42</w:t>
                  </w:r>
                </w:p>
              </w:tc>
              <w:tc>
                <w:tcPr>
                  <w:tcW w:w="183" w:type="pct"/>
                  <w:tcBorders>
                    <w:tl2br w:val="nil"/>
                    <w:tr2bl w:val="nil"/>
                  </w:tcBorders>
                  <w:vAlign w:val="center"/>
                </w:tcPr>
                <w:p>
                  <w:pPr>
                    <w:pStyle w:val="13"/>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18</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60.3</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54.7</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65.7</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35.3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29.7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40.7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48.0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7</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镗床</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80（等效后86.0）</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60</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142</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73</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115</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46</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51</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48.8</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44.8</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52.8</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51.9</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23.8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19.8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27.8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26.9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8</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磨床</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85</w:t>
                  </w:r>
                  <w:r>
                    <w:rPr>
                      <w:rFonts w:hint="default" w:ascii="Times New Roman" w:hAnsi="Times New Roman" w:cs="Times New Roman"/>
                      <w:bCs/>
                      <w:color w:val="auto"/>
                      <w:szCs w:val="21"/>
                    </w:rPr>
                    <w:t>（等效后91.0）</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84</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135</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46</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135</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73</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48.4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53.8</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61.5</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32.8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23.4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28.8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36.5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铣床</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90</w:t>
                  </w:r>
                  <w:r>
                    <w:rPr>
                      <w:rFonts w:hint="default" w:ascii="Times New Roman" w:hAnsi="Times New Roman" w:cs="Times New Roman"/>
                      <w:bCs/>
                      <w:color w:val="auto"/>
                      <w:szCs w:val="21"/>
                    </w:rPr>
                    <w:t>（等效后96.0）</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90</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136</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43</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105</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77</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55.6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58.3</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60.5</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38.4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30.6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33.3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35.5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10</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手持打磨机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90</w:t>
                  </w:r>
                  <w:r>
                    <w:rPr>
                      <w:rFonts w:hint="default" w:ascii="Times New Roman" w:hAnsi="Times New Roman" w:cs="Times New Roman"/>
                      <w:bCs/>
                      <w:color w:val="auto"/>
                      <w:szCs w:val="21"/>
                    </w:rPr>
                    <w:t>（等效后96.0）</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91</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105</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43</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76</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76</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89</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58.4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58.4</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38.4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33.4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33.4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32.0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11</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喷漆房</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80（等效后80）</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53</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44</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79</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40</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146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36.7</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17.0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29.0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23.0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11.7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12</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激光切割机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85（等效后92）</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97</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49</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32</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25</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87</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141</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61.9</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53.2</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36.9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39.0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28.2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24.0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13</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折弯机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75</w:t>
                  </w:r>
                  <w:r>
                    <w:rPr>
                      <w:rFonts w:hint="default" w:ascii="Times New Roman" w:hAnsi="Times New Roman" w:cs="Times New Roman"/>
                      <w:bCs/>
                      <w:color w:val="auto"/>
                      <w:szCs w:val="21"/>
                    </w:rPr>
                    <w:t>（等效后</w:t>
                  </w:r>
                  <w:r>
                    <w:rPr>
                      <w:rFonts w:hint="default" w:ascii="Times New Roman" w:hAnsi="Times New Roman" w:cs="Times New Roman"/>
                      <w:bCs/>
                      <w:color w:val="auto"/>
                      <w:szCs w:val="21"/>
                      <w:lang w:val="en-US" w:eastAsia="zh-CN"/>
                    </w:rPr>
                    <w:t>82</w:t>
                  </w:r>
                  <w:r>
                    <w:rPr>
                      <w:rFonts w:hint="default" w:ascii="Times New Roman" w:hAnsi="Times New Roman" w:cs="Times New Roman"/>
                      <w:bCs/>
                      <w:color w:val="auto"/>
                      <w:szCs w:val="21"/>
                    </w:rPr>
                    <w:t>）</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66</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79</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52</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59</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114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46.4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40.9</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21.4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22.7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21.6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15.9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14</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焊接机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70</w:t>
                  </w:r>
                  <w:r>
                    <w:rPr>
                      <w:rFonts w:hint="default" w:ascii="Times New Roman" w:hAnsi="Times New Roman" w:cs="Times New Roman"/>
                      <w:bCs/>
                      <w:color w:val="auto"/>
                      <w:szCs w:val="21"/>
                    </w:rPr>
                    <w:t>（等效后</w:t>
                  </w:r>
                  <w:r>
                    <w:rPr>
                      <w:rFonts w:hint="default" w:ascii="Times New Roman" w:hAnsi="Times New Roman" w:cs="Times New Roman"/>
                      <w:bCs/>
                      <w:color w:val="auto"/>
                      <w:szCs w:val="21"/>
                      <w:lang w:val="en-US" w:eastAsia="zh-CN"/>
                    </w:rPr>
                    <w:t>7</w:t>
                  </w:r>
                  <w:r>
                    <w:rPr>
                      <w:rFonts w:hint="default" w:ascii="Times New Roman" w:hAnsi="Times New Roman" w:cs="Times New Roman"/>
                      <w:bCs/>
                      <w:color w:val="auto"/>
                      <w:szCs w:val="21"/>
                    </w:rPr>
                    <w:t>3）</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113</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77</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98</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114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46.6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38.9</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31.9</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21.6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13.9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8.2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6.9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15</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抛丸机</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90</w:t>
                  </w:r>
                  <w:r>
                    <w:rPr>
                      <w:rFonts w:hint="default" w:ascii="Times New Roman" w:hAnsi="Times New Roman" w:cs="Times New Roman"/>
                      <w:bCs/>
                      <w:color w:val="auto"/>
                      <w:szCs w:val="21"/>
                    </w:rPr>
                    <w:t>（等效后9</w:t>
                  </w:r>
                  <w:r>
                    <w:rPr>
                      <w:rFonts w:hint="default" w:ascii="Times New Roman" w:hAnsi="Times New Roman" w:cs="Times New Roman"/>
                      <w:bCs/>
                      <w:color w:val="auto"/>
                      <w:szCs w:val="21"/>
                      <w:lang w:val="en-US" w:eastAsia="zh-CN"/>
                    </w:rPr>
                    <w:t>0</w:t>
                  </w:r>
                  <w:r>
                    <w:rPr>
                      <w:rFonts w:hint="default" w:ascii="Times New Roman" w:hAnsi="Times New Roman" w:cs="Times New Roman"/>
                      <w:bCs/>
                      <w:color w:val="auto"/>
                      <w:szCs w:val="21"/>
                    </w:rPr>
                    <w:t>）</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28</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83</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104</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59</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107</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49.7</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54.6</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66.5</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49.4</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24.7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29.6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41.5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24.4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16</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喷塑线</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85（等效后</w:t>
                  </w:r>
                  <w:r>
                    <w:rPr>
                      <w:rFonts w:hint="default" w:ascii="Times New Roman" w:hAnsi="Times New Roman" w:cs="Times New Roman"/>
                      <w:bCs/>
                      <w:color w:val="auto"/>
                      <w:szCs w:val="21"/>
                      <w:lang w:val="en-US" w:eastAsia="zh-CN"/>
                    </w:rPr>
                    <w:t>85</w:t>
                  </w:r>
                  <w:r>
                    <w:rPr>
                      <w:rFonts w:hint="default" w:ascii="Times New Roman" w:hAnsi="Times New Roman" w:cs="Times New Roman"/>
                      <w:bCs/>
                      <w:color w:val="auto"/>
                      <w:szCs w:val="21"/>
                    </w:rPr>
                    <w:t>）</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30</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144</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104</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14</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44.7</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43.4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62.1</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51.6</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19.7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18.4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37.1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26.6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vAlign w:val="center"/>
                </w:tcPr>
                <w:p>
                  <w:pPr>
                    <w:pStyle w:val="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17</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行车</w:t>
                  </w:r>
                </w:p>
              </w:tc>
              <w:tc>
                <w:tcPr>
                  <w:tcW w:w="265"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80（等效后</w:t>
                  </w:r>
                  <w:r>
                    <w:rPr>
                      <w:rFonts w:hint="default" w:ascii="Times New Roman" w:hAnsi="Times New Roman" w:cs="Times New Roman"/>
                      <w:bCs/>
                      <w:color w:val="auto"/>
                      <w:szCs w:val="21"/>
                      <w:lang w:val="en-US" w:eastAsia="zh-CN"/>
                    </w:rPr>
                    <w:t>8</w:t>
                  </w:r>
                  <w:r>
                    <w:rPr>
                      <w:rFonts w:hint="default" w:ascii="Times New Roman" w:hAnsi="Times New Roman" w:cs="Times New Roman"/>
                      <w:bCs/>
                      <w:color w:val="auto"/>
                      <w:szCs w:val="21"/>
                    </w:rPr>
                    <w:t>4.8）</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80</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39</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54</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66</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151</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50.1</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48.4</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41.2</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25.1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36.2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23.4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16.2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vAlign w:val="center"/>
                </w:tcPr>
                <w:p>
                  <w:pPr>
                    <w:pStyle w:val="13"/>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18</w:t>
                  </w:r>
                </w:p>
              </w:tc>
              <w:tc>
                <w:tcPr>
                  <w:tcW w:w="165" w:type="pct"/>
                  <w:vMerge w:val="continue"/>
                  <w:tcBorders>
                    <w:tl2br w:val="nil"/>
                    <w:tr2bl w:val="nil"/>
                  </w:tcBorders>
                  <w:vAlign w:val="center"/>
                </w:tcPr>
                <w:p>
                  <w:pPr>
                    <w:jc w:val="center"/>
                    <w:rPr>
                      <w:rFonts w:hint="default" w:ascii="Times New Roman" w:hAnsi="Times New Roman" w:cs="Times New Roman"/>
                      <w:color w:val="auto"/>
                      <w:szCs w:val="21"/>
                    </w:rPr>
                  </w:pPr>
                </w:p>
              </w:tc>
              <w:tc>
                <w:tcPr>
                  <w:tcW w:w="349" w:type="pct"/>
                  <w:tcBorders>
                    <w:tl2br w:val="nil"/>
                    <w:tr2bl w:val="nil"/>
                  </w:tcBorders>
                  <w:vAlign w:val="center"/>
                </w:tcPr>
                <w:p>
                  <w:pPr>
                    <w:pStyle w:val="79"/>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空压机</w:t>
                  </w:r>
                </w:p>
              </w:tc>
              <w:tc>
                <w:tcPr>
                  <w:tcW w:w="265" w:type="pct"/>
                  <w:tcBorders>
                    <w:tl2br w:val="nil"/>
                    <w:tr2bl w:val="nil"/>
                  </w:tcBorders>
                  <w:vAlign w:val="center"/>
                </w:tcPr>
                <w:p>
                  <w:pPr>
                    <w:pStyle w:val="13"/>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464" w:type="pct"/>
                  <w:tcBorders>
                    <w:tl2br w:val="nil"/>
                    <w:tr2bl w:val="nil"/>
                  </w:tcBorders>
                  <w:vAlign w:val="center"/>
                </w:tcPr>
                <w:p>
                  <w:pPr>
                    <w:spacing w:line="320" w:lineRule="exact"/>
                    <w:jc w:val="center"/>
                    <w:rPr>
                      <w:rFonts w:hint="default" w:ascii="Times New Roman" w:hAnsi="Times New Roman" w:cs="Times New Roman"/>
                      <w:bCs/>
                      <w:color w:val="auto"/>
                      <w:szCs w:val="21"/>
                    </w:rPr>
                  </w:pPr>
                  <w:r>
                    <w:rPr>
                      <w:rFonts w:hint="default" w:ascii="Times New Roman" w:hAnsi="Times New Roman" w:cs="Times New Roman"/>
                      <w:color w:val="auto"/>
                    </w:rPr>
                    <w:t>90</w:t>
                  </w:r>
                  <w:r>
                    <w:rPr>
                      <w:rFonts w:hint="default" w:ascii="Times New Roman" w:hAnsi="Times New Roman" w:cs="Times New Roman"/>
                      <w:bCs/>
                      <w:color w:val="auto"/>
                      <w:szCs w:val="21"/>
                    </w:rPr>
                    <w:t>（等效后97.8）</w:t>
                  </w:r>
                </w:p>
              </w:tc>
              <w:tc>
                <w:tcPr>
                  <w:tcW w:w="239" w:type="pct"/>
                  <w:vMerge w:val="continue"/>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42</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107</w:t>
                  </w:r>
                </w:p>
              </w:tc>
              <w:tc>
                <w:tcPr>
                  <w:tcW w:w="183"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92</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83</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27</w:t>
                  </w:r>
                </w:p>
              </w:tc>
              <w:tc>
                <w:tcPr>
                  <w:tcW w:w="183" w:type="pct"/>
                  <w:tcBorders>
                    <w:tl2br w:val="nil"/>
                    <w:tr2bl w:val="nil"/>
                  </w:tcBorders>
                  <w:vAlign w:val="center"/>
                </w:tcPr>
                <w:p>
                  <w:pPr>
                    <w:pStyle w:val="13"/>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83</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58.5</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4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69.2</w:t>
                  </w:r>
                </w:p>
              </w:tc>
              <w:tc>
                <w:tcPr>
                  <w:tcW w:w="4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187"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196"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25</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33.5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34.4 </w:t>
                  </w:r>
                </w:p>
              </w:tc>
              <w:tc>
                <w:tcPr>
                  <w:tcW w:w="49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44.2 </w:t>
                  </w:r>
                </w:p>
              </w:tc>
              <w:tc>
                <w:tcPr>
                  <w:tcW w:w="502"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 xml:space="preserve">34.4 </w:t>
                  </w:r>
                </w:p>
              </w:tc>
              <w:tc>
                <w:tcPr>
                  <w:tcW w:w="140" w:type="pct"/>
                  <w:tcBorders>
                    <w:tl2br w:val="nil"/>
                    <w:tr2bl w:val="nil"/>
                  </w:tcBorders>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r>
          </w:tbl>
          <w:p>
            <w:pPr>
              <w:pStyle w:val="22"/>
              <w:spacing w:before="0" w:beforeAutospacing="0" w:after="0" w:afterAutospacing="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注：1、以厂区西南角为原点；2、本项目</w:t>
            </w:r>
            <w:r>
              <w:rPr>
                <w:rFonts w:hint="default" w:ascii="Times New Roman" w:hAnsi="Times New Roman" w:cs="Times New Roman"/>
                <w:color w:val="auto"/>
                <w:kern w:val="2"/>
                <w:sz w:val="21"/>
                <w:szCs w:val="21"/>
              </w:rPr>
              <w:t>空压机布设在室内。</w:t>
            </w:r>
          </w:p>
          <w:p>
            <w:pPr>
              <w:widowControl/>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 xml:space="preserve"> 本项目工业企业噪声源强调查清单（室外声源）</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608"/>
              <w:gridCol w:w="1171"/>
              <w:gridCol w:w="1104"/>
              <w:gridCol w:w="959"/>
              <w:gridCol w:w="1133"/>
              <w:gridCol w:w="1719"/>
              <w:gridCol w:w="1500"/>
              <w:gridCol w:w="1299"/>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647" w:type="pct"/>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声源</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471" w:type="pct"/>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设备数量</w:t>
                  </w:r>
                </w:p>
              </w:tc>
              <w:tc>
                <w:tcPr>
                  <w:tcW w:w="1286" w:type="pct"/>
                  <w:gridSpan w:val="3"/>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空间相对位置/m</w:t>
                  </w:r>
                </w:p>
              </w:tc>
              <w:tc>
                <w:tcPr>
                  <w:tcW w:w="692" w:type="pc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声源强</w:t>
                  </w:r>
                </w:p>
              </w:tc>
              <w:tc>
                <w:tcPr>
                  <w:tcW w:w="603" w:type="pct"/>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声源控制措施</w:t>
                  </w:r>
                </w:p>
              </w:tc>
              <w:tc>
                <w:tcPr>
                  <w:tcW w:w="522" w:type="pct"/>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衰减值dB(A)</w:t>
                  </w:r>
                </w:p>
              </w:tc>
              <w:tc>
                <w:tcPr>
                  <w:tcW w:w="510" w:type="pct"/>
                  <w:vMerge w:val="restar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运行时段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szCs w:val="21"/>
                    </w:rPr>
                  </w:pPr>
                </w:p>
              </w:tc>
              <w:tc>
                <w:tcPr>
                  <w:tcW w:w="647"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szCs w:val="21"/>
                    </w:rPr>
                  </w:pPr>
                </w:p>
              </w:tc>
              <w:tc>
                <w:tcPr>
                  <w:tcW w:w="471"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szCs w:val="21"/>
                    </w:rPr>
                  </w:pPr>
                </w:p>
              </w:tc>
              <w:tc>
                <w:tcPr>
                  <w:tcW w:w="444"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X</w:t>
                  </w:r>
                </w:p>
              </w:tc>
              <w:tc>
                <w:tcPr>
                  <w:tcW w:w="38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Y</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Z</w:t>
                  </w:r>
                </w:p>
              </w:tc>
              <w:tc>
                <w:tcPr>
                  <w:tcW w:w="692" w:type="pct"/>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单台声功率级/dB（A）</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10"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47"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风机（DA001）</w:t>
                  </w:r>
                </w:p>
              </w:tc>
              <w:tc>
                <w:tcPr>
                  <w:tcW w:w="471"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118</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189</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92" w:type="pct"/>
                  <w:tcBorders>
                    <w:tl2br w:val="nil"/>
                    <w:tr2bl w:val="nil"/>
                  </w:tcBorders>
                  <w:vAlign w:val="center"/>
                </w:tcPr>
                <w:p>
                  <w:pPr>
                    <w:pStyle w:val="55"/>
                    <w:spacing w:beforeLines="0" w:afterLines="0"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85~90</w:t>
                  </w:r>
                </w:p>
              </w:tc>
              <w:tc>
                <w:tcPr>
                  <w:tcW w:w="603" w:type="pct"/>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基础减振、距离衰减、管道软接等降噪措施</w:t>
                  </w:r>
                </w:p>
              </w:tc>
              <w:tc>
                <w:tcPr>
                  <w:tcW w:w="52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0.83</w:t>
                  </w:r>
                  <w:r>
                    <w:rPr>
                      <w:rFonts w:hint="default" w:ascii="Times New Roman" w:hAnsi="Times New Roman" w:cs="Times New Roman"/>
                      <w:color w:val="auto"/>
                      <w:szCs w:val="21"/>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647"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风机（DA002）</w:t>
                  </w:r>
                </w:p>
              </w:tc>
              <w:tc>
                <w:tcPr>
                  <w:tcW w:w="471"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136</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142</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9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647"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风机（DA003）</w:t>
                  </w:r>
                </w:p>
              </w:tc>
              <w:tc>
                <w:tcPr>
                  <w:tcW w:w="471"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136</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117</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9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w:t>
                  </w:r>
                </w:p>
              </w:tc>
              <w:tc>
                <w:tcPr>
                  <w:tcW w:w="647"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风机（DA004）</w:t>
                  </w:r>
                </w:p>
              </w:tc>
              <w:tc>
                <w:tcPr>
                  <w:tcW w:w="471"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13</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129</w:t>
                  </w:r>
                </w:p>
              </w:tc>
              <w:tc>
                <w:tcPr>
                  <w:tcW w:w="45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69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7.65h/d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p>
              </w:tc>
              <w:tc>
                <w:tcPr>
                  <w:tcW w:w="647"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风机（DA005）</w:t>
                  </w:r>
                </w:p>
              </w:tc>
              <w:tc>
                <w:tcPr>
                  <w:tcW w:w="471"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13</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99</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9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p>
              </w:tc>
              <w:tc>
                <w:tcPr>
                  <w:tcW w:w="647"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风机（DA006）</w:t>
                  </w:r>
                </w:p>
              </w:tc>
              <w:tc>
                <w:tcPr>
                  <w:tcW w:w="471"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13</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57</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9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6.55</w:t>
                  </w:r>
                  <w:r>
                    <w:rPr>
                      <w:rFonts w:hint="default" w:ascii="Times New Roman" w:hAnsi="Times New Roman" w:cs="Times New Roman"/>
                      <w:color w:val="auto"/>
                      <w:szCs w:val="21"/>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w:t>
                  </w:r>
                </w:p>
              </w:tc>
              <w:tc>
                <w:tcPr>
                  <w:tcW w:w="647"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风机（DA007）</w:t>
                  </w:r>
                </w:p>
              </w:tc>
              <w:tc>
                <w:tcPr>
                  <w:tcW w:w="471"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13</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w:t>
                  </w:r>
                </w:p>
              </w:tc>
              <w:tc>
                <w:tcPr>
                  <w:tcW w:w="456"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9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85~90</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3.7</w:t>
                  </w:r>
                  <w:r>
                    <w:rPr>
                      <w:rFonts w:hint="default" w:ascii="Times New Roman" w:hAnsi="Times New Roman" w:cs="Times New Roman"/>
                      <w:color w:val="auto"/>
                      <w:szCs w:val="21"/>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w:t>
                  </w:r>
                </w:p>
              </w:tc>
              <w:tc>
                <w:tcPr>
                  <w:tcW w:w="647"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冷却塔（含配套水泵）</w:t>
                  </w:r>
                </w:p>
              </w:tc>
              <w:tc>
                <w:tcPr>
                  <w:tcW w:w="471"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444"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97</w:t>
                  </w:r>
                </w:p>
              </w:tc>
              <w:tc>
                <w:tcPr>
                  <w:tcW w:w="38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189</w:t>
                  </w:r>
                </w:p>
              </w:tc>
              <w:tc>
                <w:tcPr>
                  <w:tcW w:w="456"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692"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80~85</w:t>
                  </w:r>
                </w:p>
              </w:tc>
              <w:tc>
                <w:tcPr>
                  <w:tcW w:w="603"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522"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510" w:type="pct"/>
                  <w:tcBorders>
                    <w:tl2br w:val="nil"/>
                    <w:tr2bl w:val="nil"/>
                  </w:tcBorders>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0.83h/d</w:t>
                  </w:r>
                </w:p>
              </w:tc>
            </w:tr>
          </w:tbl>
          <w:p>
            <w:pPr>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注：以厂区西南角为原点。</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为了减轻设备运行产生的噪声对周围环境的影响，建设方拟采取如下降噪措施：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①设备选型时采用性能先进、高效节能、低噪设备，并加强对设备的维护管理，从源头上控制噪声的产生。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②对设备进行经常性维护，保持设备处于良好的运转状态，同时加强内部管理，合理作业，避免不必要的突发性噪声。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③本项目生产设备均放置在室内，生产区内高噪声设备主要设置在生产区的中部及西部，且经过厂房隔声和减振垫减振能起到较好的降噪效果。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④合理布局，将高噪声设备设置在厂房内，并且布置在远离厂界的一侧。通过厂房隔声和距离衰减，减少对周围环境及敏感目标的影响。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⑤本项目风机置于室外，外部设置隔声罩，在安装时应自带减振底座，安装位置具有减振台基础，风机的排风管道使用柔性软接头，能够大大降低噪声源噪声。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⑥本项目空压机置于空压机房内，经过厂房隔声和减振垫减振能起到很好的减噪效果。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w:t>⑦厂区建设绿化隔离带，对噪声进行削减，减少对厂界外声环境影响。</w:t>
            </w:r>
          </w:p>
          <w:p>
            <w:pPr>
              <w:pStyle w:val="13"/>
              <w:rPr>
                <w:rFonts w:hint="default" w:ascii="Times New Roman" w:hAnsi="Times New Roman" w:cs="Times New Roman"/>
                <w:bCs/>
                <w:color w:val="auto"/>
                <w:szCs w:val="21"/>
              </w:rPr>
            </w:pPr>
          </w:p>
        </w:tc>
      </w:tr>
    </w:tbl>
    <w:p>
      <w:pPr>
        <w:pStyle w:val="35"/>
        <w:ind w:firstLine="482"/>
        <w:rPr>
          <w:rFonts w:hint="default" w:ascii="Times New Roman" w:hAnsi="Times New Roman" w:cs="Times New Roma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8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7" w:type="pct"/>
            <w:tcMar>
              <w:left w:w="28" w:type="dxa"/>
              <w:right w:w="28" w:type="dxa"/>
            </w:tcMar>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运营</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期环</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境影</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响和</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保护</w:t>
            </w:r>
          </w:p>
          <w:p>
            <w:pPr>
              <w:adjustRightInd w:val="0"/>
              <w:snapToGrid w:val="0"/>
              <w:jc w:val="center"/>
              <w:rPr>
                <w:rFonts w:hint="default" w:ascii="Times New Roman" w:hAnsi="Times New Roman" w:cs="Times New Roman"/>
                <w:bCs/>
                <w:color w:val="000000"/>
                <w:szCs w:val="21"/>
              </w:rPr>
            </w:pPr>
            <w:r>
              <w:rPr>
                <w:rFonts w:hint="default" w:ascii="Times New Roman" w:hAnsi="Times New Roman" w:cs="Times New Roman"/>
                <w:b/>
                <w:color w:val="000000"/>
                <w:szCs w:val="21"/>
              </w:rPr>
              <w:t>措施</w:t>
            </w:r>
          </w:p>
        </w:tc>
        <w:tc>
          <w:tcPr>
            <w:tcW w:w="4642" w:type="pct"/>
            <w:vAlign w:val="center"/>
          </w:tcPr>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（3）噪声预测结果</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根据项目的噪声排放特点，结合《环境影响评价技术导则 声环境》（HJ2.4-2021）的要求，综合考虑隔声和距离衰减的因素，噪声源强分析如下表所示。</w:t>
            </w:r>
          </w:p>
          <w:p>
            <w:pPr>
              <w:adjustRightInd w:val="0"/>
              <w:snapToGrid w:val="0"/>
              <w:jc w:val="center"/>
              <w:rPr>
                <w:rFonts w:hint="default" w:ascii="Times New Roman" w:hAnsi="Times New Roman" w:cs="Times New Roman"/>
              </w:rPr>
            </w:pPr>
            <w:r>
              <w:rPr>
                <w:rFonts w:hint="default" w:ascii="Times New Roman" w:hAnsi="Times New Roman" w:cs="Times New Roman"/>
                <w:b/>
                <w:sz w:val="24"/>
              </w:rPr>
              <w:t>表4-</w:t>
            </w:r>
            <w:r>
              <w:rPr>
                <w:rFonts w:hint="default" w:ascii="Times New Roman" w:hAnsi="Times New Roman" w:cs="Times New Roman"/>
                <w:b/>
                <w:sz w:val="24"/>
                <w:lang w:val="en-US" w:eastAsia="zh-CN"/>
              </w:rPr>
              <w:t>8</w:t>
            </w:r>
            <w:r>
              <w:rPr>
                <w:rFonts w:hint="default" w:ascii="Times New Roman" w:hAnsi="Times New Roman" w:cs="Times New Roman"/>
                <w:b/>
                <w:sz w:val="24"/>
              </w:rPr>
              <w:t xml:space="preserve"> </w:t>
            </w:r>
            <w:r>
              <w:rPr>
                <w:rFonts w:hint="default" w:ascii="Times New Roman" w:hAnsi="Times New Roman" w:cs="Times New Roman"/>
                <w:b/>
                <w:bCs/>
                <w:kern w:val="0"/>
                <w:sz w:val="24"/>
              </w:rPr>
              <w:t>采取措施后对厂界的影响值（dB（A））</w:t>
            </w:r>
          </w:p>
          <w:tbl>
            <w:tblPr>
              <w:tblStyle w:val="26"/>
              <w:tblW w:w="5000" w:type="pct"/>
              <w:tblInd w:w="-1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992"/>
              <w:gridCol w:w="992"/>
              <w:gridCol w:w="992"/>
              <w:gridCol w:w="992"/>
              <w:gridCol w:w="992"/>
              <w:gridCol w:w="992"/>
              <w:gridCol w:w="9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51" w:type="pct"/>
                  <w:vMerge w:val="restar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预测点位</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噪声背景值</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噪声现状值</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噪声标准</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噪声贡献值</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噪声预测值</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较现状增量</w:t>
                  </w:r>
                </w:p>
              </w:tc>
              <w:tc>
                <w:tcPr>
                  <w:tcW w:w="638"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超标和达标情况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51" w:type="pct"/>
                  <w:vMerge w:val="continue"/>
                  <w:tcBorders>
                    <w:tl2br w:val="nil"/>
                    <w:tr2bl w:val="nil"/>
                  </w:tcBorders>
                  <w:vAlign w:val="center"/>
                </w:tcPr>
                <w:p>
                  <w:pPr>
                    <w:spacing w:line="320" w:lineRule="exact"/>
                    <w:jc w:val="center"/>
                    <w:rPr>
                      <w:rFonts w:hint="default" w:ascii="Times New Roman" w:hAnsi="Times New Roman" w:cs="Times New Roman"/>
                      <w:b/>
                      <w:bCs/>
                      <w:color w:val="000000"/>
                      <w:szCs w:val="21"/>
                    </w:rPr>
                  </w:pP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c>
                <w:tcPr>
                  <w:tcW w:w="635"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c>
                <w:tcPr>
                  <w:tcW w:w="638" w:type="pct"/>
                  <w:tcBorders>
                    <w:tl2br w:val="nil"/>
                    <w:tr2bl w:val="nil"/>
                  </w:tcBorders>
                  <w:vAlign w:val="center"/>
                </w:tcPr>
                <w:p>
                  <w:pPr>
                    <w:spacing w:line="320" w:lineRule="exac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昼间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55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东厂界</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65</w:t>
                  </w:r>
                </w:p>
              </w:tc>
              <w:tc>
                <w:tcPr>
                  <w:tcW w:w="635" w:type="pct"/>
                  <w:tcBorders>
                    <w:tl2br w:val="nil"/>
                    <w:tr2bl w:val="nil"/>
                  </w:tcBorders>
                  <w:vAlign w:val="center"/>
                </w:tcPr>
                <w:p>
                  <w:pPr>
                    <w:spacing w:line="32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456</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8"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55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南厂界</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65</w:t>
                  </w:r>
                </w:p>
              </w:tc>
              <w:tc>
                <w:tcPr>
                  <w:tcW w:w="635" w:type="pct"/>
                  <w:tcBorders>
                    <w:tl2br w:val="nil"/>
                    <w:tr2bl w:val="nil"/>
                  </w:tcBorders>
                  <w:vAlign w:val="center"/>
                </w:tcPr>
                <w:p>
                  <w:pPr>
                    <w:spacing w:line="32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43.4</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8"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55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西厂界</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65</w:t>
                  </w:r>
                </w:p>
              </w:tc>
              <w:tc>
                <w:tcPr>
                  <w:tcW w:w="635" w:type="pct"/>
                  <w:tcBorders>
                    <w:tl2br w:val="nil"/>
                    <w:tr2bl w:val="nil"/>
                  </w:tcBorders>
                  <w:vAlign w:val="center"/>
                </w:tcPr>
                <w:p>
                  <w:pPr>
                    <w:spacing w:line="32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48.1</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8"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55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北厂界</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5"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65</w:t>
                  </w:r>
                </w:p>
              </w:tc>
              <w:tc>
                <w:tcPr>
                  <w:tcW w:w="635" w:type="pct"/>
                  <w:tcBorders>
                    <w:tl2br w:val="nil"/>
                    <w:tr2bl w:val="nil"/>
                  </w:tcBorders>
                  <w:vAlign w:val="center"/>
                </w:tcPr>
                <w:p>
                  <w:pPr>
                    <w:spacing w:line="320" w:lineRule="exact"/>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49.0</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013" w:type="dxa"/>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38"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达标</w:t>
                  </w:r>
                </w:p>
              </w:tc>
            </w:tr>
          </w:tbl>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由上表可知，本项目厂界各监测点昼间环境噪声贡献值均达到《工业企业厂界环境噪声排放标准》（GB12348-2008）中3类标准，对周围声环境无明显影响，不会发生扰民现象。</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因此，评价认为只要建设单位对各产噪设备严格按照本评价提出的降噪措施进行防治，本项目生产过程中不会对厂界及敏感目标造成大的影响，可以做到噪声不扰民。</w:t>
            </w:r>
          </w:p>
          <w:p>
            <w:pPr>
              <w:adjustRightInd w:val="0"/>
              <w:snapToGrid w:val="0"/>
              <w:spacing w:line="360" w:lineRule="auto"/>
              <w:ind w:firstLine="440" w:firstLineChars="200"/>
              <w:rPr>
                <w:rFonts w:hint="default" w:ascii="Times New Roman" w:hAnsi="Times New Roman" w:cs="Times New Roman"/>
                <w:bCs/>
                <w:spacing w:val="-10"/>
                <w:sz w:val="24"/>
              </w:rPr>
            </w:pPr>
            <w:r>
              <w:rPr>
                <w:rFonts w:hint="default" w:ascii="Times New Roman" w:hAnsi="Times New Roman" w:cs="Times New Roman"/>
                <w:bCs/>
                <w:spacing w:val="-10"/>
                <w:sz w:val="24"/>
              </w:rPr>
              <w:t>（3）监测计划</w:t>
            </w:r>
          </w:p>
          <w:p>
            <w:pPr>
              <w:adjustRightInd w:val="0"/>
              <w:snapToGrid w:val="0"/>
              <w:spacing w:line="360" w:lineRule="auto"/>
              <w:ind w:firstLine="440" w:firstLineChars="200"/>
              <w:rPr>
                <w:rFonts w:hint="default" w:ascii="Times New Roman" w:hAnsi="Times New Roman" w:cs="Times New Roman"/>
                <w:bCs/>
                <w:spacing w:val="-10"/>
                <w:sz w:val="24"/>
              </w:rPr>
            </w:pPr>
            <w:r>
              <w:rPr>
                <w:rFonts w:hint="default" w:ascii="Times New Roman" w:hAnsi="Times New Roman" w:cs="Times New Roman"/>
                <w:bCs/>
                <w:spacing w:val="-10"/>
                <w:sz w:val="24"/>
              </w:rPr>
              <w:t>①根据《排污单位自行监测技术指南 总则》（HJ819-2017），厂界噪声最低监测频次为季度，厂界噪声监测频次为一季度开展一次，并在噪声监测点附近醒目处设置环境保护图形标志牌。</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9</w:t>
            </w:r>
            <w:r>
              <w:rPr>
                <w:rFonts w:hint="default" w:ascii="Times New Roman" w:hAnsi="Times New Roman" w:cs="Times New Roman"/>
                <w:b/>
                <w:bCs/>
                <w:sz w:val="24"/>
              </w:rPr>
              <w:t xml:space="preserve">  污染源监测计划表</w:t>
            </w:r>
          </w:p>
          <w:tbl>
            <w:tblPr>
              <w:tblStyle w:val="26"/>
              <w:tblW w:w="78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803"/>
              <w:gridCol w:w="1495"/>
              <w:gridCol w:w="2000"/>
              <w:gridCol w:w="1342"/>
              <w:gridCol w:w="1187"/>
              <w:gridCol w:w="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1" w:hRule="atLeast"/>
                <w:jc w:val="center"/>
              </w:trPr>
              <w:tc>
                <w:tcPr>
                  <w:tcW w:w="514"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种类</w:t>
                  </w:r>
                </w:p>
              </w:tc>
              <w:tc>
                <w:tcPr>
                  <w:tcW w:w="957"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监测点位</w:t>
                  </w:r>
                </w:p>
              </w:tc>
              <w:tc>
                <w:tcPr>
                  <w:tcW w:w="1280"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监测项目</w:t>
                  </w:r>
                </w:p>
              </w:tc>
              <w:tc>
                <w:tcPr>
                  <w:tcW w:w="859"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排放口类型</w:t>
                  </w:r>
                </w:p>
              </w:tc>
              <w:tc>
                <w:tcPr>
                  <w:tcW w:w="760"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监测频次</w:t>
                  </w:r>
                </w:p>
              </w:tc>
              <w:tc>
                <w:tcPr>
                  <w:tcW w:w="628"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514"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噪声</w:t>
                  </w:r>
                </w:p>
              </w:tc>
              <w:tc>
                <w:tcPr>
                  <w:tcW w:w="957"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厂界外1m</w:t>
                  </w:r>
                </w:p>
              </w:tc>
              <w:tc>
                <w:tcPr>
                  <w:tcW w:w="1280"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连续等效A声级</w:t>
                  </w:r>
                </w:p>
              </w:tc>
              <w:tc>
                <w:tcPr>
                  <w:tcW w:w="859"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w:t>
                  </w:r>
                </w:p>
              </w:tc>
              <w:tc>
                <w:tcPr>
                  <w:tcW w:w="760"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1次/季度</w:t>
                  </w:r>
                </w:p>
              </w:tc>
              <w:tc>
                <w:tcPr>
                  <w:tcW w:w="628" w:type="pct"/>
                  <w:tcBorders>
                    <w:tl2br w:val="nil"/>
                    <w:tr2bl w:val="nil"/>
                  </w:tcBorders>
                  <w:vAlign w:val="center"/>
                </w:tcPr>
                <w:p>
                  <w:pPr>
                    <w:pStyle w:val="13"/>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昼间1次，夜间不生产</w:t>
                  </w:r>
                </w:p>
              </w:tc>
            </w:tr>
          </w:tbl>
          <w:p>
            <w:pPr>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fldChar w:fldCharType="begin"/>
            </w:r>
            <w:r>
              <w:rPr>
                <w:rFonts w:hint="default" w:ascii="Times New Roman" w:hAnsi="Times New Roman" w:cs="Times New Roman"/>
                <w:kern w:val="0"/>
                <w:sz w:val="24"/>
              </w:rPr>
              <w:instrText xml:space="preserve"> = 2 \* GB3 </w:instrText>
            </w:r>
            <w:r>
              <w:rPr>
                <w:rFonts w:hint="default" w:ascii="Times New Roman" w:hAnsi="Times New Roman" w:cs="Times New Roman"/>
                <w:kern w:val="0"/>
                <w:sz w:val="24"/>
              </w:rPr>
              <w:fldChar w:fldCharType="separate"/>
            </w:r>
            <w:r>
              <w:rPr>
                <w:rFonts w:hint="default" w:ascii="Times New Roman" w:hAnsi="Times New Roman" w:cs="Times New Roman"/>
                <w:kern w:val="0"/>
                <w:sz w:val="24"/>
              </w:rPr>
              <w:t>②</w:t>
            </w:r>
            <w:r>
              <w:rPr>
                <w:rFonts w:hint="default" w:ascii="Times New Roman" w:hAnsi="Times New Roman" w:cs="Times New Roman"/>
                <w:kern w:val="0"/>
                <w:sz w:val="24"/>
              </w:rPr>
              <w:fldChar w:fldCharType="end"/>
            </w:r>
            <w:r>
              <w:rPr>
                <w:rFonts w:hint="default" w:ascii="Times New Roman" w:hAnsi="Times New Roman" w:cs="Times New Roman"/>
                <w:sz w:val="24"/>
              </w:rPr>
              <w:t>“三同时”验收监测计划</w:t>
            </w:r>
          </w:p>
          <w:p>
            <w:pPr>
              <w:spacing w:line="360" w:lineRule="auto"/>
              <w:ind w:firstLine="480" w:firstLineChars="200"/>
              <w:jc w:val="left"/>
              <w:rPr>
                <w:rFonts w:hint="default" w:ascii="Times New Roman" w:hAnsi="Times New Roman" w:cs="Times New Roman"/>
                <w:b/>
                <w:bCs/>
                <w:sz w:val="24"/>
              </w:rPr>
            </w:pPr>
            <w:r>
              <w:rPr>
                <w:rFonts w:hint="default" w:ascii="Times New Roman" w:hAnsi="Times New Roman" w:cs="Times New Roman"/>
                <w:sz w:val="24"/>
              </w:rPr>
              <w:t>根据《建设项目竣工环境保护验收技术指南 污染影响类》，</w:t>
            </w:r>
            <w:r>
              <w:rPr>
                <w:rFonts w:hint="default" w:ascii="Times New Roman" w:hAnsi="Times New Roman" w:cs="Times New Roman"/>
                <w:bCs/>
                <w:sz w:val="24"/>
              </w:rPr>
              <w:t>建设项目需针对大气污染源、废水污染源、噪声污染源制定验收监测计划。</w:t>
            </w:r>
            <w:r>
              <w:rPr>
                <w:rFonts w:hint="default" w:ascii="Times New Roman" w:hAnsi="Times New Roman" w:cs="Times New Roman"/>
                <w:sz w:val="24"/>
              </w:rPr>
              <w:t>本项目噪声监测点、监测项目及监测频次</w:t>
            </w:r>
            <w:r>
              <w:rPr>
                <w:rFonts w:hint="default" w:ascii="Times New Roman" w:hAnsi="Times New Roman" w:cs="Times New Roman"/>
                <w:bCs/>
                <w:sz w:val="24"/>
              </w:rPr>
              <w:t>见下表。</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10</w:t>
            </w:r>
            <w:r>
              <w:rPr>
                <w:rFonts w:hint="default" w:ascii="Times New Roman" w:hAnsi="Times New Roman" w:cs="Times New Roman"/>
                <w:b/>
                <w:bCs/>
                <w:sz w:val="24"/>
              </w:rPr>
              <w:t xml:space="preserve">  验收监测计划表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1009"/>
              <w:gridCol w:w="1289"/>
              <w:gridCol w:w="2823"/>
              <w:gridCol w:w="1517"/>
              <w:gridCol w:w="1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1" w:hRule="atLeast"/>
                <w:jc w:val="center"/>
              </w:trPr>
              <w:tc>
                <w:tcPr>
                  <w:tcW w:w="646"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种类</w:t>
                  </w:r>
                </w:p>
              </w:tc>
              <w:tc>
                <w:tcPr>
                  <w:tcW w:w="825"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监测点位</w:t>
                  </w:r>
                </w:p>
              </w:tc>
              <w:tc>
                <w:tcPr>
                  <w:tcW w:w="1807"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监测项目</w:t>
                  </w:r>
                </w:p>
              </w:tc>
              <w:tc>
                <w:tcPr>
                  <w:tcW w:w="971"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点位数</w:t>
                  </w:r>
                </w:p>
              </w:tc>
              <w:tc>
                <w:tcPr>
                  <w:tcW w:w="749" w:type="pct"/>
                  <w:tcBorders>
                    <w:tl2br w:val="nil"/>
                    <w:tr2bl w:val="nil"/>
                  </w:tcBorders>
                  <w:vAlign w:val="center"/>
                </w:tcPr>
                <w:p>
                  <w:pPr>
                    <w:pStyle w:val="13"/>
                    <w:jc w:val="center"/>
                    <w:rPr>
                      <w:rFonts w:hint="default" w:ascii="Times New Roman" w:hAnsi="Times New Roman" w:cs="Times New Roman"/>
                      <w:b/>
                      <w:szCs w:val="21"/>
                    </w:rPr>
                  </w:pPr>
                  <w:r>
                    <w:rPr>
                      <w:rFonts w:hint="default" w:ascii="Times New Roman" w:hAnsi="Times New Roman" w:cs="Times New Roman"/>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646"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噪声</w:t>
                  </w:r>
                </w:p>
              </w:tc>
              <w:tc>
                <w:tcPr>
                  <w:tcW w:w="825"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厂界外1m</w:t>
                  </w:r>
                </w:p>
              </w:tc>
              <w:tc>
                <w:tcPr>
                  <w:tcW w:w="1807"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连续等效A声级</w:t>
                  </w:r>
                </w:p>
              </w:tc>
              <w:tc>
                <w:tcPr>
                  <w:tcW w:w="971"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4</w:t>
                  </w:r>
                </w:p>
              </w:tc>
              <w:tc>
                <w:tcPr>
                  <w:tcW w:w="749" w:type="pct"/>
                  <w:tcBorders>
                    <w:tl2br w:val="nil"/>
                    <w:tr2bl w:val="nil"/>
                  </w:tcBorders>
                  <w:vAlign w:val="center"/>
                </w:tcPr>
                <w:p>
                  <w:pPr>
                    <w:pStyle w:val="13"/>
                    <w:jc w:val="center"/>
                    <w:rPr>
                      <w:rFonts w:hint="default" w:ascii="Times New Roman" w:hAnsi="Times New Roman" w:cs="Times New Roman"/>
                      <w:szCs w:val="21"/>
                    </w:rPr>
                  </w:pPr>
                  <w:r>
                    <w:rPr>
                      <w:rFonts w:hint="default" w:ascii="Times New Roman" w:hAnsi="Times New Roman" w:cs="Times New Roman"/>
                      <w:szCs w:val="21"/>
                    </w:rPr>
                    <w:t>连续2天</w:t>
                  </w:r>
                </w:p>
                <w:p>
                  <w:pPr>
                    <w:pStyle w:val="13"/>
                    <w:jc w:val="center"/>
                    <w:rPr>
                      <w:rFonts w:hint="default" w:ascii="Times New Roman" w:hAnsi="Times New Roman" w:cs="Times New Roman"/>
                      <w:szCs w:val="21"/>
                    </w:rPr>
                  </w:pPr>
                  <w:r>
                    <w:rPr>
                      <w:rFonts w:hint="default" w:ascii="Times New Roman" w:hAnsi="Times New Roman" w:cs="Times New Roman"/>
                      <w:szCs w:val="21"/>
                    </w:rPr>
                    <w:t>昼间一次</w:t>
                  </w:r>
                </w:p>
              </w:tc>
            </w:tr>
          </w:tbl>
          <w:p>
            <w:pPr>
              <w:pStyle w:val="4"/>
              <w:numPr>
                <w:ilvl w:val="0"/>
                <w:numId w:val="19"/>
              </w:numPr>
              <w:spacing w:line="360" w:lineRule="auto"/>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固废</w:t>
            </w:r>
          </w:p>
          <w:p>
            <w:p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（1）固体废物源强及贮存、处置情况</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本项目产生的固体废物有废包装材料、废边角料、废油桶、废油泥、漆渣、废包装桶、喷枪头清洗废液、废砂纸、焊渣、废钢丸、废塑粉、</w:t>
            </w:r>
            <w:r>
              <w:rPr>
                <w:rFonts w:hint="eastAsia" w:cs="Times New Roman"/>
                <w:color w:val="000000"/>
                <w:sz w:val="24"/>
                <w:lang w:val="en-US" w:eastAsia="zh-CN"/>
              </w:rPr>
              <w:t>废挂具、</w:t>
            </w:r>
            <w:r>
              <w:rPr>
                <w:rFonts w:hint="default" w:ascii="Times New Roman" w:hAnsi="Times New Roman" w:cs="Times New Roman"/>
                <w:color w:val="000000"/>
                <w:sz w:val="24"/>
              </w:rPr>
              <w:t>集尘灰、废滤材、废过滤材料、废活性炭、喷淋废液、空压机含油废水、废劳保用品、生活垃圾</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废油脂、化粪池污泥</w:t>
            </w:r>
            <w:r>
              <w:rPr>
                <w:rFonts w:hint="default" w:ascii="Times New Roman" w:hAnsi="Times New Roman" w:cs="Times New Roman"/>
                <w:color w:val="000000"/>
                <w:sz w:val="24"/>
              </w:rPr>
              <w:t>。</w:t>
            </w:r>
          </w:p>
          <w:p>
            <w:pPr>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①</w:t>
            </w:r>
            <w:r>
              <w:rPr>
                <w:rFonts w:hint="default" w:ascii="Times New Roman" w:hAnsi="Times New Roman" w:cs="Times New Roman"/>
                <w:color w:val="000000"/>
                <w:sz w:val="24"/>
                <w:lang w:val="en-US" w:eastAsia="zh-CN"/>
              </w:rPr>
              <w:t>废包装材料</w:t>
            </w:r>
          </w:p>
          <w:p>
            <w:pPr>
              <w:spacing w:line="360" w:lineRule="auto"/>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本项目一般原辅材料拆包过程中会产生废包装材料，根据企业介绍，废包装材料产生量为1t/a，收集委托一般固废处置单位处理。</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②</w:t>
            </w:r>
            <w:r>
              <w:rPr>
                <w:rFonts w:hint="default" w:ascii="Times New Roman" w:hAnsi="Times New Roman" w:cs="Times New Roman"/>
                <w:color w:val="000000"/>
                <w:sz w:val="24"/>
              </w:rPr>
              <w:t>废边角料</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本项目机加工和下料过程中会产生少量边角料，根据企业介绍，废边角料产生量约占原料（铸件</w:t>
            </w:r>
            <w:r>
              <w:rPr>
                <w:rFonts w:hint="eastAsia" w:cs="Times New Roman"/>
                <w:color w:val="000000"/>
                <w:sz w:val="24"/>
                <w:lang w:val="en-US" w:eastAsia="zh-CN"/>
              </w:rPr>
              <w:t>2200</w:t>
            </w:r>
            <w:r>
              <w:rPr>
                <w:rFonts w:hint="default" w:ascii="Times New Roman" w:hAnsi="Times New Roman" w:cs="Times New Roman"/>
                <w:color w:val="000000"/>
                <w:sz w:val="24"/>
              </w:rPr>
              <w:t>t/a、板材1000t/a）的0.15%，则废边角料产生量为</w:t>
            </w:r>
            <w:r>
              <w:rPr>
                <w:rFonts w:hint="eastAsia" w:cs="Times New Roman"/>
                <w:color w:val="000000"/>
                <w:sz w:val="24"/>
                <w:lang w:val="en-US" w:eastAsia="zh-CN"/>
              </w:rPr>
              <w:t>4.8</w:t>
            </w:r>
            <w:r>
              <w:rPr>
                <w:rFonts w:hint="default" w:ascii="Times New Roman" w:hAnsi="Times New Roman" w:cs="Times New Roman"/>
                <w:color w:val="000000"/>
                <w:sz w:val="24"/>
              </w:rPr>
              <w:t>t/a，收集委托一般固废处置单位处理。</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③</w:t>
            </w:r>
            <w:r>
              <w:rPr>
                <w:rFonts w:hint="default" w:ascii="Times New Roman" w:hAnsi="Times New Roman" w:cs="Times New Roman"/>
                <w:color w:val="000000"/>
                <w:sz w:val="24"/>
              </w:rPr>
              <w:t>废油泥</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本项目磨床加工过程中使用精磨液，在加工过程中会产生废油泥，根据企业介绍，废油泥产生量约占磨床加工量（铸件</w:t>
            </w:r>
            <w:r>
              <w:rPr>
                <w:rFonts w:hint="eastAsia" w:cs="Times New Roman"/>
                <w:color w:val="000000"/>
                <w:sz w:val="24"/>
                <w:lang w:val="en-US" w:eastAsia="zh-CN"/>
              </w:rPr>
              <w:t>22</w:t>
            </w:r>
            <w:r>
              <w:rPr>
                <w:rFonts w:hint="default" w:ascii="Times New Roman" w:hAnsi="Times New Roman" w:cs="Times New Roman"/>
                <w:color w:val="000000"/>
                <w:sz w:val="24"/>
              </w:rPr>
              <w:t>00t/a）的1</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rPr>
              <w:t>，则废油泥产生量为</w:t>
            </w:r>
            <w:r>
              <w:rPr>
                <w:rFonts w:hint="eastAsia" w:cs="Times New Roman"/>
                <w:color w:val="000000"/>
                <w:sz w:val="24"/>
                <w:lang w:val="en-US" w:eastAsia="zh-CN"/>
              </w:rPr>
              <w:t>2.2</w:t>
            </w:r>
            <w:r>
              <w:rPr>
                <w:rFonts w:hint="default" w:ascii="Times New Roman" w:hAnsi="Times New Roman" w:cs="Times New Roman"/>
                <w:color w:val="000000"/>
                <w:sz w:val="24"/>
              </w:rPr>
              <w:t>t/a，对照《国家危险废物管理名录》（2025版），废油泥属于危险废物，废物类别为HW08（900-200-08），委托资质单位处置。</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④</w:t>
            </w:r>
            <w:r>
              <w:rPr>
                <w:rFonts w:hint="default" w:ascii="Times New Roman" w:hAnsi="Times New Roman" w:cs="Times New Roman"/>
                <w:color w:val="000000"/>
                <w:sz w:val="24"/>
              </w:rPr>
              <w:t>漆渣</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本项目漆渣来源于喷漆处理过程，喷漆过程漆渣产生量为</w:t>
            </w:r>
            <w:r>
              <w:rPr>
                <w:rFonts w:hint="default" w:ascii="Times New Roman" w:hAnsi="Times New Roman" w:cs="Times New Roman"/>
                <w:color w:val="000000"/>
                <w:sz w:val="24"/>
                <w:lang w:val="en-US" w:eastAsia="zh-CN"/>
              </w:rPr>
              <w:t>0.</w:t>
            </w:r>
            <w:r>
              <w:rPr>
                <w:rFonts w:hint="eastAsia" w:cs="Times New Roman"/>
                <w:color w:val="000000"/>
                <w:sz w:val="24"/>
                <w:lang w:val="en-US" w:eastAsia="zh-CN"/>
              </w:rPr>
              <w:t>7798</w:t>
            </w:r>
            <w:r>
              <w:rPr>
                <w:rFonts w:hint="default" w:ascii="Times New Roman" w:hAnsi="Times New Roman" w:cs="Times New Roman"/>
                <w:color w:val="000000"/>
                <w:sz w:val="24"/>
              </w:rPr>
              <w:t>t/a，对照《国家危险废物名录》（2025年版），漆渣属于危险废物，废物类别为HW12（900-252-12），委托有资质单位处置。</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⑤</w:t>
            </w:r>
            <w:r>
              <w:rPr>
                <w:rFonts w:hint="default" w:ascii="Times New Roman" w:hAnsi="Times New Roman" w:cs="Times New Roman"/>
                <w:color w:val="000000"/>
                <w:sz w:val="24"/>
              </w:rPr>
              <w:t>废包装桶</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w:t>
            </w:r>
            <w:r>
              <w:rPr>
                <w:rFonts w:hint="eastAsia" w:cs="Times New Roman"/>
                <w:color w:val="000000"/>
                <w:sz w:val="24"/>
                <w:lang w:val="en-US" w:eastAsia="zh-CN"/>
              </w:rPr>
              <w:t>酚醛树脂、聚异氰酸酯、</w:t>
            </w:r>
            <w:r>
              <w:rPr>
                <w:rFonts w:hint="default" w:ascii="Times New Roman" w:hAnsi="Times New Roman" w:cs="Times New Roman"/>
                <w:color w:val="000000"/>
                <w:sz w:val="24"/>
              </w:rPr>
              <w:t>三乙胺、</w:t>
            </w:r>
            <w:r>
              <w:rPr>
                <w:rFonts w:hint="default" w:ascii="Times New Roman" w:hAnsi="Times New Roman" w:cs="Times New Roman"/>
                <w:color w:val="000000"/>
                <w:sz w:val="24"/>
                <w:lang w:val="en-US" w:eastAsia="zh-CN"/>
              </w:rPr>
              <w:t>油漆、稀释剂</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腻子</w:t>
            </w:r>
            <w:r>
              <w:rPr>
                <w:rFonts w:hint="default" w:ascii="Times New Roman" w:hAnsi="Times New Roman" w:cs="Times New Roman"/>
                <w:color w:val="000000"/>
                <w:sz w:val="24"/>
              </w:rPr>
              <w:t>用量分别为0.</w:t>
            </w:r>
            <w:r>
              <w:rPr>
                <w:rFonts w:hint="eastAsia" w:cs="Times New Roman"/>
                <w:color w:val="000000"/>
                <w:sz w:val="24"/>
                <w:lang w:val="en-US" w:eastAsia="zh-CN"/>
              </w:rPr>
              <w:t>9</w:t>
            </w:r>
            <w:r>
              <w:rPr>
                <w:rFonts w:hint="default" w:ascii="Times New Roman" w:hAnsi="Times New Roman" w:cs="Times New Roman"/>
                <w:color w:val="000000"/>
                <w:sz w:val="24"/>
              </w:rPr>
              <w:t>t/a</w:t>
            </w:r>
            <w:r>
              <w:rPr>
                <w:rFonts w:hint="eastAsia" w:cs="Times New Roman"/>
                <w:color w:val="000000"/>
                <w:sz w:val="24"/>
                <w:lang w:eastAsia="zh-CN"/>
              </w:rPr>
              <w:t>、</w:t>
            </w:r>
            <w:r>
              <w:rPr>
                <w:rFonts w:hint="eastAsia" w:cs="Times New Roman"/>
                <w:color w:val="000000"/>
                <w:sz w:val="24"/>
                <w:lang w:val="en-US" w:eastAsia="zh-CN"/>
              </w:rPr>
              <w:t>0.9t/a、0.02t/a</w:t>
            </w:r>
            <w:r>
              <w:rPr>
                <w:rFonts w:hint="default" w:ascii="Times New Roman" w:hAnsi="Times New Roman" w:cs="Times New Roman"/>
                <w:color w:val="000000"/>
                <w:sz w:val="24"/>
              </w:rPr>
              <w:t>、</w:t>
            </w:r>
            <w:r>
              <w:rPr>
                <w:rFonts w:hint="eastAsia" w:cs="Times New Roman"/>
                <w:color w:val="000000"/>
                <w:sz w:val="24"/>
                <w:lang w:val="en-US" w:eastAsia="zh-CN"/>
              </w:rPr>
              <w:t>5.876</w:t>
            </w:r>
            <w:r>
              <w:rPr>
                <w:rFonts w:hint="default" w:ascii="Times New Roman" w:hAnsi="Times New Roman" w:cs="Times New Roman"/>
                <w:color w:val="000000"/>
                <w:sz w:val="24"/>
              </w:rPr>
              <w:t>t/a</w:t>
            </w:r>
            <w:r>
              <w:rPr>
                <w:rFonts w:hint="default" w:ascii="Times New Roman" w:hAnsi="Times New Roman" w:cs="Times New Roman"/>
                <w:color w:val="000000"/>
                <w:sz w:val="24"/>
                <w:lang w:eastAsia="zh-CN"/>
              </w:rPr>
              <w:t>、</w:t>
            </w:r>
            <w:r>
              <w:rPr>
                <w:rFonts w:hint="eastAsia" w:cs="Times New Roman"/>
                <w:color w:val="000000"/>
                <w:sz w:val="24"/>
                <w:lang w:val="en-US" w:eastAsia="zh-CN"/>
              </w:rPr>
              <w:t>0.3296</w:t>
            </w:r>
            <w:r>
              <w:rPr>
                <w:rFonts w:hint="default" w:ascii="Times New Roman" w:hAnsi="Times New Roman" w:cs="Times New Roman"/>
                <w:color w:val="000000"/>
                <w:sz w:val="24"/>
                <w:lang w:val="en-US" w:eastAsia="zh-CN"/>
              </w:rPr>
              <w:t>t/a</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5t/a</w:t>
            </w:r>
            <w:r>
              <w:rPr>
                <w:rFonts w:hint="default" w:ascii="Times New Roman" w:hAnsi="Times New Roman" w:cs="Times New Roman"/>
                <w:color w:val="000000"/>
                <w:sz w:val="24"/>
              </w:rPr>
              <w:t>，</w:t>
            </w:r>
            <w:r>
              <w:rPr>
                <w:rFonts w:hint="eastAsia" w:cs="Times New Roman"/>
                <w:color w:val="000000"/>
                <w:sz w:val="24"/>
                <w:lang w:val="en-US" w:eastAsia="zh-CN"/>
              </w:rPr>
              <w:t>酚醛树脂、聚异氰酸酯每桶900kg，单个包装桶50kg，</w:t>
            </w:r>
            <w:r>
              <w:rPr>
                <w:rFonts w:hint="default" w:ascii="Times New Roman" w:hAnsi="Times New Roman" w:cs="Times New Roman"/>
                <w:color w:val="000000"/>
                <w:sz w:val="24"/>
              </w:rPr>
              <w:t>三乙胺每桶</w:t>
            </w:r>
            <w:r>
              <w:rPr>
                <w:rFonts w:hint="eastAsia" w:cs="Times New Roman"/>
                <w:color w:val="000000"/>
                <w:sz w:val="24"/>
                <w:lang w:val="en-US" w:eastAsia="zh-CN"/>
              </w:rPr>
              <w:t>2</w:t>
            </w:r>
            <w:r>
              <w:rPr>
                <w:rFonts w:hint="default" w:ascii="Times New Roman" w:hAnsi="Times New Roman" w:cs="Times New Roman"/>
                <w:color w:val="000000"/>
                <w:sz w:val="24"/>
              </w:rPr>
              <w:t>0kg，单个包装桶约</w:t>
            </w:r>
            <w:r>
              <w:rPr>
                <w:rFonts w:hint="eastAsia" w:cs="Times New Roman"/>
                <w:color w:val="000000"/>
                <w:sz w:val="24"/>
                <w:lang w:val="en-US" w:eastAsia="zh-CN"/>
              </w:rPr>
              <w:t>2</w:t>
            </w:r>
            <w:r>
              <w:rPr>
                <w:rFonts w:hint="default" w:ascii="Times New Roman" w:hAnsi="Times New Roman" w:cs="Times New Roman"/>
                <w:color w:val="000000"/>
                <w:sz w:val="24"/>
              </w:rPr>
              <w:t>kg，</w:t>
            </w:r>
            <w:r>
              <w:rPr>
                <w:rFonts w:hint="default" w:ascii="Times New Roman" w:hAnsi="Times New Roman" w:cs="Times New Roman"/>
                <w:color w:val="000000"/>
                <w:sz w:val="24"/>
                <w:lang w:val="en-US" w:eastAsia="zh-CN"/>
              </w:rPr>
              <w:t>油漆、稀释剂</w:t>
            </w:r>
            <w:r>
              <w:rPr>
                <w:rFonts w:hint="default" w:ascii="Times New Roman" w:hAnsi="Times New Roman" w:cs="Times New Roman"/>
                <w:color w:val="000000"/>
                <w:sz w:val="24"/>
              </w:rPr>
              <w:t>每桶</w:t>
            </w:r>
            <w:r>
              <w:rPr>
                <w:rFonts w:hint="default" w:ascii="Times New Roman" w:hAnsi="Times New Roman" w:cs="Times New Roman"/>
                <w:color w:val="000000"/>
                <w:sz w:val="24"/>
                <w:lang w:val="en-US" w:eastAsia="zh-CN"/>
              </w:rPr>
              <w:t>15</w:t>
            </w:r>
            <w:r>
              <w:rPr>
                <w:rFonts w:hint="default" w:ascii="Times New Roman" w:hAnsi="Times New Roman" w:cs="Times New Roman"/>
                <w:color w:val="000000"/>
                <w:sz w:val="24"/>
              </w:rPr>
              <w:t>kg，单个桶重约2kg</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腻子每桶25kg，单个桶重约2kg</w:t>
            </w:r>
            <w:r>
              <w:rPr>
                <w:rFonts w:hint="default" w:ascii="Times New Roman" w:hAnsi="Times New Roman" w:cs="Times New Roman"/>
                <w:color w:val="000000"/>
                <w:sz w:val="24"/>
              </w:rPr>
              <w:t>，则全年产生废包装桶约</w:t>
            </w:r>
            <w:r>
              <w:rPr>
                <w:rFonts w:hint="default" w:ascii="Times New Roman" w:hAnsi="Times New Roman" w:cs="Times New Roman"/>
                <w:color w:val="000000"/>
                <w:sz w:val="24"/>
                <w:lang w:val="en-US" w:eastAsia="zh-CN"/>
              </w:rPr>
              <w:t>553</w:t>
            </w:r>
            <w:r>
              <w:rPr>
                <w:rFonts w:hint="default" w:ascii="Times New Roman" w:hAnsi="Times New Roman" w:cs="Times New Roman"/>
                <w:color w:val="000000"/>
                <w:sz w:val="24"/>
              </w:rPr>
              <w:t>个（</w:t>
            </w:r>
            <w:r>
              <w:rPr>
                <w:rFonts w:hint="eastAsia" w:cs="Times New Roman"/>
                <w:color w:val="000000"/>
                <w:sz w:val="24"/>
                <w:lang w:val="en-US" w:eastAsia="zh-CN"/>
              </w:rPr>
              <w:t>酚醛树脂桶1个、聚异氰酸酯1个、</w:t>
            </w:r>
            <w:r>
              <w:rPr>
                <w:rFonts w:hint="default" w:ascii="Times New Roman" w:hAnsi="Times New Roman" w:cs="Times New Roman"/>
                <w:color w:val="000000"/>
                <w:sz w:val="24"/>
              </w:rPr>
              <w:t>三乙胺桶1个、</w:t>
            </w:r>
            <w:r>
              <w:rPr>
                <w:rFonts w:hint="default" w:ascii="Times New Roman" w:hAnsi="Times New Roman" w:cs="Times New Roman"/>
                <w:color w:val="000000"/>
                <w:sz w:val="24"/>
                <w:lang w:val="en-US" w:eastAsia="zh-CN"/>
              </w:rPr>
              <w:t>油漆、稀释剂</w:t>
            </w:r>
            <w:r>
              <w:rPr>
                <w:rFonts w:hint="default" w:ascii="Times New Roman" w:hAnsi="Times New Roman" w:cs="Times New Roman"/>
                <w:color w:val="000000"/>
                <w:sz w:val="24"/>
              </w:rPr>
              <w:t>桶</w:t>
            </w:r>
            <w:r>
              <w:rPr>
                <w:rFonts w:hint="eastAsia" w:cs="Times New Roman"/>
                <w:color w:val="000000"/>
                <w:sz w:val="24"/>
                <w:lang w:val="en-US" w:eastAsia="zh-CN"/>
              </w:rPr>
              <w:t>414</w:t>
            </w:r>
            <w:r>
              <w:rPr>
                <w:rFonts w:hint="default" w:ascii="Times New Roman" w:hAnsi="Times New Roman" w:cs="Times New Roman"/>
                <w:color w:val="000000"/>
                <w:sz w:val="24"/>
              </w:rPr>
              <w:t>个</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腻子桶200个</w:t>
            </w:r>
            <w:r>
              <w:rPr>
                <w:rFonts w:hint="default" w:ascii="Times New Roman" w:hAnsi="Times New Roman" w:cs="Times New Roman"/>
                <w:color w:val="000000"/>
                <w:sz w:val="24"/>
              </w:rPr>
              <w:t>），则产生废包装桶</w:t>
            </w:r>
            <w:r>
              <w:rPr>
                <w:rFonts w:hint="eastAsia" w:cs="Times New Roman"/>
                <w:color w:val="000000"/>
                <w:sz w:val="24"/>
                <w:lang w:val="en-US" w:eastAsia="zh-CN"/>
              </w:rPr>
              <w:t>1.384</w:t>
            </w:r>
            <w:r>
              <w:rPr>
                <w:rFonts w:hint="default" w:ascii="Times New Roman" w:hAnsi="Times New Roman" w:cs="Times New Roman"/>
                <w:color w:val="000000"/>
                <w:sz w:val="24"/>
              </w:rPr>
              <w:t>t/a；对照《国家危险废物名录》（2025年版），废包装桶属于危险废物，废物类别为HW49（900-041-49），委托有资质单位处置。</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⑥</w:t>
            </w:r>
            <w:r>
              <w:rPr>
                <w:rFonts w:hint="default" w:ascii="Times New Roman" w:hAnsi="Times New Roman" w:cs="Times New Roman"/>
                <w:color w:val="000000"/>
                <w:sz w:val="24"/>
              </w:rPr>
              <w:t>废油桶</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本项目精磨液、导轨油、防锈油的使用量分别为</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t/a、4t/a、2t/a，每桶200kg，则废油桶个数</w:t>
            </w:r>
            <w:r>
              <w:rPr>
                <w:rFonts w:hint="default" w:ascii="Times New Roman" w:hAnsi="Times New Roman" w:cs="Times New Roman"/>
                <w:color w:val="000000"/>
                <w:sz w:val="24"/>
                <w:lang w:val="en-US" w:eastAsia="zh-CN"/>
              </w:rPr>
              <w:t>40</w:t>
            </w:r>
            <w:r>
              <w:rPr>
                <w:rFonts w:hint="default" w:ascii="Times New Roman" w:hAnsi="Times New Roman" w:cs="Times New Roman"/>
                <w:color w:val="000000"/>
                <w:sz w:val="24"/>
              </w:rPr>
              <w:t>个，单个废油桶重10kg，则废油桶产生量为</w:t>
            </w:r>
            <w:r>
              <w:rPr>
                <w:rFonts w:hint="default" w:ascii="Times New Roman" w:hAnsi="Times New Roman" w:cs="Times New Roman"/>
                <w:color w:val="000000"/>
                <w:sz w:val="24"/>
                <w:lang w:val="en-US" w:eastAsia="zh-CN"/>
              </w:rPr>
              <w:t>0.4</w:t>
            </w:r>
            <w:r>
              <w:rPr>
                <w:rFonts w:hint="default" w:ascii="Times New Roman" w:hAnsi="Times New Roman" w:cs="Times New Roman"/>
                <w:color w:val="000000"/>
                <w:sz w:val="24"/>
              </w:rPr>
              <w:t>t/a，对照《国家危险废物名录》（2025年版），废油桶属于危险废物，废物类别为HW08（900-249-08），委托有资质单位处置。</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⑦</w:t>
            </w:r>
            <w:r>
              <w:rPr>
                <w:rFonts w:hint="default" w:ascii="Times New Roman" w:hAnsi="Times New Roman" w:cs="Times New Roman"/>
                <w:color w:val="000000"/>
                <w:sz w:val="24"/>
              </w:rPr>
              <w:t>喷枪头清洗废液</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color w:val="000000"/>
                <w:sz w:val="24"/>
              </w:rPr>
              <w:t>本项目喷枪清洗均采用稀释剂清洗（喷漆房内进行），30%的稀释剂挥发，70%的稀释剂为喷枪头清洗废液，</w:t>
            </w:r>
            <w:r>
              <w:rPr>
                <w:rFonts w:hint="eastAsia" w:cs="Times New Roman"/>
                <w:color w:val="000000"/>
                <w:sz w:val="24"/>
                <w:lang w:eastAsia="zh-CN"/>
              </w:rPr>
              <w:t>做</w:t>
            </w:r>
            <w:r>
              <w:rPr>
                <w:rFonts w:hint="default" w:ascii="Times New Roman" w:hAnsi="Times New Roman" w:cs="Times New Roman"/>
                <w:color w:val="000000"/>
                <w:sz w:val="24"/>
              </w:rPr>
              <w:t>危废处置，委托有资质单位处置，根据物料平衡图，本项目喷枪头清洗废液产生量为0.00</w:t>
            </w:r>
            <w:r>
              <w:rPr>
                <w:rFonts w:hint="default" w:ascii="Times New Roman" w:hAnsi="Times New Roman" w:cs="Times New Roman"/>
                <w:color w:val="000000"/>
                <w:sz w:val="24"/>
                <w:lang w:val="en-US" w:eastAsia="zh-CN"/>
              </w:rPr>
              <w:t>46</w:t>
            </w:r>
            <w:r>
              <w:rPr>
                <w:rFonts w:hint="default" w:ascii="Times New Roman" w:hAnsi="Times New Roman" w:cs="Times New Roman"/>
                <w:color w:val="000000"/>
                <w:sz w:val="24"/>
              </w:rPr>
              <w:t>t/a。</w:t>
            </w:r>
          </w:p>
          <w:p>
            <w:pPr>
              <w:spacing w:line="360" w:lineRule="auto"/>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lang w:val="en-US" w:eastAsia="zh-CN"/>
              </w:rPr>
              <w:t>⑧</w:t>
            </w:r>
            <w:r>
              <w:rPr>
                <w:rFonts w:hint="default" w:ascii="Times New Roman" w:hAnsi="Times New Roman" w:cs="Times New Roman"/>
                <w:spacing w:val="4"/>
                <w:sz w:val="24"/>
              </w:rPr>
              <w:t>焊渣</w:t>
            </w:r>
          </w:p>
          <w:p>
            <w:pPr>
              <w:spacing w:line="360" w:lineRule="auto"/>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rPr>
              <w:t>焊接过程产生焊渣，根据《机加工行业环境影响评价中常见污染物源强估算及污染治理》（许海萍），焊渣产生量为焊材使用量×（1/11+4%），本项目焊丝使用量为0.5t/a，则焊渣产生量为0.065t/a，委托一般固废处置单位处理。</w:t>
            </w:r>
          </w:p>
          <w:p>
            <w:pPr>
              <w:spacing w:line="360" w:lineRule="auto"/>
              <w:ind w:firstLine="496" w:firstLineChars="200"/>
              <w:rPr>
                <w:rFonts w:hint="default" w:ascii="Times New Roman" w:hAnsi="Times New Roman" w:cs="Times New Roman"/>
                <w:color w:val="000000"/>
                <w:sz w:val="24"/>
              </w:rPr>
            </w:pPr>
            <w:r>
              <w:rPr>
                <w:rFonts w:hint="default" w:ascii="Times New Roman" w:hAnsi="Times New Roman" w:cs="Times New Roman"/>
                <w:spacing w:val="4"/>
                <w:sz w:val="24"/>
                <w:lang w:val="en-US" w:eastAsia="zh-CN"/>
              </w:rPr>
              <w:t>⑨</w:t>
            </w:r>
            <w:r>
              <w:rPr>
                <w:rFonts w:hint="default" w:ascii="Times New Roman" w:hAnsi="Times New Roman" w:cs="Times New Roman"/>
                <w:color w:val="000000"/>
                <w:sz w:val="24"/>
              </w:rPr>
              <w:t>废钢丸</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color w:val="000000"/>
                <w:sz w:val="24"/>
              </w:rPr>
              <w:t>根据企业提供的资料，废钢丸的产生量占钢丸用量的1%，钢丸使用量为100t/a，废钢丸产生量为1t/a，收集委托一般固废处置单位处理</w:t>
            </w:r>
            <w:r>
              <w:rPr>
                <w:rFonts w:hint="default" w:ascii="Times New Roman" w:hAnsi="Times New Roman" w:cs="Times New Roman"/>
                <w:spacing w:val="4"/>
                <w:sz w:val="24"/>
              </w:rPr>
              <w:t>。</w:t>
            </w:r>
          </w:p>
          <w:p>
            <w:pPr>
              <w:spacing w:line="360" w:lineRule="auto"/>
              <w:ind w:firstLine="496" w:firstLineChars="200"/>
              <w:rPr>
                <w:rFonts w:hint="default" w:ascii="Times New Roman" w:hAnsi="Times New Roman" w:cs="Times New Roman"/>
                <w:color w:val="000000"/>
                <w:sz w:val="24"/>
              </w:rPr>
            </w:pPr>
            <w:r>
              <w:rPr>
                <w:rFonts w:hint="default" w:ascii="Times New Roman" w:hAnsi="Times New Roman" w:cs="Times New Roman"/>
                <w:spacing w:val="4"/>
                <w:sz w:val="24"/>
                <w:lang w:val="en-US" w:eastAsia="zh-CN"/>
              </w:rPr>
              <w:t>⑩</w:t>
            </w:r>
            <w:r>
              <w:rPr>
                <w:rFonts w:hint="default" w:ascii="Times New Roman" w:hAnsi="Times New Roman" w:cs="Times New Roman"/>
                <w:color w:val="000000"/>
                <w:sz w:val="24"/>
              </w:rPr>
              <w:t>废塑粉</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color w:val="000000"/>
                <w:sz w:val="24"/>
              </w:rPr>
              <w:t>废塑粉主要来自喷塑过程中塑粉的地面沉降的塑粉，根据物料平衡核算，企业废塑粉产生量约</w:t>
            </w:r>
            <w:r>
              <w:rPr>
                <w:rFonts w:hint="default" w:ascii="Times New Roman" w:hAnsi="Times New Roman" w:cs="Times New Roman"/>
                <w:color w:val="000000"/>
                <w:sz w:val="24"/>
                <w:lang w:val="en-US" w:eastAsia="zh-CN"/>
              </w:rPr>
              <w:t>0.</w:t>
            </w:r>
            <w:r>
              <w:rPr>
                <w:rFonts w:hint="eastAsia" w:cs="Times New Roman"/>
                <w:color w:val="000000"/>
                <w:sz w:val="24"/>
                <w:lang w:val="en-US" w:eastAsia="zh-CN"/>
              </w:rPr>
              <w:t>024</w:t>
            </w:r>
            <w:r>
              <w:rPr>
                <w:rFonts w:hint="default" w:ascii="Times New Roman" w:hAnsi="Times New Roman" w:cs="Times New Roman"/>
                <w:color w:val="000000"/>
                <w:sz w:val="24"/>
              </w:rPr>
              <w:t>t/a，为一般工业固废，收集委托一般固废处置单位处理</w:t>
            </w:r>
            <w:r>
              <w:rPr>
                <w:rFonts w:hint="default" w:ascii="Times New Roman" w:hAnsi="Times New Roman" w:cs="Times New Roman"/>
                <w:spacing w:val="4"/>
                <w:sz w:val="24"/>
              </w:rPr>
              <w:t>。</w:t>
            </w:r>
          </w:p>
          <w:p>
            <w:pPr>
              <w:spacing w:line="360" w:lineRule="auto"/>
              <w:ind w:firstLine="496" w:firstLineChars="200"/>
              <w:rPr>
                <w:rFonts w:hint="default" w:ascii="Times New Roman" w:hAnsi="Times New Roman" w:cs="Times New Roman"/>
                <w:spacing w:val="4"/>
                <w:sz w:val="24"/>
                <w:lang w:val="en-US" w:eastAsia="zh-CN"/>
              </w:rPr>
            </w:pPr>
            <w:r>
              <w:rPr>
                <w:rFonts w:hint="eastAsia" w:cs="Times New Roman"/>
                <w:spacing w:val="4"/>
                <w:sz w:val="24"/>
                <w:lang w:val="en-US" w:eastAsia="zh-CN"/>
              </w:rPr>
              <w:t>⑪废挂具</w:t>
            </w:r>
          </w:p>
          <w:p>
            <w:pPr>
              <w:spacing w:line="360" w:lineRule="auto"/>
              <w:ind w:firstLine="480" w:firstLineChars="200"/>
              <w:rPr>
                <w:rFonts w:hint="eastAsia" w:ascii="Times New Roman" w:hAnsi="Times New Roman" w:eastAsia="宋体" w:cs="Times New Roman"/>
                <w:spacing w:val="4"/>
                <w:sz w:val="24"/>
                <w:lang w:val="en-US" w:eastAsia="zh-CN"/>
              </w:rPr>
            </w:pPr>
            <w:r>
              <w:rPr>
                <w:rFonts w:hint="default"/>
                <w:sz w:val="24"/>
              </w:rPr>
              <w:t>在静电粉末涂装中，由于静电吸附作用，粉末涂料不仅被吸附到工件上面，还被吸附到挂具上，经烘烤固化后形成涂层，影响被涂物的导电性能。随着挂具上粉末涂层的增加，工件与挂具之间的接触点面积也随之发生变化，这种变化将影响工件的电阻，从而影响粉末涂料的上粉率。</w:t>
            </w:r>
            <w:r>
              <w:rPr>
                <w:rFonts w:hint="eastAsia"/>
                <w:sz w:val="24"/>
                <w:lang w:val="en-US" w:eastAsia="zh-CN"/>
              </w:rPr>
              <w:t>因此企业需定期对挂具进行更换，才能保证粉末涂料的上粉率和涂膜厚度的均匀性。废挂具产生量为1t/a，</w:t>
            </w:r>
            <w:r>
              <w:rPr>
                <w:rFonts w:hint="default" w:ascii="Times New Roman" w:hAnsi="Times New Roman" w:cs="Times New Roman"/>
                <w:color w:val="000000"/>
                <w:sz w:val="24"/>
              </w:rPr>
              <w:t>对照《国家危险废物名录》（2025年版），废</w:t>
            </w:r>
            <w:r>
              <w:rPr>
                <w:rFonts w:hint="eastAsia" w:ascii="Times New Roman" w:hAnsi="Times New Roman" w:cs="Times New Roman"/>
                <w:color w:val="000000"/>
                <w:sz w:val="24"/>
                <w:lang w:val="en-US" w:eastAsia="zh-CN"/>
              </w:rPr>
              <w:t>挂具</w:t>
            </w:r>
            <w:r>
              <w:rPr>
                <w:rFonts w:hint="default" w:ascii="Times New Roman" w:hAnsi="Times New Roman" w:cs="Times New Roman"/>
                <w:color w:val="000000"/>
                <w:sz w:val="24"/>
              </w:rPr>
              <w:t>属于危险废物，废物类别为HW49（900-041-49），委托有资质单位处置</w:t>
            </w:r>
            <w:r>
              <w:rPr>
                <w:rFonts w:hint="eastAsia" w:ascii="Times New Roman" w:hAnsi="Times New Roman" w:cs="Times New Roman"/>
                <w:color w:val="000000"/>
                <w:sz w:val="24"/>
                <w:lang w:eastAsia="zh-CN"/>
              </w:rPr>
              <w:t>。</w:t>
            </w:r>
          </w:p>
          <w:p>
            <w:pPr>
              <w:spacing w:line="360" w:lineRule="auto"/>
              <w:ind w:firstLine="496" w:firstLineChars="200"/>
              <w:rPr>
                <w:rFonts w:hint="default" w:ascii="Times New Roman" w:hAnsi="Times New Roman" w:cs="Times New Roman"/>
                <w:color w:val="000000"/>
                <w:sz w:val="24"/>
              </w:rPr>
            </w:pPr>
            <w:r>
              <w:rPr>
                <w:rFonts w:hint="eastAsia" w:cs="Times New Roman"/>
                <w:spacing w:val="4"/>
                <w:sz w:val="24"/>
                <w:lang w:val="en-US" w:eastAsia="zh-CN"/>
              </w:rPr>
              <w:t>⑫</w:t>
            </w:r>
            <w:r>
              <w:rPr>
                <w:rFonts w:hint="default" w:ascii="Times New Roman" w:hAnsi="Times New Roman" w:cs="Times New Roman"/>
                <w:color w:val="000000"/>
                <w:sz w:val="24"/>
              </w:rPr>
              <w:t>集尘灰</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color w:val="000000"/>
                <w:sz w:val="24"/>
              </w:rPr>
              <w:t>项目</w:t>
            </w:r>
            <w:r>
              <w:rPr>
                <w:rFonts w:hint="eastAsia" w:cs="Times New Roman"/>
                <w:color w:val="000000"/>
                <w:sz w:val="24"/>
                <w:lang w:val="en-US" w:eastAsia="zh-CN"/>
              </w:rPr>
              <w:t>混砂、</w:t>
            </w:r>
            <w:r>
              <w:rPr>
                <w:rFonts w:hint="default" w:ascii="Times New Roman" w:hAnsi="Times New Roman" w:cs="Times New Roman"/>
                <w:color w:val="000000"/>
                <w:sz w:val="24"/>
              </w:rPr>
              <w:t>冷芯制模、腻子打磨、下料、焊接、抛丸等环节产生的粉尘进入除尘系统处理，根据废气处理情况，除尘器收尘产生量约</w:t>
            </w:r>
            <w:r>
              <w:rPr>
                <w:rFonts w:hint="eastAsia" w:cs="Times New Roman"/>
                <w:color w:val="000000"/>
                <w:sz w:val="24"/>
                <w:lang w:val="en-US" w:eastAsia="zh-CN"/>
              </w:rPr>
              <w:t>3.6686</w:t>
            </w:r>
            <w:r>
              <w:rPr>
                <w:rFonts w:hint="default" w:ascii="Times New Roman" w:hAnsi="Times New Roman" w:cs="Times New Roman"/>
                <w:color w:val="000000"/>
                <w:sz w:val="24"/>
              </w:rPr>
              <w:t>t/a，收集委托一般固废处置单位处理。</w:t>
            </w:r>
          </w:p>
          <w:p>
            <w:pPr>
              <w:spacing w:line="360" w:lineRule="auto"/>
              <w:ind w:firstLine="496" w:firstLineChars="200"/>
              <w:rPr>
                <w:rFonts w:hint="default" w:ascii="Times New Roman" w:hAnsi="Times New Roman" w:cs="Times New Roman"/>
                <w:color w:val="000000"/>
                <w:sz w:val="24"/>
              </w:rPr>
            </w:pPr>
            <w:r>
              <w:rPr>
                <w:rFonts w:hint="eastAsia" w:cs="Times New Roman"/>
                <w:spacing w:val="4"/>
                <w:sz w:val="24"/>
                <w:lang w:val="en-US" w:eastAsia="zh-CN"/>
              </w:rPr>
              <w:t>⑬</w:t>
            </w:r>
            <w:r>
              <w:rPr>
                <w:rFonts w:hint="default" w:ascii="Times New Roman" w:hAnsi="Times New Roman" w:cs="Times New Roman"/>
                <w:color w:val="000000"/>
                <w:sz w:val="24"/>
              </w:rPr>
              <w:t>废滤材</w:t>
            </w:r>
          </w:p>
          <w:p>
            <w:pPr>
              <w:spacing w:line="360" w:lineRule="auto"/>
              <w:ind w:firstLine="480" w:firstLineChars="200"/>
              <w:rPr>
                <w:rFonts w:hint="default" w:ascii="Times New Roman" w:hAnsi="Times New Roman" w:eastAsia="宋体" w:cs="Times New Roman"/>
                <w:spacing w:val="4"/>
                <w:sz w:val="24"/>
                <w:lang w:val="en-US" w:eastAsia="zh-CN"/>
              </w:rPr>
            </w:pPr>
            <w:r>
              <w:rPr>
                <w:rFonts w:hint="default" w:ascii="Times New Roman" w:hAnsi="Times New Roman" w:cs="Times New Roman"/>
                <w:color w:val="000000"/>
                <w:sz w:val="24"/>
              </w:rPr>
              <w:t>本项目除尘系统会产生少量的废滤材（废滤芯、废布袋、废滤布），根据建设单位提供资料，项目喷塑工序滤筒（芯）除尘装置内的滤材约每年更换一次；全年总计更换40个，单个重约2kg；项目布袋除尘装置内的布袋约每年更换一次，单套布袋除尘器产生废布袋量为0.05t/a；本项目移动式烟尘净化器内滤布每年更换一次，单个废滤筒重约2kg，一年更换量约为15个；则废滤材产生量约0.21t/a（40×2+50×2+15×2=210），收集委托一般固废处置单位处理</w:t>
            </w:r>
            <w:r>
              <w:rPr>
                <w:rFonts w:hint="default" w:ascii="Times New Roman" w:hAnsi="Times New Roman" w:cs="Times New Roman"/>
                <w:color w:val="000000"/>
                <w:sz w:val="24"/>
                <w:lang w:eastAsia="zh-CN"/>
              </w:rPr>
              <w:t>。</w:t>
            </w:r>
          </w:p>
          <w:p>
            <w:pPr>
              <w:spacing w:line="360" w:lineRule="auto"/>
              <w:ind w:firstLine="496" w:firstLineChars="200"/>
              <w:rPr>
                <w:rFonts w:hint="default" w:ascii="Times New Roman" w:hAnsi="Times New Roman" w:cs="Times New Roman"/>
                <w:spacing w:val="4"/>
                <w:sz w:val="24"/>
              </w:rPr>
            </w:pPr>
            <w:r>
              <w:rPr>
                <w:rFonts w:hint="eastAsia" w:cs="Times New Roman"/>
                <w:spacing w:val="4"/>
                <w:sz w:val="24"/>
                <w:lang w:val="en-US" w:eastAsia="zh-CN"/>
              </w:rPr>
              <w:t>⑭</w:t>
            </w:r>
            <w:r>
              <w:rPr>
                <w:rFonts w:hint="default" w:ascii="Times New Roman" w:hAnsi="Times New Roman" w:cs="Times New Roman"/>
                <w:spacing w:val="4"/>
                <w:sz w:val="24"/>
              </w:rPr>
              <w:t>废砂纸</w:t>
            </w:r>
          </w:p>
          <w:p>
            <w:pPr>
              <w:spacing w:line="360" w:lineRule="auto"/>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rPr>
              <w:t>本项目手持打磨机会产生废砂纸</w:t>
            </w:r>
            <w:r>
              <w:rPr>
                <w:rFonts w:hint="eastAsia" w:cs="Times New Roman"/>
                <w:spacing w:val="4"/>
                <w:sz w:val="24"/>
                <w:lang w:eastAsia="zh-CN"/>
              </w:rPr>
              <w:t>，根</w:t>
            </w:r>
            <w:r>
              <w:rPr>
                <w:rFonts w:hint="default" w:ascii="Times New Roman" w:hAnsi="Times New Roman" w:cs="Times New Roman"/>
                <w:spacing w:val="4"/>
                <w:sz w:val="24"/>
              </w:rPr>
              <w:t>据企业提供，一年更换砂纸6000张，一片大概0.01kg，则废砂纸的产生量为0.06t/a，收集后委托一般固废处置单位处理</w:t>
            </w:r>
          </w:p>
          <w:p>
            <w:pPr>
              <w:spacing w:line="360" w:lineRule="auto"/>
              <w:ind w:firstLine="496" w:firstLineChars="200"/>
              <w:rPr>
                <w:rFonts w:hint="default" w:ascii="Times New Roman" w:hAnsi="Times New Roman" w:cs="Times New Roman"/>
                <w:color w:val="000000"/>
                <w:sz w:val="24"/>
              </w:rPr>
            </w:pPr>
            <w:r>
              <w:rPr>
                <w:rFonts w:hint="eastAsia" w:cs="Times New Roman"/>
                <w:spacing w:val="4"/>
                <w:sz w:val="24"/>
                <w:lang w:val="en-US" w:eastAsia="zh-CN"/>
              </w:rPr>
              <w:t>⑮</w:t>
            </w:r>
            <w:r>
              <w:rPr>
                <w:rFonts w:hint="default" w:ascii="Times New Roman" w:hAnsi="Times New Roman" w:cs="Times New Roman"/>
                <w:color w:val="000000"/>
                <w:sz w:val="24"/>
              </w:rPr>
              <w:t>废过滤材料</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color w:val="000000"/>
                <w:sz w:val="24"/>
              </w:rPr>
              <w:t>根据《漆雾高效干式净化法的关键—过滤材料》文中干式过滤材料数据，容尘量取4.5kg/m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，重量取500g/m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。建设项目进入废过滤材料的漆雾为0.</w:t>
            </w:r>
            <w:r>
              <w:rPr>
                <w:rFonts w:hint="default" w:ascii="Times New Roman" w:hAnsi="Times New Roman" w:cs="Times New Roman"/>
                <w:color w:val="000000"/>
                <w:sz w:val="24"/>
                <w:lang w:val="en-US" w:eastAsia="zh-CN"/>
              </w:rPr>
              <w:t>3</w:t>
            </w:r>
            <w:r>
              <w:rPr>
                <w:rFonts w:hint="eastAsia" w:cs="Times New Roman"/>
                <w:color w:val="000000"/>
                <w:sz w:val="24"/>
                <w:lang w:val="en-US" w:eastAsia="zh-CN"/>
              </w:rPr>
              <w:t>593</w:t>
            </w:r>
            <w:r>
              <w:rPr>
                <w:rFonts w:hint="default" w:ascii="Times New Roman" w:hAnsi="Times New Roman" w:cs="Times New Roman"/>
                <w:color w:val="000000"/>
                <w:sz w:val="24"/>
              </w:rPr>
              <w:t>t/a，则过滤材料用量约为0.0</w:t>
            </w:r>
            <w:r>
              <w:rPr>
                <w:rFonts w:hint="eastAsia" w:cs="Times New Roman"/>
                <w:color w:val="000000"/>
                <w:sz w:val="24"/>
                <w:lang w:val="en-US" w:eastAsia="zh-CN"/>
              </w:rPr>
              <w:t>399</w:t>
            </w:r>
            <w:r>
              <w:rPr>
                <w:rFonts w:hint="default" w:ascii="Times New Roman" w:hAnsi="Times New Roman" w:cs="Times New Roman"/>
                <w:color w:val="000000"/>
                <w:sz w:val="24"/>
              </w:rPr>
              <w:t>t/a，废过滤材料产生为</w:t>
            </w:r>
            <w:r>
              <w:rPr>
                <w:rFonts w:hint="default" w:ascii="Times New Roman" w:hAnsi="Times New Roman" w:cs="Times New Roman"/>
                <w:color w:val="000000"/>
                <w:sz w:val="24"/>
                <w:lang w:val="en-US" w:eastAsia="zh-CN"/>
              </w:rPr>
              <w:t>0.3</w:t>
            </w:r>
            <w:r>
              <w:rPr>
                <w:rFonts w:hint="eastAsia" w:cs="Times New Roman"/>
                <w:color w:val="000000"/>
                <w:sz w:val="24"/>
                <w:lang w:val="en-US" w:eastAsia="zh-CN"/>
              </w:rPr>
              <w:t>992</w:t>
            </w:r>
            <w:r>
              <w:rPr>
                <w:rFonts w:hint="default" w:ascii="Times New Roman" w:hAnsi="Times New Roman" w:cs="Times New Roman"/>
                <w:color w:val="000000"/>
                <w:sz w:val="24"/>
              </w:rPr>
              <w:t>t/a，对照《国家危险废物名录》（2025年版），废过滤材料属于危险废物，废物类别为HW49（900-041-49），委托有资质单位处置。</w:t>
            </w:r>
          </w:p>
          <w:p>
            <w:pPr>
              <w:spacing w:line="360" w:lineRule="auto"/>
              <w:ind w:firstLine="496" w:firstLineChars="200"/>
              <w:rPr>
                <w:rFonts w:hint="default" w:ascii="Times New Roman" w:hAnsi="Times New Roman" w:cs="Times New Roman"/>
                <w:color w:val="000000"/>
                <w:sz w:val="24"/>
              </w:rPr>
            </w:pPr>
            <w:r>
              <w:rPr>
                <w:rFonts w:hint="eastAsia" w:cs="Times New Roman"/>
                <w:spacing w:val="4"/>
                <w:sz w:val="24"/>
                <w:lang w:val="en-US" w:eastAsia="zh-CN"/>
              </w:rPr>
              <w:t>⑯</w:t>
            </w:r>
            <w:r>
              <w:rPr>
                <w:rFonts w:hint="default" w:ascii="Times New Roman" w:hAnsi="Times New Roman" w:cs="Times New Roman"/>
                <w:color w:val="000000"/>
                <w:sz w:val="24"/>
              </w:rPr>
              <w:t>废活性炭</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color w:val="000000"/>
                <w:sz w:val="24"/>
              </w:rPr>
              <w:t>本项目产生废活性炭量约</w:t>
            </w:r>
            <w:r>
              <w:rPr>
                <w:rFonts w:hint="eastAsia" w:cs="Times New Roman"/>
                <w:color w:val="000000"/>
                <w:sz w:val="24"/>
                <w:lang w:val="en-US" w:eastAsia="zh-CN"/>
              </w:rPr>
              <w:t>51.759</w:t>
            </w:r>
            <w:r>
              <w:rPr>
                <w:rFonts w:hint="default" w:ascii="Times New Roman" w:hAnsi="Times New Roman" w:cs="Times New Roman"/>
                <w:color w:val="000000"/>
                <w:sz w:val="24"/>
              </w:rPr>
              <w:t>t（吸附量</w:t>
            </w:r>
            <w:r>
              <w:rPr>
                <w:rFonts w:hint="eastAsia" w:cs="Times New Roman"/>
                <w:color w:val="000000"/>
                <w:sz w:val="24"/>
                <w:lang w:val="en-US" w:eastAsia="zh-CN"/>
              </w:rPr>
              <w:t>2.673</w:t>
            </w:r>
            <w:r>
              <w:rPr>
                <w:rFonts w:hint="default" w:ascii="Times New Roman" w:hAnsi="Times New Roman" w:cs="Times New Roman"/>
                <w:color w:val="000000"/>
                <w:sz w:val="24"/>
              </w:rPr>
              <w:t>+炭更换量</w:t>
            </w:r>
            <w:r>
              <w:rPr>
                <w:rFonts w:hint="eastAsia" w:cs="Times New Roman"/>
                <w:color w:val="000000"/>
                <w:sz w:val="24"/>
                <w:lang w:val="en-US" w:eastAsia="zh-CN"/>
              </w:rPr>
              <w:t>49.086</w:t>
            </w:r>
            <w:r>
              <w:rPr>
                <w:rFonts w:hint="default" w:ascii="Times New Roman" w:hAnsi="Times New Roman" w:cs="Times New Roman"/>
                <w:color w:val="000000"/>
                <w:sz w:val="24"/>
              </w:rPr>
              <w:t>）。对照《国家危险废物名录》（2025年），废活性炭属于危险废物，危废编码为HW49（900-039-49），委托有资质的单位处理。</w:t>
            </w:r>
          </w:p>
          <w:p>
            <w:pPr>
              <w:spacing w:line="360" w:lineRule="auto"/>
              <w:ind w:firstLine="496" w:firstLineChars="200"/>
              <w:rPr>
                <w:rFonts w:hint="default" w:ascii="Times New Roman" w:hAnsi="Times New Roman" w:cs="Times New Roman"/>
                <w:spacing w:val="4"/>
                <w:sz w:val="24"/>
              </w:rPr>
            </w:pPr>
            <w:r>
              <w:rPr>
                <w:rFonts w:hint="eastAsia" w:cs="Times New Roman"/>
                <w:spacing w:val="4"/>
                <w:sz w:val="24"/>
                <w:lang w:val="en-US" w:eastAsia="zh-CN"/>
              </w:rPr>
              <w:t>⑰</w:t>
            </w:r>
            <w:r>
              <w:rPr>
                <w:rFonts w:hint="default" w:ascii="Times New Roman" w:hAnsi="Times New Roman" w:cs="Times New Roman"/>
                <w:spacing w:val="4"/>
                <w:sz w:val="24"/>
              </w:rPr>
              <w:t>空压机含油废水</w:t>
            </w:r>
          </w:p>
          <w:p>
            <w:pPr>
              <w:adjustRightInd w:val="0"/>
              <w:snapToGrid w:val="0"/>
              <w:spacing w:line="360" w:lineRule="auto"/>
              <w:ind w:firstLine="480"/>
              <w:rPr>
                <w:rFonts w:hint="default" w:ascii="Times New Roman" w:hAnsi="Times New Roman" w:cs="Times New Roman"/>
                <w:kern w:val="0"/>
                <w:sz w:val="24"/>
              </w:rPr>
            </w:pPr>
            <w:r>
              <w:rPr>
                <w:rFonts w:hint="default" w:ascii="Times New Roman" w:hAnsi="Times New Roman" w:cs="Times New Roman"/>
                <w:sz w:val="24"/>
              </w:rPr>
              <w:t>空压机在使用过程中需定期排放冷凝水以维持空压机的正常运转，根据企业提供的资料，项目用空压机均为润滑式空压机，故会产生少量的含油废水。</w:t>
            </w:r>
          </w:p>
          <w:p>
            <w:pPr>
              <w:tabs>
                <w:tab w:val="left" w:pos="567"/>
                <w:tab w:val="left" w:pos="1843"/>
              </w:tabs>
              <w:adjustRightInd w:val="0"/>
              <w:snapToGrid w:val="0"/>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rPr>
              <w:t>本项目空压机供气量为8m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/min，空压机间歇运行，每天有效运行时间按照8h计，空气湿度按照70%考虑，则空压机含油废水产生量计算公式如下：</w:t>
            </w:r>
          </w:p>
          <w:p>
            <w:pPr>
              <w:tabs>
                <w:tab w:val="left" w:pos="567"/>
                <w:tab w:val="left" w:pos="1843"/>
              </w:tabs>
              <w:adjustRightInd w:val="0"/>
              <w:snapToGrid w:val="0"/>
              <w:spacing w:line="360" w:lineRule="auto"/>
              <w:jc w:val="center"/>
              <w:rPr>
                <w:rFonts w:hint="default" w:ascii="Times New Roman" w:hAnsi="Times New Roman" w:cs="Times New Roman"/>
                <w:kern w:val="0"/>
                <w:sz w:val="24"/>
              </w:rPr>
            </w:pPr>
            <w:r>
              <w:rPr>
                <w:rFonts w:hint="default" w:ascii="Times New Roman" w:hAnsi="Times New Roman" w:cs="Times New Roman"/>
                <w:kern w:val="0"/>
                <w:sz w:val="24"/>
              </w:rPr>
              <w:t>Q=P×t×RH×K/1000</w:t>
            </w:r>
          </w:p>
          <w:p>
            <w:pPr>
              <w:tabs>
                <w:tab w:val="left" w:pos="567"/>
                <w:tab w:val="left" w:pos="1843"/>
              </w:tabs>
              <w:adjustRightInd w:val="0"/>
              <w:snapToGrid w:val="0"/>
              <w:spacing w:line="360" w:lineRule="auto"/>
              <w:rPr>
                <w:rFonts w:hint="default" w:ascii="Times New Roman" w:hAnsi="Times New Roman" w:cs="Times New Roman"/>
                <w:bCs/>
                <w:sz w:val="24"/>
              </w:rPr>
            </w:pPr>
            <w:r>
              <w:rPr>
                <w:rFonts w:hint="default" w:ascii="Times New Roman" w:hAnsi="Times New Roman" w:cs="Times New Roman"/>
                <w:sz w:val="24"/>
              </w:rPr>
              <mc:AlternateContent>
                <mc:Choice Requires="wps">
                  <w:drawing>
                    <wp:anchor distT="0" distB="0" distL="114300" distR="114300" simplePos="0" relativeHeight="251660288" behindDoc="1" locked="0" layoutInCell="1" allowOverlap="1">
                      <wp:simplePos x="0" y="0"/>
                      <wp:positionH relativeFrom="column">
                        <wp:posOffset>-423545</wp:posOffset>
                      </wp:positionH>
                      <wp:positionV relativeFrom="paragraph">
                        <wp:posOffset>153670</wp:posOffset>
                      </wp:positionV>
                      <wp:extent cx="394970" cy="22174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94970" cy="2217420"/>
                              </a:xfrm>
                              <a:prstGeom prst="rect">
                                <a:avLst/>
                              </a:prstGeom>
                              <a:noFill/>
                              <a:ln>
                                <a:noFill/>
                              </a:ln>
                            </wps:spPr>
                            <wps:txbx>
                              <w:txbxContent>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jc w:val="center"/>
                                  </w:pPr>
                                  <w:r>
                                    <w:rPr>
                                      <w:rFonts w:hint="eastAsia" w:ascii="宋体" w:hAnsi="宋体" w:cs="宋体"/>
                                      <w:bCs/>
                                      <w:szCs w:val="21"/>
                                    </w:rPr>
                                    <w:t>措施</w:t>
                                  </w:r>
                                </w:p>
                              </w:txbxContent>
                            </wps:txbx>
                            <wps:bodyPr upright="1"/>
                          </wps:wsp>
                        </a:graphicData>
                      </a:graphic>
                    </wp:anchor>
                  </w:drawing>
                </mc:Choice>
                <mc:Fallback>
                  <w:pict>
                    <v:shape id="_x0000_s1026" o:spid="_x0000_s1026" o:spt="202" type="#_x0000_t202" style="position:absolute;left:0pt;margin-left:-33.35pt;margin-top:12.1pt;height:174.6pt;width:31.1pt;z-index:-251656192;mso-width-relative:page;mso-height-relative:page;" filled="f" stroked="f" coordsize="21600,21600" o:gfxdata="UEsFBgAAAAAAAAAAAAAAAAAAAAAAAFBLAwQKAAAAAACHTuJAAAAAAAAAAAAAAAAABAAAAGRycy9Q&#10;SwMEFAAAAAgAh07iQPI65HLYAAAACQEAAA8AAABkcnMvZG93bnJldi54bWxNj8tOwzAQRfdI/IM1&#10;SOxSu2maQsikCxBbKspDYufG0yQiHkex24S/r1nBcnSP7j1TbmfbizONvnOMsFwoEMS1Mx03CO9v&#10;z8kdCB80G907JoQf8rCtrq9KXRg38Sud96ERsYR9oRHaEIZCSl+3ZLVfuIE4Zkc3Wh3iOTbSjHqK&#10;5baXqVK5tLrjuNDqgR5bqr/3J4vw8XL8+szUrnmy62Fys5Js7yXi7c1SPYAINIc/GH71ozpU0eng&#10;Tmy86BGSPN9EFCHNUhARSLI1iAPCarPKQFal/P9BdQFQSwMEFAAAAAgAh07iQPtlGdauAQAATgMA&#10;AA4AAABkcnMvZTJvRG9jLnhtbK1TS27bMBDdF+gdCO5r2WrQNILlAIWRbIK2QJoD0BRpESA5BIe2&#10;5Au0N+iqm+57Lp+jQ9pxfpsssqHImac3896Q88vRWbZVEQ34ls8mU86Ul9AZv2753Y+rD585wyR8&#10;Jyx41fKdQn65eP9uPoRG1dCD7VRkROKxGULL+5RCU1Uoe+UETiAoT0kN0YlEx7iuuigGYne2qqfT&#10;T9UAsQsRpEKk6PKQ5EfG+BpC0NpItQS5ccqnA2tUViSShL0JyBelW62VTN+0RpWYbTkpTWWlIrRf&#10;5bVazEWzjiL0Rh5bEK9p4ZkmJ4ynoieqpUiCbaJ5QeWMjICg00SCqw5CiiOkYjZ95s1tL4IqWshq&#10;DCfT8e1o5dft98hM1/KaMy8cDXz/+9f+z7/935+szvYMARtC3QbCpfELjHRp7uNIwax61NHlL+lh&#10;lCdzdydz1ZiYpODHi7OLc8pIStX17PysLu5XD3+HiOlagWN50/JIwyueiu0NJuqEoPeQXMzDlbG2&#10;DND6JwEC5kiVWz+0mHdpXI1HPSvodiRnE6JZ91SqCCpwsrkUOl6JPMfH50L68AwW/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yOuRy2AAAAAkBAAAPAAAAAAAAAAEAIAAAADgAAABkcnMvZG93bnJl&#10;di54bWxQSwECFAAUAAAACACHTuJA+2UZ1q4BAABOAwAADgAAAAAAAAABACAAAAA9AQAAZHJzL2Uy&#10;b0RvYy54bWxQSwUGAAAAAAYABgBZAQAAXQUAAAAA&#10;">
                      <v:fill on="f" focussize="0,0"/>
                      <v:stroke on="f"/>
                      <v:imagedata o:title=""/>
                      <o:lock v:ext="edit" aspectratio="f"/>
                      <v:textbox>
                        <w:txbxContent>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jc w:val="center"/>
                            </w:pPr>
                            <w:r>
                              <w:rPr>
                                <w:rFonts w:hint="eastAsia" w:ascii="宋体" w:hAnsi="宋体" w:cs="宋体"/>
                                <w:bCs/>
                                <w:szCs w:val="21"/>
                              </w:rPr>
                              <w:t>措施</w:t>
                            </w:r>
                          </w:p>
                        </w:txbxContent>
                      </v:textbox>
                    </v:shape>
                  </w:pict>
                </mc:Fallback>
              </mc:AlternateContent>
            </w:r>
            <w:r>
              <w:rPr>
                <w:rFonts w:hint="default" w:ascii="Times New Roman" w:hAnsi="Times New Roman" w:cs="Times New Roman"/>
                <w:kern w:val="0"/>
                <w:sz w:val="24"/>
              </w:rPr>
              <w:t>其中：</w:t>
            </w:r>
            <w:r>
              <w:rPr>
                <w:rFonts w:hint="default" w:ascii="Times New Roman" w:hAnsi="Times New Roman" w:cs="Times New Roman"/>
                <w:bCs/>
                <w:sz w:val="24"/>
              </w:rPr>
              <w:t>Q：</w:t>
            </w:r>
            <w:r>
              <w:rPr>
                <w:rFonts w:hint="default" w:ascii="Times New Roman" w:hAnsi="Times New Roman" w:cs="Times New Roman"/>
                <w:kern w:val="0"/>
                <w:sz w:val="24"/>
              </w:rPr>
              <w:t>空压机含油废水</w:t>
            </w:r>
            <w:r>
              <w:rPr>
                <w:rFonts w:hint="default" w:ascii="Times New Roman" w:hAnsi="Times New Roman" w:cs="Times New Roman"/>
                <w:bCs/>
                <w:sz w:val="24"/>
              </w:rPr>
              <w:t>（L/h）</w:t>
            </w:r>
          </w:p>
          <w:p>
            <w:pPr>
              <w:tabs>
                <w:tab w:val="left" w:pos="567"/>
                <w:tab w:val="left" w:pos="1843"/>
              </w:tabs>
              <w:adjustRightInd w:val="0"/>
              <w:snapToGrid w:val="0"/>
              <w:spacing w:line="360" w:lineRule="auto"/>
              <w:ind w:firstLine="720" w:firstLineChars="300"/>
              <w:rPr>
                <w:rFonts w:hint="default" w:ascii="Times New Roman" w:hAnsi="Times New Roman" w:cs="Times New Roman"/>
                <w:bCs/>
                <w:sz w:val="24"/>
              </w:rPr>
            </w:pPr>
            <w:r>
              <w:rPr>
                <w:rFonts w:hint="default" w:ascii="Times New Roman" w:hAnsi="Times New Roman" w:cs="Times New Roman"/>
                <w:bCs/>
                <w:sz w:val="24"/>
              </w:rPr>
              <w:t>P：空压机排气量(m</w:t>
            </w:r>
            <w:r>
              <w:rPr>
                <w:rFonts w:hint="default" w:ascii="Times New Roman" w:hAnsi="Times New Roman" w:cs="Times New Roman"/>
                <w:bCs/>
                <w:sz w:val="24"/>
                <w:vertAlign w:val="superscript"/>
              </w:rPr>
              <w:t>3</w:t>
            </w:r>
            <w:r>
              <w:rPr>
                <w:rFonts w:hint="default" w:ascii="Times New Roman" w:hAnsi="Times New Roman" w:cs="Times New Roman"/>
                <w:bCs/>
                <w:sz w:val="24"/>
              </w:rPr>
              <w:t>/h )</w:t>
            </w:r>
          </w:p>
          <w:p>
            <w:pPr>
              <w:tabs>
                <w:tab w:val="left" w:pos="567"/>
                <w:tab w:val="left" w:pos="1843"/>
              </w:tabs>
              <w:adjustRightInd w:val="0"/>
              <w:snapToGrid w:val="0"/>
              <w:spacing w:line="360" w:lineRule="auto"/>
              <w:ind w:firstLine="720" w:firstLineChars="300"/>
              <w:rPr>
                <w:rFonts w:hint="default" w:ascii="Times New Roman" w:hAnsi="Times New Roman" w:cs="Times New Roman"/>
                <w:bCs/>
                <w:sz w:val="24"/>
              </w:rPr>
            </w:pPr>
            <w:r>
              <w:rPr>
                <w:rFonts w:hint="default" w:ascii="Times New Roman" w:hAnsi="Times New Roman" w:cs="Times New Roman"/>
                <w:bCs/>
                <w:sz w:val="24"/>
              </w:rPr>
              <w:t>t：运行时间（h）</w:t>
            </w:r>
          </w:p>
          <w:p>
            <w:pPr>
              <w:tabs>
                <w:tab w:val="left" w:pos="567"/>
                <w:tab w:val="left" w:pos="1843"/>
              </w:tabs>
              <w:adjustRightInd w:val="0"/>
              <w:snapToGrid w:val="0"/>
              <w:spacing w:line="360" w:lineRule="auto"/>
              <w:ind w:firstLine="720" w:firstLineChars="300"/>
              <w:rPr>
                <w:rFonts w:hint="default" w:ascii="Times New Roman" w:hAnsi="Times New Roman" w:cs="Times New Roman"/>
                <w:bCs/>
                <w:sz w:val="24"/>
              </w:rPr>
            </w:pPr>
            <w:r>
              <w:rPr>
                <w:rFonts w:hint="default" w:ascii="Times New Roman" w:hAnsi="Times New Roman" w:cs="Times New Roman"/>
                <w:bCs/>
                <w:sz w:val="24"/>
              </w:rPr>
              <w:t>RH：空气相对湿度（%），环境湿度按照70%考虑</w:t>
            </w:r>
          </w:p>
          <w:p>
            <w:pPr>
              <w:tabs>
                <w:tab w:val="left" w:pos="567"/>
                <w:tab w:val="left" w:pos="1843"/>
              </w:tabs>
              <w:adjustRightInd w:val="0"/>
              <w:snapToGrid w:val="0"/>
              <w:spacing w:line="360" w:lineRule="auto"/>
              <w:ind w:firstLine="720" w:firstLineChars="300"/>
              <w:rPr>
                <w:rFonts w:hint="default" w:ascii="Times New Roman" w:hAnsi="Times New Roman" w:cs="Times New Roman"/>
                <w:bCs/>
                <w:sz w:val="24"/>
              </w:rPr>
            </w:pPr>
            <w:r>
              <w:rPr>
                <w:rFonts w:hint="default" w:ascii="Times New Roman" w:hAnsi="Times New Roman" w:cs="Times New Roman"/>
                <w:bCs/>
                <w:sz w:val="24"/>
              </w:rPr>
              <w:t>K：经验系数（0.1~0.3），取决于环境温度，本项目按照0.2考虑</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bCs/>
                <w:sz w:val="24"/>
              </w:rPr>
              <w:t>则本项目空压机含油废水量=8×8×70×0.2/1000=0.896L/d，本项目年运行300天，则空压机含油废水产生量=0.896×300=268.8L/年</w:t>
            </w:r>
            <w:r>
              <w:rPr>
                <w:rFonts w:hint="default" w:ascii="Times New Roman" w:hAnsi="Times New Roman" w:cs="Times New Roman"/>
                <w:kern w:val="0"/>
                <w:sz w:val="24"/>
              </w:rPr>
              <w:t>（空压机润滑油按密度0.98kg/L），折算约0.263t/a，共设置6台空压机，则空压机含油废水产生量约1.578t/a，废物类别为HW09（900-007-09），</w:t>
            </w:r>
            <w:r>
              <w:rPr>
                <w:rFonts w:hint="default" w:ascii="Times New Roman" w:hAnsi="Times New Roman" w:cs="Times New Roman"/>
                <w:sz w:val="24"/>
              </w:rPr>
              <w:t>作为危险废物委托相关有资质单位处置。</w:t>
            </w:r>
          </w:p>
          <w:p>
            <w:pPr>
              <w:spacing w:line="360" w:lineRule="auto"/>
              <w:ind w:firstLine="496" w:firstLineChars="200"/>
              <w:rPr>
                <w:rFonts w:hint="default" w:ascii="Times New Roman" w:hAnsi="Times New Roman" w:cs="Times New Roman"/>
                <w:spacing w:val="4"/>
                <w:sz w:val="24"/>
              </w:rPr>
            </w:pPr>
            <w:r>
              <w:rPr>
                <w:rFonts w:hint="eastAsia" w:cs="Times New Roman"/>
                <w:spacing w:val="4"/>
                <w:sz w:val="24"/>
                <w:lang w:val="en-US" w:eastAsia="zh-CN"/>
              </w:rPr>
              <w:t>⑱</w:t>
            </w:r>
            <w:r>
              <w:rPr>
                <w:rFonts w:hint="default" w:ascii="Times New Roman" w:hAnsi="Times New Roman" w:cs="Times New Roman"/>
                <w:spacing w:val="4"/>
                <w:sz w:val="24"/>
              </w:rPr>
              <w:t>废劳保用品</w:t>
            </w:r>
          </w:p>
          <w:p>
            <w:pPr>
              <w:spacing w:line="360" w:lineRule="auto"/>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rPr>
              <w:t>机修、维护保养作业等过程会产生废弃的含油手套、劳保用品等，产生量约0.1t/a。属于危险废物，废物类别及代码为 HW49（900-041-49），需委托有资质单位处理。</w:t>
            </w:r>
          </w:p>
          <w:p>
            <w:pPr>
              <w:spacing w:line="360" w:lineRule="auto"/>
              <w:ind w:firstLine="496" w:firstLineChars="200"/>
              <w:rPr>
                <w:rFonts w:hint="default" w:ascii="Times New Roman" w:hAnsi="Times New Roman" w:cs="Times New Roman"/>
                <w:color w:val="000000"/>
                <w:sz w:val="24"/>
              </w:rPr>
            </w:pPr>
            <w:r>
              <w:rPr>
                <w:rFonts w:hint="eastAsia" w:cs="Times New Roman"/>
                <w:spacing w:val="4"/>
                <w:sz w:val="24"/>
                <w:lang w:val="en-US" w:eastAsia="zh-CN"/>
              </w:rPr>
              <w:t>⑲</w:t>
            </w:r>
            <w:r>
              <w:rPr>
                <w:rFonts w:hint="default" w:ascii="Times New Roman" w:hAnsi="Times New Roman" w:cs="Times New Roman"/>
                <w:spacing w:val="4"/>
                <w:sz w:val="24"/>
                <w:lang w:val="en-US" w:eastAsia="zh-CN"/>
              </w:rPr>
              <w:t>磷酸</w:t>
            </w:r>
            <w:r>
              <w:rPr>
                <w:rFonts w:hint="default" w:ascii="Times New Roman" w:hAnsi="Times New Roman" w:cs="Times New Roman"/>
                <w:color w:val="000000"/>
                <w:sz w:val="24"/>
              </w:rPr>
              <w:t>喷淋废液</w:t>
            </w:r>
          </w:p>
          <w:p>
            <w:pPr>
              <w:spacing w:line="360" w:lineRule="auto"/>
              <w:ind w:firstLine="480" w:firstLineChars="200"/>
              <w:rPr>
                <w:rFonts w:hint="default" w:ascii="Times New Roman" w:hAnsi="Times New Roman" w:cs="Times New Roman"/>
                <w:spacing w:val="4"/>
                <w:sz w:val="24"/>
              </w:rPr>
            </w:pPr>
            <w:r>
              <w:rPr>
                <w:rFonts w:hint="default" w:ascii="Times New Roman" w:hAnsi="Times New Roman" w:cs="Times New Roman"/>
                <w:sz w:val="24"/>
              </w:rPr>
              <w:t>本项目</w:t>
            </w:r>
            <w:r>
              <w:rPr>
                <w:rFonts w:hint="default" w:ascii="Times New Roman" w:hAnsi="Times New Roman" w:cs="Times New Roman"/>
                <w:sz w:val="24"/>
                <w:lang w:val="en-US" w:eastAsia="zh-CN"/>
              </w:rPr>
              <w:t>磷酸</w:t>
            </w:r>
            <w:r>
              <w:rPr>
                <w:rFonts w:hint="default" w:ascii="Times New Roman" w:hAnsi="Times New Roman" w:cs="Times New Roman"/>
                <w:sz w:val="24"/>
              </w:rPr>
              <w:t>喷淋塔每月更换一次用水，配备的水箱容积为3.44m</w:t>
            </w:r>
            <w:r>
              <w:rPr>
                <w:rFonts w:hint="default" w:ascii="Times New Roman" w:hAnsi="Times New Roman" w:cs="Times New Roman"/>
                <w:sz w:val="24"/>
                <w:vertAlign w:val="superscript"/>
              </w:rPr>
              <w:t>3</w:t>
            </w:r>
            <w:r>
              <w:rPr>
                <w:rFonts w:hint="default" w:ascii="Times New Roman" w:hAnsi="Times New Roman" w:cs="Times New Roman"/>
                <w:sz w:val="24"/>
              </w:rPr>
              <w:t>，则年更换水量为41.28m</w:t>
            </w:r>
            <w:r>
              <w:rPr>
                <w:rFonts w:hint="default" w:ascii="Times New Roman" w:hAnsi="Times New Roman" w:cs="Times New Roman"/>
                <w:sz w:val="24"/>
                <w:vertAlign w:val="superscript"/>
              </w:rPr>
              <w:t>3</w:t>
            </w:r>
            <w:r>
              <w:rPr>
                <w:rFonts w:hint="default" w:ascii="Times New Roman" w:hAnsi="Times New Roman" w:cs="Times New Roman"/>
                <w:spacing w:val="4"/>
                <w:sz w:val="24"/>
              </w:rPr>
              <w:t>。对照《国家危险废物管理名录》（2025版），</w:t>
            </w:r>
            <w:r>
              <w:rPr>
                <w:rFonts w:hint="default" w:ascii="Times New Roman" w:hAnsi="Times New Roman" w:cs="Times New Roman"/>
                <w:spacing w:val="4"/>
                <w:sz w:val="24"/>
                <w:lang w:val="en-US" w:eastAsia="zh-CN"/>
              </w:rPr>
              <w:t>磷酸</w:t>
            </w:r>
            <w:r>
              <w:rPr>
                <w:rFonts w:hint="default" w:ascii="Times New Roman" w:hAnsi="Times New Roman" w:cs="Times New Roman"/>
                <w:spacing w:val="4"/>
                <w:sz w:val="24"/>
              </w:rPr>
              <w:t>喷淋废液属于危险废物，废物类别为HW34（900-300-34），委托资质单位处置</w:t>
            </w:r>
            <w:r>
              <w:rPr>
                <w:rFonts w:hint="default" w:ascii="Times New Roman" w:hAnsi="Times New Roman" w:cs="Times New Roman"/>
                <w:color w:val="000000"/>
                <w:sz w:val="24"/>
              </w:rPr>
              <w:t>。</w:t>
            </w:r>
          </w:p>
          <w:p>
            <w:pPr>
              <w:spacing w:line="360" w:lineRule="auto"/>
              <w:ind w:firstLine="496" w:firstLineChars="200"/>
              <w:rPr>
                <w:rFonts w:hint="default" w:ascii="Times New Roman" w:hAnsi="Times New Roman" w:cs="Times New Roman"/>
                <w:spacing w:val="4"/>
                <w:sz w:val="24"/>
              </w:rPr>
            </w:pPr>
            <w:r>
              <w:rPr>
                <w:rFonts w:hint="eastAsia" w:cs="Times New Roman"/>
                <w:spacing w:val="4"/>
                <w:sz w:val="24"/>
                <w:lang w:val="en-US" w:eastAsia="zh-CN"/>
              </w:rPr>
              <w:t>⑳</w:t>
            </w:r>
            <w:r>
              <w:rPr>
                <w:rFonts w:hint="default" w:ascii="Times New Roman" w:hAnsi="Times New Roman" w:cs="Times New Roman"/>
                <w:spacing w:val="4"/>
                <w:sz w:val="24"/>
              </w:rPr>
              <w:t>生活垃圾</w:t>
            </w:r>
          </w:p>
          <w:p>
            <w:pPr>
              <w:spacing w:line="360" w:lineRule="auto"/>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rPr>
              <w:t>本项目拟聘用职工100人，全年工作天数以300天计，生活垃圾产生量按1kg/人•d计，则本项目生活垃圾产生量为30t/a，收集后委托环卫部门清运处置。</w:t>
            </w:r>
          </w:p>
          <w:p>
            <w:pPr>
              <w:spacing w:line="360" w:lineRule="auto"/>
              <w:ind w:firstLine="496" w:firstLineChars="200"/>
              <w:rPr>
                <w:rFonts w:hint="default" w:ascii="Times New Roman" w:hAnsi="Times New Roman" w:cs="Times New Roman"/>
                <w:spacing w:val="4"/>
                <w:sz w:val="24"/>
                <w:lang w:val="en-US" w:eastAsia="zh-CN"/>
              </w:rPr>
            </w:pPr>
            <w:r>
              <w:rPr>
                <w:rFonts w:hint="eastAsia" w:cs="Times New Roman"/>
                <w:spacing w:val="4"/>
                <w:sz w:val="24"/>
                <w:lang w:val="en-US" w:eastAsia="zh-CN"/>
              </w:rPr>
              <w:t>㉑</w:t>
            </w:r>
            <w:r>
              <w:rPr>
                <w:rFonts w:hint="default" w:ascii="Times New Roman" w:hAnsi="Times New Roman" w:cs="Times New Roman"/>
                <w:spacing w:val="4"/>
                <w:sz w:val="24"/>
                <w:lang w:val="en-US" w:eastAsia="zh-CN"/>
              </w:rPr>
              <w:t>废油脂</w:t>
            </w:r>
          </w:p>
          <w:p>
            <w:pPr>
              <w:spacing w:line="360" w:lineRule="auto"/>
              <w:ind w:firstLine="496" w:firstLineChars="200"/>
              <w:rPr>
                <w:rFonts w:hint="default" w:ascii="Times New Roman" w:hAnsi="Times New Roman" w:cs="Times New Roman"/>
                <w:spacing w:val="4"/>
                <w:sz w:val="24"/>
                <w:lang w:val="en-US" w:eastAsia="zh-CN"/>
              </w:rPr>
            </w:pPr>
            <w:r>
              <w:rPr>
                <w:rFonts w:hint="default" w:ascii="Times New Roman" w:hAnsi="Times New Roman" w:cs="Times New Roman"/>
                <w:spacing w:val="4"/>
                <w:sz w:val="24"/>
                <w:lang w:val="en-US" w:eastAsia="zh-CN"/>
              </w:rPr>
              <w:t>本项目食堂废水经隔油池处理后会产生废油脂，产生量为0.0086t/a，委托专业油脂单位处置。</w:t>
            </w:r>
          </w:p>
          <w:p>
            <w:pPr>
              <w:spacing w:line="360" w:lineRule="auto"/>
              <w:ind w:firstLine="496" w:firstLineChars="200"/>
              <w:rPr>
                <w:rFonts w:hint="default" w:ascii="Times New Roman" w:hAnsi="Times New Roman" w:cs="Times New Roman"/>
                <w:color w:val="auto"/>
                <w:spacing w:val="4"/>
                <w:sz w:val="24"/>
                <w:lang w:val="en-US" w:eastAsia="zh-CN"/>
              </w:rPr>
            </w:pPr>
            <w:r>
              <w:rPr>
                <w:rFonts w:hint="eastAsia" w:cs="Times New Roman"/>
                <w:color w:val="auto"/>
                <w:spacing w:val="4"/>
                <w:sz w:val="24"/>
                <w:lang w:val="en-US" w:eastAsia="zh-CN"/>
              </w:rPr>
              <w:t>㉒</w:t>
            </w:r>
            <w:r>
              <w:rPr>
                <w:rFonts w:hint="default" w:ascii="Times New Roman" w:hAnsi="Times New Roman" w:cs="Times New Roman"/>
                <w:color w:val="auto"/>
                <w:spacing w:val="4"/>
                <w:sz w:val="24"/>
                <w:lang w:val="en-US" w:eastAsia="zh-CN"/>
              </w:rPr>
              <w:t>化粪池污泥</w:t>
            </w:r>
          </w:p>
          <w:p>
            <w:pPr>
              <w:spacing w:line="360" w:lineRule="auto"/>
              <w:ind w:firstLine="496" w:firstLineChars="200"/>
              <w:rPr>
                <w:rFonts w:hint="default" w:ascii="Times New Roman" w:hAnsi="Times New Roman" w:cs="Times New Roman"/>
                <w:spacing w:val="4"/>
                <w:sz w:val="24"/>
                <w:lang w:val="en-US" w:eastAsia="zh-CN"/>
              </w:rPr>
            </w:pPr>
            <w:r>
              <w:rPr>
                <w:rFonts w:hint="default" w:ascii="Times New Roman" w:hAnsi="Times New Roman" w:cs="Times New Roman"/>
                <w:color w:val="auto"/>
                <w:spacing w:val="4"/>
                <w:sz w:val="24"/>
                <w:lang w:val="en-US" w:eastAsia="zh-CN"/>
              </w:rPr>
              <w:t>参考《建筑给水排水设计标准》（GB50015-2019）中表4.10.15-2化粪池每人每日计算污泥量，本项目不提供住宿，确定化粪池污泥产生系数为0.2L/人·d，企业共有职工100人，则化粪池污泥产生量为6t/a，委托环卫清运。</w:t>
            </w:r>
          </w:p>
        </w:tc>
      </w:tr>
    </w:tbl>
    <w:p>
      <w:pPr>
        <w:pStyle w:val="35"/>
        <w:ind w:firstLine="482"/>
        <w:rPr>
          <w:rFonts w:hint="default" w:ascii="Times New Roman" w:hAnsi="Times New Roman" w:cs="Times New Roman"/>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86" w:type="pct"/>
            <w:tcMar>
              <w:left w:w="28" w:type="dxa"/>
              <w:right w:w="28" w:type="dxa"/>
            </w:tcMar>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运营</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期环</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境影</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响和</w:t>
            </w:r>
          </w:p>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保护</w:t>
            </w:r>
          </w:p>
          <w:p>
            <w:pPr>
              <w:adjustRightInd w:val="0"/>
              <w:snapToGrid w:val="0"/>
              <w:jc w:val="center"/>
              <w:rPr>
                <w:rFonts w:hint="default" w:ascii="Times New Roman" w:hAnsi="Times New Roman" w:cs="Times New Roman"/>
                <w:bCs/>
                <w:color w:val="000000"/>
                <w:szCs w:val="21"/>
              </w:rPr>
            </w:pPr>
            <w:r>
              <w:rPr>
                <w:rFonts w:hint="default" w:ascii="Times New Roman" w:hAnsi="Times New Roman" w:cs="Times New Roman"/>
                <w:b/>
                <w:color w:val="000000"/>
                <w:szCs w:val="21"/>
              </w:rPr>
              <w:t>措施</w:t>
            </w:r>
          </w:p>
        </w:tc>
        <w:tc>
          <w:tcPr>
            <w:tcW w:w="4713" w:type="pct"/>
          </w:tcPr>
          <w:p>
            <w:pPr>
              <w:numPr>
                <w:ilvl w:val="0"/>
                <w:numId w:val="20"/>
              </w:numPr>
              <w:spacing w:line="360" w:lineRule="auto"/>
              <w:ind w:firstLine="482" w:firstLineChars="200"/>
              <w:rPr>
                <w:rFonts w:hint="default" w:ascii="Times New Roman" w:hAnsi="Times New Roman" w:cs="Times New Roman"/>
                <w:b/>
                <w:bCs/>
                <w:color w:val="000000"/>
                <w:sz w:val="24"/>
              </w:rPr>
            </w:pPr>
            <w:r>
              <w:rPr>
                <w:rFonts w:hint="default" w:ascii="Times New Roman" w:hAnsi="Times New Roman" w:cs="Times New Roman"/>
                <w:b/>
                <w:bCs/>
                <w:color w:val="000000"/>
                <w:sz w:val="24"/>
              </w:rPr>
              <w:t>固体废物处置利用情况</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本项目固体废物利用处置方式见表4-</w:t>
            </w:r>
            <w:r>
              <w:rPr>
                <w:rFonts w:hint="default" w:ascii="Times New Roman" w:hAnsi="Times New Roman" w:cs="Times New Roman"/>
                <w:color w:val="000000"/>
                <w:sz w:val="24"/>
                <w:lang w:val="en-US" w:eastAsia="zh-CN"/>
              </w:rPr>
              <w:t>11</w:t>
            </w:r>
            <w:r>
              <w:rPr>
                <w:rFonts w:hint="default" w:ascii="Times New Roman" w:hAnsi="Times New Roman" w:cs="Times New Roman"/>
                <w:color w:val="000000"/>
                <w:sz w:val="24"/>
              </w:rPr>
              <w:t>。</w:t>
            </w:r>
          </w:p>
          <w:p>
            <w:pPr>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表4-</w:t>
            </w:r>
            <w:r>
              <w:rPr>
                <w:rFonts w:hint="default" w:ascii="Times New Roman" w:hAnsi="Times New Roman" w:cs="Times New Roman"/>
                <w:b/>
                <w:color w:val="000000"/>
                <w:sz w:val="24"/>
                <w:lang w:val="en-US" w:eastAsia="zh-CN"/>
              </w:rPr>
              <w:t>11</w:t>
            </w:r>
            <w:r>
              <w:rPr>
                <w:rFonts w:hint="default" w:ascii="Times New Roman" w:hAnsi="Times New Roman" w:cs="Times New Roman"/>
                <w:b/>
                <w:color w:val="000000"/>
                <w:sz w:val="24"/>
              </w:rPr>
              <w:t xml:space="preserve"> 本项目营运期固体废物排放情况汇总表</w:t>
            </w:r>
          </w:p>
          <w:tbl>
            <w:tblPr>
              <w:tblStyle w:val="27"/>
              <w:tblW w:w="107173115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22"/>
              <w:gridCol w:w="901"/>
              <w:gridCol w:w="884"/>
              <w:gridCol w:w="1258"/>
              <w:gridCol w:w="754"/>
              <w:gridCol w:w="845"/>
              <w:gridCol w:w="775"/>
              <w:gridCol w:w="1023"/>
              <w:gridCol w:w="861"/>
              <w:gridCol w:w="705"/>
              <w:gridCol w:w="1723"/>
              <w:gridCol w:w="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78"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序号</w:t>
                  </w:r>
                </w:p>
              </w:tc>
              <w:tc>
                <w:tcPr>
                  <w:tcW w:w="423"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名称</w:t>
                  </w:r>
                </w:p>
              </w:tc>
              <w:tc>
                <w:tcPr>
                  <w:tcW w:w="373"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产生环节</w:t>
                  </w:r>
                </w:p>
              </w:tc>
              <w:tc>
                <w:tcPr>
                  <w:tcW w:w="366"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属性</w:t>
                  </w:r>
                </w:p>
              </w:tc>
              <w:tc>
                <w:tcPr>
                  <w:tcW w:w="521"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主要有毒有害物质</w:t>
                  </w:r>
                </w:p>
              </w:tc>
              <w:tc>
                <w:tcPr>
                  <w:tcW w:w="312"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物理状态</w:t>
                  </w:r>
                </w:p>
              </w:tc>
              <w:tc>
                <w:tcPr>
                  <w:tcW w:w="1095" w:type="pct"/>
                  <w:gridSpan w:val="3"/>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环境危险特性</w:t>
                  </w:r>
                </w:p>
              </w:tc>
              <w:tc>
                <w:tcPr>
                  <w:tcW w:w="356"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年度产生量（t/a）</w:t>
                  </w:r>
                </w:p>
              </w:tc>
              <w:tc>
                <w:tcPr>
                  <w:tcW w:w="292"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贮存方式</w:t>
                  </w:r>
                </w:p>
              </w:tc>
              <w:tc>
                <w:tcPr>
                  <w:tcW w:w="714"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利用处置方式和去向</w:t>
                  </w:r>
                </w:p>
              </w:tc>
              <w:tc>
                <w:tcPr>
                  <w:tcW w:w="365" w:type="pct"/>
                  <w:vMerge w:val="restart"/>
                  <w:tcBorders>
                    <w:tl2br w:val="nil"/>
                    <w:tr2bl w:val="nil"/>
                  </w:tcBorders>
                  <w:vAlign w:val="center"/>
                </w:tcPr>
                <w:p>
                  <w:pPr>
                    <w:pStyle w:val="48"/>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利用或处置量（t/a）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8"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423"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373"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366"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521"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312"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350" w:type="pct"/>
                  <w:tcBorders>
                    <w:tl2br w:val="nil"/>
                    <w:tr2bl w:val="nil"/>
                  </w:tcBorders>
                  <w:vAlign w:val="center"/>
                </w:tcPr>
                <w:p>
                  <w:pPr>
                    <w:pStyle w:val="62"/>
                    <w:spacing w:line="320" w:lineRule="exact"/>
                    <w:rPr>
                      <w:rFonts w:hint="default" w:ascii="Times New Roman" w:hAnsi="Times New Roman" w:cs="Times New Roman"/>
                      <w:color w:val="000000"/>
                      <w:szCs w:val="21"/>
                    </w:rPr>
                  </w:pPr>
                  <w:r>
                    <w:rPr>
                      <w:rFonts w:hint="default" w:ascii="Times New Roman" w:hAnsi="Times New Roman" w:cs="Times New Roman"/>
                      <w:b/>
                      <w:color w:val="000000"/>
                      <w:szCs w:val="21"/>
                    </w:rPr>
                    <w:t>危险特性</w:t>
                  </w:r>
                </w:p>
              </w:tc>
              <w:tc>
                <w:tcPr>
                  <w:tcW w:w="321" w:type="pct"/>
                  <w:tcBorders>
                    <w:tl2br w:val="nil"/>
                    <w:tr2bl w:val="nil"/>
                  </w:tcBorders>
                  <w:vAlign w:val="center"/>
                </w:tcPr>
                <w:p>
                  <w:pPr>
                    <w:pStyle w:val="62"/>
                    <w:spacing w:line="320" w:lineRule="exact"/>
                    <w:rPr>
                      <w:rFonts w:hint="default" w:ascii="Times New Roman" w:hAnsi="Times New Roman" w:cs="Times New Roman"/>
                      <w:color w:val="000000"/>
                      <w:szCs w:val="21"/>
                    </w:rPr>
                  </w:pPr>
                  <w:r>
                    <w:rPr>
                      <w:rFonts w:hint="default" w:ascii="Times New Roman" w:hAnsi="Times New Roman" w:cs="Times New Roman"/>
                      <w:b/>
                      <w:color w:val="000000"/>
                      <w:szCs w:val="21"/>
                    </w:rPr>
                    <w:t>废物类别</w:t>
                  </w:r>
                </w:p>
              </w:tc>
              <w:tc>
                <w:tcPr>
                  <w:tcW w:w="423" w:type="pct"/>
                  <w:tcBorders>
                    <w:tl2br w:val="nil"/>
                    <w:tr2bl w:val="nil"/>
                  </w:tcBorders>
                  <w:vAlign w:val="center"/>
                </w:tcPr>
                <w:p>
                  <w:pPr>
                    <w:pStyle w:val="62"/>
                    <w:spacing w:line="320" w:lineRule="exact"/>
                    <w:rPr>
                      <w:rFonts w:hint="default" w:ascii="Times New Roman" w:hAnsi="Times New Roman" w:cs="Times New Roman"/>
                      <w:color w:val="000000"/>
                      <w:szCs w:val="21"/>
                    </w:rPr>
                  </w:pPr>
                  <w:r>
                    <w:rPr>
                      <w:rFonts w:hint="default" w:ascii="Times New Roman" w:hAnsi="Times New Roman" w:cs="Times New Roman"/>
                      <w:b/>
                      <w:color w:val="000000"/>
                      <w:szCs w:val="21"/>
                    </w:rPr>
                    <w:t>废物代码</w:t>
                  </w:r>
                </w:p>
              </w:tc>
              <w:tc>
                <w:tcPr>
                  <w:tcW w:w="356"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c>
                <w:tcPr>
                  <w:tcW w:w="365" w:type="pct"/>
                  <w:vMerge w:val="continue"/>
                  <w:tcBorders>
                    <w:tl2br w:val="nil"/>
                    <w:tr2bl w:val="nil"/>
                  </w:tcBorders>
                  <w:vAlign w:val="center"/>
                </w:tcPr>
                <w:p>
                  <w:pPr>
                    <w:pStyle w:val="48"/>
                    <w:ind w:firstLine="0"/>
                    <w:jc w:val="center"/>
                    <w:rPr>
                      <w:rFonts w:hint="default"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1</w:t>
                  </w:r>
                </w:p>
              </w:tc>
              <w:tc>
                <w:tcPr>
                  <w:tcW w:w="423" w:type="pct"/>
                  <w:tcBorders>
                    <w:tl2br w:val="nil"/>
                    <w:tr2bl w:val="nil"/>
                  </w:tcBorders>
                  <w:vAlign w:val="center"/>
                </w:tcPr>
                <w:p>
                  <w:pPr>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废边角料</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机加工、下料</w:t>
                  </w:r>
                </w:p>
              </w:tc>
              <w:tc>
                <w:tcPr>
                  <w:tcW w:w="366" w:type="pct"/>
                  <w:vMerge w:val="restar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一般固废</w:t>
                  </w:r>
                </w:p>
              </w:tc>
              <w:tc>
                <w:tcPr>
                  <w:tcW w:w="521" w:type="pct"/>
                  <w:tcBorders>
                    <w:tl2br w:val="nil"/>
                    <w:tr2bl w:val="nil"/>
                  </w:tcBorders>
                  <w:vAlign w:val="center"/>
                </w:tcPr>
                <w:p>
                  <w:pPr>
                    <w:pStyle w:val="66"/>
                    <w:widowControl w:val="0"/>
                    <w:rPr>
                      <w:rFonts w:hint="default" w:ascii="Times New Roman" w:hAnsi="Times New Roman" w:eastAsia="宋体" w:cs="Times New Roman"/>
                      <w:color w:val="000000"/>
                      <w:kern w:val="2"/>
                      <w:lang w:eastAsia="zh-CN" w:bidi="ar-SA"/>
                    </w:rPr>
                  </w:pPr>
                  <w:r>
                    <w:rPr>
                      <w:rFonts w:hint="default" w:ascii="Times New Roman" w:hAnsi="Times New Roman" w:eastAsia="宋体" w:cs="Times New Roman"/>
                      <w:color w:val="000000"/>
                      <w:kern w:val="2"/>
                      <w:lang w:eastAsia="zh-CN" w:bidi="ar-SA"/>
                    </w:rPr>
                    <w:t>/</w:t>
                  </w:r>
                </w:p>
              </w:tc>
              <w:tc>
                <w:tcPr>
                  <w:tcW w:w="312" w:type="pct"/>
                  <w:tcBorders>
                    <w:tl2br w:val="nil"/>
                    <w:tr2bl w:val="nil"/>
                  </w:tcBorders>
                  <w:vAlign w:val="center"/>
                </w:tcPr>
                <w:p>
                  <w:pPr>
                    <w:pStyle w:val="62"/>
                    <w:rPr>
                      <w:rFonts w:hint="default" w:ascii="Times New Roman" w:hAnsi="Times New Roman" w:cs="Times New Roman"/>
                      <w:color w:val="000000"/>
                      <w:szCs w:val="21"/>
                    </w:rPr>
                  </w:pPr>
                  <w:r>
                    <w:rPr>
                      <w:rFonts w:hint="default" w:ascii="Times New Roman" w:hAnsi="Times New Roman" w:cs="Times New Roman"/>
                      <w:color w:val="000000"/>
                      <w:szCs w:val="21"/>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SW17</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900-001-S17</w:t>
                  </w:r>
                </w:p>
              </w:tc>
              <w:tc>
                <w:tcPr>
                  <w:tcW w:w="356" w:type="pct"/>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4.8</w:t>
                  </w:r>
                </w:p>
              </w:tc>
              <w:tc>
                <w:tcPr>
                  <w:tcW w:w="292" w:type="pct"/>
                  <w:vMerge w:val="restart"/>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一般固废贮存</w:t>
                  </w:r>
                </w:p>
              </w:tc>
              <w:tc>
                <w:tcPr>
                  <w:tcW w:w="714" w:type="pct"/>
                  <w:vMerge w:val="restart"/>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一般工业固废处置单位处理</w:t>
                  </w: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eastAsia" w:cs="Times New Roman"/>
                      <w:bCs/>
                      <w:color w:val="000000"/>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2</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废包装材料</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生产拆袋</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SW17</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900-003-S17</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3</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焊渣</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焊接</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SW17</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900-002-S17</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0.065</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4</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废钢丸</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表面处理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SW17</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900-001-S17</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5</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废塑粉</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喷塑</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SW17</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900-003-S17</w:t>
                  </w:r>
                </w:p>
              </w:tc>
              <w:tc>
                <w:tcPr>
                  <w:tcW w:w="356" w:type="pct"/>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0.024</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6</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集尘灰</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SW59</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900-099-S59</w:t>
                  </w:r>
                </w:p>
              </w:tc>
              <w:tc>
                <w:tcPr>
                  <w:tcW w:w="356" w:type="pct"/>
                  <w:tcBorders>
                    <w:tl2br w:val="nil"/>
                    <w:tr2bl w:val="nil"/>
                  </w:tcBorders>
                  <w:vAlign w:val="center"/>
                </w:tcPr>
                <w:p>
                  <w:pPr>
                    <w:jc w:val="center"/>
                    <w:rPr>
                      <w:rFonts w:hint="default" w:ascii="Times New Roman" w:hAnsi="Times New Roman" w:cs="Times New Roman"/>
                      <w:bCs/>
                      <w:color w:val="000000"/>
                      <w:szCs w:val="21"/>
                      <w:lang w:val="en-US"/>
                    </w:rPr>
                  </w:pPr>
                  <w:r>
                    <w:rPr>
                      <w:rFonts w:hint="eastAsia" w:cs="Times New Roman"/>
                      <w:bCs/>
                      <w:color w:val="000000"/>
                      <w:szCs w:val="21"/>
                      <w:lang w:val="en-US" w:eastAsia="zh-CN"/>
                    </w:rPr>
                    <w:t>3.6686</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3.6686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7</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废滤材</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SW59</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900-009-S59</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0.21</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8</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废砂纸</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腻子打磨</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21" w:type="pct"/>
                  <w:tcBorders>
                    <w:tl2br w:val="nil"/>
                    <w:tr2bl w:val="nil"/>
                  </w:tcBorders>
                  <w:vAlign w:val="center"/>
                </w:tcPr>
                <w:p>
                  <w:pPr>
                    <w:spacing w:line="32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SW59</w:t>
                  </w:r>
                </w:p>
              </w:tc>
              <w:tc>
                <w:tcPr>
                  <w:tcW w:w="423" w:type="pct"/>
                  <w:tcBorders>
                    <w:tl2br w:val="nil"/>
                    <w:tr2bl w:val="nil"/>
                  </w:tcBorders>
                  <w:vAlign w:val="center"/>
                </w:tcPr>
                <w:p>
                  <w:pPr>
                    <w:spacing w:line="320" w:lineRule="exac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900-099-S59</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0.06</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9</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废油泥</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机加工</w:t>
                  </w:r>
                </w:p>
              </w:tc>
              <w:tc>
                <w:tcPr>
                  <w:tcW w:w="366" w:type="pct"/>
                  <w:vMerge w:val="restar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危险废物</w:t>
                  </w: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金属屑、矿物油</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半固态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HW08</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900-200-08</w:t>
                  </w:r>
                </w:p>
              </w:tc>
              <w:tc>
                <w:tcPr>
                  <w:tcW w:w="356" w:type="pct"/>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2.2</w:t>
                  </w:r>
                </w:p>
              </w:tc>
              <w:tc>
                <w:tcPr>
                  <w:tcW w:w="292" w:type="pct"/>
                  <w:vMerge w:val="restart"/>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危废仓库分区贮存</w:t>
                  </w:r>
                </w:p>
              </w:tc>
              <w:tc>
                <w:tcPr>
                  <w:tcW w:w="714" w:type="pct"/>
                  <w:vMerge w:val="restart"/>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委托有资质的单位处置</w:t>
                  </w: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eastAsia" w:cs="Times New Roman"/>
                      <w:bCs/>
                      <w:color w:val="000000"/>
                      <w:szCs w:val="21"/>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10</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漆渣</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喷涂</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kern w:val="0"/>
                      <w:szCs w:val="21"/>
                      <w:lang w:val="en-US" w:eastAsia="zh-CN" w:bidi="ar"/>
                    </w:rPr>
                    <w:t>油漆</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HW12</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900-252-12</w:t>
                  </w:r>
                </w:p>
              </w:tc>
              <w:tc>
                <w:tcPr>
                  <w:tcW w:w="356" w:type="pct"/>
                  <w:tcBorders>
                    <w:tl2br w:val="nil"/>
                    <w:tr2bl w:val="nil"/>
                  </w:tcBorders>
                  <w:vAlign w:val="center"/>
                </w:tcPr>
                <w:p>
                  <w:pPr>
                    <w:jc w:val="center"/>
                    <w:rPr>
                      <w:rFonts w:hint="default" w:ascii="Times New Roman" w:hAnsi="Times New Roman" w:cs="Times New Roman"/>
                      <w:bCs/>
                      <w:color w:val="000000"/>
                      <w:szCs w:val="21"/>
                      <w:lang w:val="en-US"/>
                    </w:rPr>
                  </w:pPr>
                  <w:r>
                    <w:rPr>
                      <w:rFonts w:hint="eastAsia" w:cs="Times New Roman"/>
                      <w:bCs/>
                      <w:color w:val="000000"/>
                      <w:szCs w:val="21"/>
                      <w:lang w:val="en-US" w:eastAsia="zh-CN"/>
                    </w:rPr>
                    <w:t>0.7798</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0.7798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11</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废包装桶</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原料拆包</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有机物</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T/In</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HW49</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900-041-49</w:t>
                  </w:r>
                </w:p>
              </w:tc>
              <w:tc>
                <w:tcPr>
                  <w:tcW w:w="356" w:type="pct"/>
                  <w:tcBorders>
                    <w:tl2br w:val="nil"/>
                    <w:tr2bl w:val="nil"/>
                  </w:tcBorders>
                  <w:vAlign w:val="center"/>
                </w:tcPr>
                <w:p>
                  <w:pPr>
                    <w:jc w:val="center"/>
                    <w:rPr>
                      <w:rFonts w:hint="default" w:ascii="Times New Roman" w:hAnsi="Times New Roman" w:cs="Times New Roman"/>
                      <w:bCs/>
                      <w:color w:val="000000"/>
                      <w:szCs w:val="21"/>
                      <w:lang w:val="en-US"/>
                    </w:rPr>
                  </w:pPr>
                  <w:r>
                    <w:rPr>
                      <w:rFonts w:hint="default" w:ascii="Times New Roman" w:hAnsi="Times New Roman" w:cs="Times New Roman"/>
                      <w:bCs/>
                      <w:color w:val="000000"/>
                      <w:szCs w:val="21"/>
                      <w:lang w:val="en-US" w:eastAsia="zh-CN"/>
                    </w:rPr>
                    <w:t>1.</w:t>
                  </w:r>
                  <w:r>
                    <w:rPr>
                      <w:rFonts w:hint="eastAsia" w:cs="Times New Roman"/>
                      <w:bCs/>
                      <w:color w:val="000000"/>
                      <w:szCs w:val="21"/>
                      <w:lang w:val="en-US" w:eastAsia="zh-CN"/>
                    </w:rPr>
                    <w:t>384</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1.</w:t>
                  </w:r>
                  <w:r>
                    <w:rPr>
                      <w:rFonts w:hint="eastAsia" w:cs="Times New Roman"/>
                      <w:bCs/>
                      <w:color w:val="000000"/>
                      <w:szCs w:val="21"/>
                      <w:lang w:val="en-US" w:eastAsia="zh-CN"/>
                    </w:rPr>
                    <w:t>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12</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废油桶</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原料拆包</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矿物油</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HW08</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900-249-08</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0.4</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13</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喷枪头清洗废液</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喷涂</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稀释剂</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液态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T，I，C</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HW12</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900-256-12</w:t>
                  </w:r>
                </w:p>
              </w:tc>
              <w:tc>
                <w:tcPr>
                  <w:tcW w:w="356" w:type="pct"/>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rPr>
                    <w:t>0.0</w:t>
                  </w:r>
                  <w:r>
                    <w:rPr>
                      <w:rFonts w:hint="default" w:ascii="Times New Roman" w:hAnsi="Times New Roman" w:cs="Times New Roman"/>
                      <w:bCs/>
                      <w:color w:val="000000"/>
                      <w:szCs w:val="21"/>
                      <w:lang w:val="en-US" w:eastAsia="zh-CN"/>
                    </w:rPr>
                    <w:t>046</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rPr>
                    <w:t>0.0</w:t>
                  </w:r>
                  <w:r>
                    <w:rPr>
                      <w:rFonts w:hint="default" w:ascii="Times New Roman" w:hAnsi="Times New Roman" w:cs="Times New Roman"/>
                      <w:bCs/>
                      <w:color w:val="000000"/>
                      <w:szCs w:val="21"/>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eastAsia="zh-CN" w:bidi="ar-SA"/>
                    </w:rPr>
                    <w:t>14</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eastAsia" w:ascii="Times New Roman" w:hAnsi="Times New Roman" w:eastAsia="宋体" w:cs="Times New Roman"/>
                      <w:color w:val="000000"/>
                      <w:lang w:val="en-US" w:eastAsia="zh-CN" w:bidi="ar-SA"/>
                    </w:rPr>
                    <w:t>废挂具</w:t>
                  </w:r>
                </w:p>
              </w:tc>
              <w:tc>
                <w:tcPr>
                  <w:tcW w:w="373" w:type="pct"/>
                  <w:tcBorders>
                    <w:tl2br w:val="nil"/>
                    <w:tr2bl w:val="nil"/>
                  </w:tcBorders>
                  <w:vAlign w:val="center"/>
                </w:tcPr>
                <w:p>
                  <w:pPr>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喷塑</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有机涂层</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eastAsia" w:ascii="Times New Roman" w:hAnsi="Times New Roman" w:eastAsia="宋体" w:cs="Times New Roman"/>
                      <w:color w:val="000000"/>
                      <w:lang w:val="en-US" w:eastAsia="zh-CN" w:bidi="ar-SA"/>
                    </w:rPr>
                    <w:t>固态</w:t>
                  </w:r>
                </w:p>
              </w:tc>
              <w:tc>
                <w:tcPr>
                  <w:tcW w:w="350" w:type="pct"/>
                  <w:tcBorders>
                    <w:tl2br w:val="nil"/>
                    <w:tr2bl w:val="nil"/>
                  </w:tcBorders>
                  <w:vAlign w:val="center"/>
                </w:tcPr>
                <w:p>
                  <w:pPr>
                    <w:spacing w:line="320" w:lineRule="exact"/>
                    <w:jc w:val="center"/>
                    <w:rPr>
                      <w:rFonts w:hint="eastAsia" w:ascii="Times New Roman" w:hAnsi="Times New Roman" w:eastAsia="宋体" w:cs="Times New Roman"/>
                      <w:color w:val="000000"/>
                      <w:spacing w:val="4"/>
                      <w:kern w:val="18"/>
                      <w:szCs w:val="21"/>
                      <w:lang w:val="en-US" w:eastAsia="zh-CN"/>
                    </w:rPr>
                  </w:pPr>
                  <w:r>
                    <w:rPr>
                      <w:rFonts w:hint="eastAsia" w:cs="Times New Roman"/>
                      <w:color w:val="000000"/>
                      <w:spacing w:val="4"/>
                      <w:kern w:val="18"/>
                      <w:szCs w:val="21"/>
                      <w:lang w:val="en-US" w:eastAsia="zh-CN"/>
                    </w:rPr>
                    <w:t>T/In</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val="en-US" w:eastAsia="zh-CN" w:bidi="ar-SA"/>
                    </w:rPr>
                  </w:pPr>
                  <w:r>
                    <w:rPr>
                      <w:rFonts w:hint="eastAsia" w:ascii="Times New Roman" w:hAnsi="Times New Roman" w:eastAsia="宋体" w:cs="Times New Roman"/>
                      <w:color w:val="000000"/>
                      <w:spacing w:val="4"/>
                      <w:kern w:val="18"/>
                      <w:lang w:val="en-US" w:eastAsia="zh-CN" w:bidi="ar-SA"/>
                    </w:rPr>
                    <w:t>HW49</w:t>
                  </w:r>
                </w:p>
              </w:tc>
              <w:tc>
                <w:tcPr>
                  <w:tcW w:w="423" w:type="pct"/>
                  <w:tcBorders>
                    <w:tl2br w:val="nil"/>
                    <w:tr2bl w:val="nil"/>
                  </w:tcBorders>
                  <w:vAlign w:val="center"/>
                </w:tcPr>
                <w:p>
                  <w:pPr>
                    <w:spacing w:line="320" w:lineRule="exact"/>
                    <w:jc w:val="center"/>
                    <w:rPr>
                      <w:rFonts w:hint="default" w:ascii="Times New Roman" w:hAnsi="Times New Roman" w:eastAsia="宋体" w:cs="Times New Roman"/>
                      <w:color w:val="000000"/>
                      <w:spacing w:val="4"/>
                      <w:kern w:val="18"/>
                      <w:szCs w:val="21"/>
                      <w:lang w:val="en-US" w:eastAsia="zh-CN"/>
                    </w:rPr>
                  </w:pPr>
                  <w:r>
                    <w:rPr>
                      <w:rFonts w:hint="eastAsia" w:cs="Times New Roman"/>
                      <w:color w:val="000000"/>
                      <w:spacing w:val="4"/>
                      <w:kern w:val="18"/>
                      <w:szCs w:val="21"/>
                      <w:lang w:val="en-US" w:eastAsia="zh-CN"/>
                    </w:rPr>
                    <w:t>900-041-49</w:t>
                  </w:r>
                </w:p>
              </w:tc>
              <w:tc>
                <w:tcPr>
                  <w:tcW w:w="356" w:type="pct"/>
                  <w:tcBorders>
                    <w:tl2br w:val="nil"/>
                    <w:tr2bl w:val="nil"/>
                  </w:tcBorders>
                  <w:vAlign w:val="center"/>
                </w:tcPr>
                <w:p>
                  <w:pPr>
                    <w:jc w:val="center"/>
                    <w:rPr>
                      <w:rFonts w:hint="eastAsia" w:ascii="Times New Roman" w:hAnsi="Times New Roman" w:eastAsia="宋体" w:cs="Times New Roman"/>
                      <w:bCs/>
                      <w:color w:val="000000"/>
                      <w:szCs w:val="21"/>
                      <w:lang w:val="en-US" w:eastAsia="zh-CN"/>
                    </w:rPr>
                  </w:pPr>
                  <w:r>
                    <w:rPr>
                      <w:rFonts w:hint="eastAsia" w:cs="Times New Roman"/>
                      <w:bCs/>
                      <w:color w:val="000000"/>
                      <w:szCs w:val="21"/>
                      <w:lang w:val="en-US" w:eastAsia="zh-CN"/>
                    </w:rPr>
                    <w:t>1</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eastAsia" w:cs="Times New Roman"/>
                      <w:bCs/>
                      <w:color w:val="00000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eastAsia="zh-CN" w:bidi="ar-SA"/>
                    </w:rPr>
                    <w:t>15</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废过滤材料</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漆</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T/In</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HW49</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900-041-49</w:t>
                  </w:r>
                </w:p>
              </w:tc>
              <w:tc>
                <w:tcPr>
                  <w:tcW w:w="356" w:type="pct"/>
                  <w:tcBorders>
                    <w:tl2br w:val="nil"/>
                    <w:tr2bl w:val="nil"/>
                  </w:tcBorders>
                  <w:vAlign w:val="center"/>
                </w:tcPr>
                <w:p>
                  <w:pPr>
                    <w:jc w:val="center"/>
                    <w:rPr>
                      <w:rFonts w:hint="default" w:ascii="Times New Roman" w:hAnsi="Times New Roman" w:cs="Times New Roman"/>
                      <w:lang w:val="en-US" w:eastAsia="zh-CN"/>
                    </w:rPr>
                  </w:pPr>
                  <w:r>
                    <w:rPr>
                      <w:rFonts w:hint="eastAsia" w:cs="Times New Roman"/>
                      <w:bCs/>
                      <w:color w:val="000000"/>
                      <w:szCs w:val="21"/>
                      <w:lang w:val="en-US" w:eastAsia="zh-CN"/>
                    </w:rPr>
                    <w:t>0.3992</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0.3992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eastAsia="zh-CN" w:bidi="ar-SA"/>
                    </w:rPr>
                    <w:t>16</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废活性炭</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有机物</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HW49</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900-039-49</w:t>
                  </w:r>
                </w:p>
              </w:tc>
              <w:tc>
                <w:tcPr>
                  <w:tcW w:w="356" w:type="pct"/>
                  <w:tcBorders>
                    <w:tl2br w:val="nil"/>
                    <w:tr2bl w:val="nil"/>
                  </w:tcBorders>
                  <w:vAlign w:val="center"/>
                </w:tcPr>
                <w:p>
                  <w:pPr>
                    <w:jc w:val="center"/>
                    <w:rPr>
                      <w:rFonts w:hint="default" w:ascii="Times New Roman" w:hAnsi="Times New Roman" w:cs="Times New Roman"/>
                      <w:bCs/>
                      <w:color w:val="000000"/>
                      <w:szCs w:val="21"/>
                      <w:lang w:val="en-US"/>
                    </w:rPr>
                  </w:pPr>
                  <w:r>
                    <w:rPr>
                      <w:rFonts w:hint="eastAsia" w:cs="Times New Roman"/>
                      <w:bCs/>
                      <w:color w:val="000000"/>
                      <w:szCs w:val="21"/>
                      <w:lang w:val="en-US" w:eastAsia="zh-CN"/>
                    </w:rPr>
                    <w:t>51.759</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51.759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eastAsia="zh-CN" w:bidi="ar-SA"/>
                    </w:rPr>
                    <w:t>17</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空压机含油废水</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辅助生产</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矿物油</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液态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HW09</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900-007-09</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1.578</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eastAsia="zh-CN" w:bidi="ar-SA"/>
                    </w:rPr>
                    <w:t>18</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废劳保用品</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生产</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含油抹布等</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T/In</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HW49</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900-041-49</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0.1</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eastAsia="zh-CN" w:bidi="ar-SA"/>
                    </w:rPr>
                    <w:t>19</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val="en-US" w:eastAsia="zh-CN" w:bidi="ar-SA"/>
                    </w:rPr>
                    <w:t>磷酸</w:t>
                  </w:r>
                  <w:r>
                    <w:rPr>
                      <w:rFonts w:hint="default" w:ascii="Times New Roman" w:hAnsi="Times New Roman" w:eastAsia="宋体" w:cs="Times New Roman"/>
                      <w:color w:val="000000"/>
                      <w:lang w:eastAsia="zh-CN" w:bidi="ar-SA"/>
                    </w:rPr>
                    <w:t>喷淋废液</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三乙胺、磷酸盐等</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液态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C，T</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HW34</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900-300-34</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41.28</w:t>
                  </w:r>
                </w:p>
              </w:tc>
              <w:tc>
                <w:tcPr>
                  <w:tcW w:w="292"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714" w:type="pct"/>
                  <w:vMerge w:val="continue"/>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41.28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val="en-US" w:eastAsia="zh-CN" w:bidi="ar-SA"/>
                    </w:rPr>
                    <w:t xml:space="preserve">20 </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生活垃圾</w:t>
                  </w:r>
                </w:p>
              </w:tc>
              <w:tc>
                <w:tcPr>
                  <w:tcW w:w="373" w:type="pct"/>
                  <w:tcBorders>
                    <w:tl2br w:val="nil"/>
                    <w:tr2bl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职工生活</w:t>
                  </w:r>
                </w:p>
              </w:tc>
              <w:tc>
                <w:tcPr>
                  <w:tcW w:w="366" w:type="pct"/>
                  <w:vMerge w:val="restar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生活垃圾</w:t>
                  </w: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瓜皮纸屑等</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 xml:space="preserve">固态 </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eastAsia="zh-CN" w:bidi="ar-SA"/>
                    </w:rPr>
                  </w:pPr>
                  <w:r>
                    <w:rPr>
                      <w:rFonts w:hint="default" w:ascii="Times New Roman" w:hAnsi="Times New Roman" w:eastAsia="宋体" w:cs="Times New Roman"/>
                      <w:color w:val="000000"/>
                      <w:spacing w:val="4"/>
                      <w:kern w:val="18"/>
                      <w:lang w:eastAsia="zh-CN" w:bidi="ar-SA"/>
                    </w:rPr>
                    <w:t>SW64</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rPr>
                  </w:pPr>
                  <w:r>
                    <w:rPr>
                      <w:rFonts w:hint="default" w:ascii="Times New Roman" w:hAnsi="Times New Roman" w:cs="Times New Roman"/>
                      <w:color w:val="000000"/>
                      <w:spacing w:val="4"/>
                      <w:kern w:val="18"/>
                      <w:szCs w:val="21"/>
                    </w:rPr>
                    <w:t>900-099-S64</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30</w:t>
                  </w:r>
                </w:p>
              </w:tc>
              <w:tc>
                <w:tcPr>
                  <w:tcW w:w="292" w:type="pct"/>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w:t>
                  </w:r>
                </w:p>
              </w:tc>
              <w:tc>
                <w:tcPr>
                  <w:tcW w:w="714" w:type="pct"/>
                  <w:tcBorders>
                    <w:tl2br w:val="nil"/>
                    <w:tr2bl w:val="nil"/>
                  </w:tcBorders>
                  <w:vAlign w:val="center"/>
                </w:tcPr>
                <w:p>
                  <w:pPr>
                    <w:pStyle w:val="48"/>
                    <w:ind w:firstLine="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环卫清运</w:t>
                  </w:r>
                </w:p>
              </w:tc>
              <w:tc>
                <w:tcPr>
                  <w:tcW w:w="883" w:type="dxa"/>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shd w:val="clear" w:color="auto" w:fill="auto"/>
                  <w:vAlign w:val="center"/>
                </w:tcPr>
                <w:p>
                  <w:pPr>
                    <w:pStyle w:val="66"/>
                    <w:spacing w:before="100" w:beforeAutospacing="1" w:after="100" w:afterAutospacing="1" w:line="320" w:lineRule="exact"/>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lang w:val="en-US" w:eastAsia="zh-CN" w:bidi="ar-SA"/>
                    </w:rPr>
                    <w:t>21</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default" w:ascii="Times New Roman" w:hAnsi="Times New Roman" w:eastAsia="宋体" w:cs="Times New Roman"/>
                      <w:color w:val="000000"/>
                      <w:lang w:val="en-US" w:eastAsia="zh-CN" w:bidi="ar-SA"/>
                    </w:rPr>
                    <w:t>废油脂</w:t>
                  </w:r>
                </w:p>
              </w:tc>
              <w:tc>
                <w:tcPr>
                  <w:tcW w:w="373" w:type="pct"/>
                  <w:tcBorders>
                    <w:tl2br w:val="nil"/>
                    <w:tr2bl w:val="nil"/>
                  </w:tcBorders>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废水处理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油脂</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default" w:ascii="Times New Roman" w:hAnsi="Times New Roman" w:eastAsia="宋体" w:cs="Times New Roman"/>
                      <w:color w:val="000000"/>
                      <w:lang w:val="en-US" w:eastAsia="zh-CN" w:bidi="ar-SA"/>
                    </w:rPr>
                    <w:t>液态</w:t>
                  </w:r>
                </w:p>
              </w:tc>
              <w:tc>
                <w:tcPr>
                  <w:tcW w:w="350" w:type="pct"/>
                  <w:tcBorders>
                    <w:tl2br w:val="nil"/>
                    <w:tr2bl w:val="nil"/>
                  </w:tcBorders>
                  <w:vAlign w:val="center"/>
                </w:tcPr>
                <w:p>
                  <w:pPr>
                    <w:spacing w:line="320" w:lineRule="exact"/>
                    <w:jc w:val="center"/>
                    <w:rPr>
                      <w:rFonts w:hint="default" w:ascii="Times New Roman" w:hAnsi="Times New Roman" w:eastAsia="宋体" w:cs="Times New Roman"/>
                      <w:color w:val="000000"/>
                      <w:spacing w:val="4"/>
                      <w:kern w:val="18"/>
                      <w:szCs w:val="21"/>
                      <w:lang w:val="en-US" w:eastAsia="zh-CN"/>
                    </w:rPr>
                  </w:pPr>
                  <w:r>
                    <w:rPr>
                      <w:rFonts w:hint="default" w:ascii="Times New Roman" w:hAnsi="Times New Roman" w:cs="Times New Roman"/>
                      <w:color w:val="000000"/>
                      <w:spacing w:val="4"/>
                      <w:kern w:val="18"/>
                      <w:szCs w:val="21"/>
                      <w:lang w:val="en-US" w:eastAsia="zh-CN"/>
                    </w:rPr>
                    <w:t>/</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val="en-US" w:eastAsia="zh-CN" w:bidi="ar-SA"/>
                    </w:rPr>
                  </w:pPr>
                  <w:r>
                    <w:rPr>
                      <w:rFonts w:hint="default" w:ascii="Times New Roman" w:hAnsi="Times New Roman" w:eastAsia="宋体" w:cs="Times New Roman"/>
                      <w:color w:val="000000"/>
                      <w:spacing w:val="4"/>
                      <w:kern w:val="18"/>
                      <w:lang w:val="en-US" w:eastAsia="zh-CN" w:bidi="ar-SA"/>
                    </w:rPr>
                    <w:t>SW61</w:t>
                  </w:r>
                </w:p>
              </w:tc>
              <w:tc>
                <w:tcPr>
                  <w:tcW w:w="423" w:type="pct"/>
                  <w:tcBorders>
                    <w:tl2br w:val="nil"/>
                    <w:tr2bl w:val="nil"/>
                  </w:tcBorders>
                  <w:vAlign w:val="center"/>
                </w:tcPr>
                <w:p>
                  <w:pPr>
                    <w:spacing w:line="320" w:lineRule="exact"/>
                    <w:jc w:val="center"/>
                    <w:rPr>
                      <w:rFonts w:hint="default" w:ascii="Times New Roman" w:hAnsi="Times New Roman" w:eastAsia="宋体" w:cs="Times New Roman"/>
                      <w:color w:val="000000"/>
                      <w:spacing w:val="4"/>
                      <w:kern w:val="18"/>
                      <w:szCs w:val="21"/>
                      <w:lang w:val="en-US" w:eastAsia="zh-CN"/>
                    </w:rPr>
                  </w:pPr>
                  <w:r>
                    <w:rPr>
                      <w:rFonts w:hint="default" w:ascii="Times New Roman" w:hAnsi="Times New Roman" w:cs="Times New Roman"/>
                      <w:color w:val="000000"/>
                      <w:spacing w:val="4"/>
                      <w:kern w:val="18"/>
                      <w:szCs w:val="21"/>
                      <w:lang w:val="en-US" w:eastAsia="zh-CN"/>
                    </w:rPr>
                    <w:t>900-002-S61</w:t>
                  </w:r>
                </w:p>
              </w:tc>
              <w:tc>
                <w:tcPr>
                  <w:tcW w:w="356" w:type="pct"/>
                  <w:tcBorders>
                    <w:tl2br w:val="nil"/>
                    <w:tr2bl w:val="nil"/>
                  </w:tcBorders>
                  <w:vAlign w:val="center"/>
                </w:tcPr>
                <w:p>
                  <w:pPr>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0.0086</w:t>
                  </w:r>
                </w:p>
              </w:tc>
              <w:tc>
                <w:tcPr>
                  <w:tcW w:w="292" w:type="pct"/>
                  <w:tcBorders>
                    <w:tl2br w:val="nil"/>
                    <w:tr2bl w:val="nil"/>
                  </w:tcBorders>
                  <w:vAlign w:val="center"/>
                </w:tcPr>
                <w:p>
                  <w:pPr>
                    <w:pStyle w:val="48"/>
                    <w:ind w:firstLine="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14" w:type="pct"/>
                  <w:tcBorders>
                    <w:tl2br w:val="nil"/>
                    <w:tr2bl w:val="nil"/>
                  </w:tcBorders>
                  <w:vAlign w:val="center"/>
                </w:tcPr>
                <w:p>
                  <w:pPr>
                    <w:pStyle w:val="48"/>
                    <w:ind w:firstLine="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专业油脂单位处置</w:t>
                  </w:r>
                </w:p>
              </w:tc>
              <w:tc>
                <w:tcPr>
                  <w:tcW w:w="883" w:type="dxa"/>
                  <w:tcBorders>
                    <w:tl2br w:val="nil"/>
                    <w:tr2bl w:val="nil"/>
                  </w:tcBorders>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0.0086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 w:type="pct"/>
                  <w:tcBorders>
                    <w:tl2br w:val="nil"/>
                    <w:tr2bl w:val="nil"/>
                  </w:tcBorders>
                  <w:vAlign w:val="center"/>
                </w:tcPr>
                <w:p>
                  <w:pPr>
                    <w:pStyle w:val="66"/>
                    <w:spacing w:before="100" w:beforeAutospacing="1" w:after="100" w:afterAutospacing="1" w:line="320" w:lineRule="exact"/>
                    <w:rPr>
                      <w:rFonts w:hint="default" w:ascii="Times New Roman" w:hAnsi="Times New Roman" w:eastAsia="宋体" w:cs="Times New Roman"/>
                      <w:color w:val="000000"/>
                      <w:lang w:val="en-US" w:eastAsia="zh-CN" w:bidi="ar-SA"/>
                    </w:rPr>
                  </w:pPr>
                  <w:r>
                    <w:rPr>
                      <w:rFonts w:hint="eastAsia" w:ascii="Times New Roman" w:hAnsi="Times New Roman" w:eastAsia="宋体" w:cs="Times New Roman"/>
                      <w:color w:val="000000"/>
                      <w:lang w:val="en-US" w:eastAsia="zh-CN" w:bidi="ar-SA"/>
                    </w:rPr>
                    <w:t>22</w:t>
                  </w:r>
                </w:p>
              </w:tc>
              <w:tc>
                <w:tcPr>
                  <w:tcW w:w="423"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default" w:ascii="Times New Roman" w:hAnsi="Times New Roman" w:eastAsia="宋体" w:cs="Times New Roman"/>
                      <w:color w:val="000000"/>
                      <w:lang w:val="en-US" w:eastAsia="zh-CN" w:bidi="ar-SA"/>
                    </w:rPr>
                    <w:t>化粪池污泥</w:t>
                  </w:r>
                </w:p>
              </w:tc>
              <w:tc>
                <w:tcPr>
                  <w:tcW w:w="373" w:type="pct"/>
                  <w:tcBorders>
                    <w:tl2br w:val="nil"/>
                    <w:tr2bl w:val="nil"/>
                  </w:tcBorders>
                  <w:vAlign w:val="center"/>
                </w:tcPr>
                <w:p>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废水处理</w:t>
                  </w:r>
                </w:p>
              </w:tc>
              <w:tc>
                <w:tcPr>
                  <w:tcW w:w="366" w:type="pct"/>
                  <w:vMerge w:val="continue"/>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p>
              </w:tc>
              <w:tc>
                <w:tcPr>
                  <w:tcW w:w="521" w:type="pct"/>
                  <w:tcBorders>
                    <w:tl2br w:val="nil"/>
                    <w:tr2bl w:val="nil"/>
                  </w:tcBorders>
                  <w:vAlign w:val="center"/>
                </w:tcPr>
                <w:p>
                  <w:pPr>
                    <w:adjustRightInd w:val="0"/>
                    <w:snapToGrid w:val="0"/>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化粪池污泥</w:t>
                  </w:r>
                </w:p>
              </w:tc>
              <w:tc>
                <w:tcPr>
                  <w:tcW w:w="312"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default" w:ascii="Times New Roman" w:hAnsi="Times New Roman" w:eastAsia="宋体" w:cs="Times New Roman"/>
                      <w:color w:val="000000"/>
                      <w:lang w:val="en-US" w:eastAsia="zh-CN" w:bidi="ar-SA"/>
                    </w:rPr>
                    <w:t>半固态</w:t>
                  </w:r>
                </w:p>
              </w:tc>
              <w:tc>
                <w:tcPr>
                  <w:tcW w:w="350"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lang w:val="en-US" w:eastAsia="zh-CN"/>
                    </w:rPr>
                  </w:pPr>
                  <w:r>
                    <w:rPr>
                      <w:rFonts w:hint="default" w:ascii="Times New Roman" w:hAnsi="Times New Roman" w:cs="Times New Roman"/>
                      <w:color w:val="000000"/>
                      <w:spacing w:val="4"/>
                      <w:kern w:val="18"/>
                      <w:szCs w:val="21"/>
                      <w:lang w:val="en-US" w:eastAsia="zh-CN"/>
                    </w:rPr>
                    <w:t>/</w:t>
                  </w:r>
                </w:p>
              </w:tc>
              <w:tc>
                <w:tcPr>
                  <w:tcW w:w="321"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val="en-US" w:eastAsia="zh-CN" w:bidi="ar-SA"/>
                    </w:rPr>
                  </w:pPr>
                  <w:r>
                    <w:rPr>
                      <w:rFonts w:hint="default" w:ascii="Times New Roman" w:hAnsi="Times New Roman" w:eastAsia="宋体" w:cs="Times New Roman"/>
                      <w:color w:val="000000"/>
                      <w:spacing w:val="4"/>
                      <w:kern w:val="18"/>
                      <w:lang w:val="en-US" w:eastAsia="zh-CN" w:bidi="ar-SA"/>
                    </w:rPr>
                    <w:t>SW64</w:t>
                  </w:r>
                </w:p>
              </w:tc>
              <w:tc>
                <w:tcPr>
                  <w:tcW w:w="423" w:type="pct"/>
                  <w:tcBorders>
                    <w:tl2br w:val="nil"/>
                    <w:tr2bl w:val="nil"/>
                  </w:tcBorders>
                  <w:vAlign w:val="center"/>
                </w:tcPr>
                <w:p>
                  <w:pPr>
                    <w:spacing w:line="320" w:lineRule="exact"/>
                    <w:jc w:val="center"/>
                    <w:rPr>
                      <w:rFonts w:hint="default" w:ascii="Times New Roman" w:hAnsi="Times New Roman" w:cs="Times New Roman"/>
                      <w:color w:val="000000"/>
                      <w:spacing w:val="4"/>
                      <w:kern w:val="18"/>
                      <w:szCs w:val="21"/>
                      <w:lang w:val="en-US" w:eastAsia="zh-CN"/>
                    </w:rPr>
                  </w:pPr>
                  <w:r>
                    <w:rPr>
                      <w:rFonts w:hint="default" w:ascii="Times New Roman" w:hAnsi="Times New Roman" w:cs="Times New Roman"/>
                      <w:color w:val="000000"/>
                      <w:spacing w:val="4"/>
                      <w:kern w:val="18"/>
                      <w:szCs w:val="21"/>
                      <w:lang w:val="en-US" w:eastAsia="zh-CN"/>
                    </w:rPr>
                    <w:t>900-002-S64</w:t>
                  </w:r>
                </w:p>
              </w:tc>
              <w:tc>
                <w:tcPr>
                  <w:tcW w:w="356" w:type="pct"/>
                  <w:tcBorders>
                    <w:tl2br w:val="nil"/>
                    <w:tr2bl w:val="nil"/>
                  </w:tcBorders>
                  <w:vAlign w:val="center"/>
                </w:tcPr>
                <w:p>
                  <w:pPr>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6</w:t>
                  </w:r>
                </w:p>
              </w:tc>
              <w:tc>
                <w:tcPr>
                  <w:tcW w:w="292" w:type="pct"/>
                  <w:tcBorders>
                    <w:tl2br w:val="nil"/>
                    <w:tr2bl w:val="nil"/>
                  </w:tcBorders>
                  <w:vAlign w:val="center"/>
                </w:tcPr>
                <w:p>
                  <w:pPr>
                    <w:pStyle w:val="48"/>
                    <w:ind w:firstLine="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w:t>
                  </w:r>
                </w:p>
              </w:tc>
              <w:tc>
                <w:tcPr>
                  <w:tcW w:w="714" w:type="pct"/>
                  <w:tcBorders>
                    <w:tl2br w:val="nil"/>
                    <w:tr2bl w:val="nil"/>
                  </w:tcBorders>
                  <w:vAlign w:val="center"/>
                </w:tcPr>
                <w:p>
                  <w:pPr>
                    <w:pStyle w:val="48"/>
                    <w:ind w:firstLine="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环卫清运</w:t>
                  </w:r>
                </w:p>
              </w:tc>
              <w:tc>
                <w:tcPr>
                  <w:tcW w:w="883" w:type="dxa"/>
                  <w:tcBorders>
                    <w:tl2br w:val="nil"/>
                    <w:tr2bl w:val="nil"/>
                  </w:tcBorders>
                  <w:vAlign w:val="center"/>
                </w:tcPr>
                <w:p>
                  <w:pPr>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6</w:t>
                  </w:r>
                </w:p>
              </w:tc>
            </w:tr>
          </w:tbl>
          <w:p>
            <w:pPr>
              <w:spacing w:line="360" w:lineRule="auto"/>
              <w:ind w:firstLine="480" w:firstLineChars="200"/>
              <w:rPr>
                <w:rFonts w:hint="default" w:ascii="Times New Roman" w:hAnsi="Times New Roman" w:cs="Times New Roman"/>
                <w:color w:val="000000"/>
                <w:szCs w:val="21"/>
              </w:rPr>
            </w:pPr>
            <w:r>
              <w:rPr>
                <w:rFonts w:hint="default" w:ascii="Times New Roman" w:hAnsi="Times New Roman" w:cs="Times New Roman"/>
                <w:color w:val="000000"/>
                <w:sz w:val="24"/>
              </w:rPr>
              <w:t>从项目采用的固废利用及处置方式来分析，对产生的各类固废按其性质分类分区收集和暂存，并均能得到有效利用或妥善处置。在严格管理下，本项目的固体废物对周围环境不会产生二次污染。</w:t>
            </w:r>
          </w:p>
        </w:tc>
      </w:tr>
    </w:tbl>
    <w:p>
      <w:pPr>
        <w:rPr>
          <w:rFonts w:hint="default" w:ascii="Times New Roman" w:hAnsi="Times New Roman" w:cs="Times New Roman"/>
          <w:color w:val="000000"/>
        </w:rPr>
        <w:sectPr>
          <w:pgSz w:w="16838" w:h="11906"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0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0" w:type="pct"/>
            <w:tcMar>
              <w:left w:w="28" w:type="dxa"/>
              <w:right w:w="28"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运营</w:t>
            </w:r>
          </w:p>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期环</w:t>
            </w:r>
          </w:p>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境影</w:t>
            </w:r>
          </w:p>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响和</w:t>
            </w:r>
          </w:p>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保护</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
                <w:szCs w:val="21"/>
              </w:rPr>
              <w:t>措施</w:t>
            </w:r>
          </w:p>
        </w:tc>
        <w:tc>
          <w:tcPr>
            <w:tcW w:w="4649" w:type="pct"/>
            <w:vAlign w:val="center"/>
          </w:tcPr>
          <w:p>
            <w:pPr>
              <w:pStyle w:val="4"/>
              <w:spacing w:line="360" w:lineRule="auto"/>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（3）环境管理要求</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①一般工业固体废物贮存场所（设施）影响分析</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本项目新建一座20m</w:t>
            </w:r>
            <w:r>
              <w:rPr>
                <w:rFonts w:hint="default" w:ascii="Times New Roman" w:hAnsi="Times New Roman" w:eastAsia="宋体" w:cs="Times New Roman"/>
                <w:b w:val="0"/>
                <w:bCs w:val="0"/>
                <w:sz w:val="24"/>
                <w:szCs w:val="24"/>
                <w:vertAlign w:val="superscript"/>
              </w:rPr>
              <w:t>2</w:t>
            </w:r>
            <w:r>
              <w:rPr>
                <w:rFonts w:hint="default" w:ascii="Times New Roman" w:hAnsi="Times New Roman" w:eastAsia="宋体" w:cs="Times New Roman"/>
                <w:b w:val="0"/>
                <w:bCs w:val="0"/>
                <w:sz w:val="24"/>
                <w:szCs w:val="24"/>
              </w:rPr>
              <w:t>的一般工业固废库，一般固废堆场应按照《一般工业固体废物贮存和填埋污染控制标准》（GB 18599-2020）要求建设，对一般固废堆放区地面进行了硬化，并做好防腐、防渗和防漏处理，制定了“一般固废仓库管理制度”“一般工业固废处置管理规定”，由专人维护。</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本项目：</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（1）废边角料：本项目废边角料</w:t>
            </w:r>
            <w:r>
              <w:rPr>
                <w:rFonts w:hint="eastAsia" w:ascii="Times New Roman" w:hAnsi="Times New Roman" w:eastAsia="宋体" w:cs="Times New Roman"/>
                <w:b w:val="0"/>
                <w:bCs w:val="0"/>
                <w:sz w:val="24"/>
                <w:szCs w:val="24"/>
                <w:lang w:val="en-US" w:eastAsia="zh-CN"/>
              </w:rPr>
              <w:t>4.8</w:t>
            </w:r>
            <w:r>
              <w:rPr>
                <w:rFonts w:hint="default" w:ascii="Times New Roman" w:hAnsi="Times New Roman" w:eastAsia="宋体" w:cs="Times New Roman"/>
                <w:b w:val="0"/>
                <w:bCs w:val="0"/>
                <w:sz w:val="24"/>
                <w:szCs w:val="24"/>
              </w:rPr>
              <w:t>t/a，室内堆放，每半年周转1次，所需暂存面积约3平方米，最大贮存量为3t；</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（2）废包装材料：本项目废包装袋产生量约1t/a，每年清理一次，室内堆放，所需面积约1平方米；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（3）焊渣：本项目焊渣产生量约0.065t/a，每年清理一次，采用包装袋叠放存储，所需面积约0.5平方米；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（4）废钢丸：本项目废钢丸产生量约1t/a，每年清理一次，采用吨包叠放存储，所需面积约1平方米；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（5）废塑粉：本项目废塑粉产生量约</w:t>
            </w:r>
            <w:r>
              <w:rPr>
                <w:rFonts w:hint="default" w:ascii="Times New Roman" w:hAnsi="Times New Roman" w:eastAsia="宋体" w:cs="Times New Roman"/>
                <w:b w:val="0"/>
                <w:bCs w:val="0"/>
                <w:sz w:val="24"/>
                <w:szCs w:val="24"/>
                <w:lang w:val="en-US" w:eastAsia="zh-CN"/>
              </w:rPr>
              <w:t>0.</w:t>
            </w:r>
            <w:r>
              <w:rPr>
                <w:rFonts w:hint="eastAsia" w:ascii="Times New Roman" w:hAnsi="Times New Roman" w:eastAsia="宋体" w:cs="Times New Roman"/>
                <w:b w:val="0"/>
                <w:bCs w:val="0"/>
                <w:sz w:val="24"/>
                <w:szCs w:val="24"/>
                <w:lang w:val="en-US" w:eastAsia="zh-CN"/>
              </w:rPr>
              <w:t>024</w:t>
            </w:r>
            <w:r>
              <w:rPr>
                <w:rFonts w:hint="default" w:ascii="Times New Roman" w:hAnsi="Times New Roman" w:eastAsia="宋体" w:cs="Times New Roman"/>
                <w:b w:val="0"/>
                <w:bCs w:val="0"/>
                <w:sz w:val="24"/>
                <w:szCs w:val="24"/>
              </w:rPr>
              <w:t>t/a，每年清理一次，采用吨包叠放存储，所需面积约1平方米；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（6）集</w:t>
            </w:r>
            <w:r>
              <w:rPr>
                <w:rFonts w:hint="eastAsia" w:ascii="Times New Roman" w:hAnsi="Times New Roman" w:eastAsia="宋体" w:cs="Times New Roman"/>
                <w:b w:val="0"/>
                <w:bCs w:val="0"/>
                <w:sz w:val="24"/>
                <w:szCs w:val="24"/>
                <w:lang w:eastAsia="zh-CN"/>
              </w:rPr>
              <w:t>尘灰</w:t>
            </w:r>
            <w:r>
              <w:rPr>
                <w:rFonts w:hint="default" w:ascii="Times New Roman" w:hAnsi="Times New Roman" w:eastAsia="宋体" w:cs="Times New Roman"/>
                <w:b w:val="0"/>
                <w:bCs w:val="0"/>
                <w:sz w:val="24"/>
                <w:szCs w:val="24"/>
              </w:rPr>
              <w:t>：本项目集尘灰产生量约</w:t>
            </w:r>
            <w:r>
              <w:rPr>
                <w:rFonts w:hint="eastAsia" w:ascii="Times New Roman" w:hAnsi="Times New Roman" w:eastAsia="宋体" w:cs="Times New Roman"/>
                <w:b w:val="0"/>
                <w:bCs w:val="0"/>
                <w:sz w:val="24"/>
                <w:szCs w:val="24"/>
                <w:lang w:val="en-US" w:eastAsia="zh-CN"/>
              </w:rPr>
              <w:t>3.6686</w:t>
            </w:r>
            <w:r>
              <w:rPr>
                <w:rFonts w:hint="default" w:ascii="Times New Roman" w:hAnsi="Times New Roman" w:eastAsia="宋体" w:cs="Times New Roman"/>
                <w:b w:val="0"/>
                <w:bCs w:val="0"/>
                <w:sz w:val="24"/>
                <w:szCs w:val="24"/>
              </w:rPr>
              <w:t>t/a，每半年清理一次，采用吨包叠放存储，所需面积约</w:t>
            </w:r>
            <w:r>
              <w:rPr>
                <w:rFonts w:hint="default"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（7）废滤材：本项目废滤材产生量约0.21t/a，每年清理一次，室内堆放，所需面积约0.5平方米；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（8）废砂纸：本项目废砂纸产生量约0.06t/a，每年清理一次，室内堆放，所需面积约1平方米。</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综上，全厂一般固废共需要1</w:t>
            </w:r>
            <w:r>
              <w:rPr>
                <w:rFonts w:hint="default" w:ascii="Times New Roman" w:hAnsi="Times New Roman" w:eastAsia="宋体" w:cs="Times New Roman"/>
                <w:b w:val="0"/>
                <w:bCs w:val="0"/>
                <w:sz w:val="24"/>
                <w:szCs w:val="24"/>
                <w:lang w:val="en-US" w:eastAsia="zh-CN"/>
              </w:rPr>
              <w:t>0</w:t>
            </w:r>
            <w:r>
              <w:rPr>
                <w:rFonts w:hint="default" w:ascii="Times New Roman" w:hAnsi="Times New Roman" w:eastAsia="宋体" w:cs="Times New Roman"/>
                <w:b w:val="0"/>
                <w:bCs w:val="0"/>
                <w:sz w:val="24"/>
                <w:szCs w:val="24"/>
              </w:rPr>
              <w:t>m</w:t>
            </w:r>
            <w:r>
              <w:rPr>
                <w:rFonts w:hint="default" w:ascii="Times New Roman" w:hAnsi="Times New Roman" w:eastAsia="宋体" w:cs="Times New Roman"/>
                <w:b w:val="0"/>
                <w:bCs w:val="0"/>
                <w:sz w:val="24"/>
                <w:szCs w:val="24"/>
                <w:vertAlign w:val="superscript"/>
              </w:rPr>
              <w:t>2</w:t>
            </w:r>
            <w:r>
              <w:rPr>
                <w:rFonts w:hint="default" w:ascii="Times New Roman" w:hAnsi="Times New Roman" w:eastAsia="宋体" w:cs="Times New Roman"/>
                <w:b w:val="0"/>
                <w:bCs w:val="0"/>
                <w:sz w:val="24"/>
                <w:szCs w:val="24"/>
              </w:rPr>
              <w:t>的面积用于一般固废暂存，新建一座20m</w:t>
            </w:r>
            <w:r>
              <w:rPr>
                <w:rFonts w:hint="default" w:ascii="Times New Roman" w:hAnsi="Times New Roman" w:eastAsia="宋体" w:cs="Times New Roman"/>
                <w:b w:val="0"/>
                <w:bCs w:val="0"/>
                <w:sz w:val="24"/>
                <w:szCs w:val="24"/>
                <w:vertAlign w:val="superscript"/>
              </w:rPr>
              <w:t>2</w:t>
            </w:r>
            <w:r>
              <w:rPr>
                <w:rFonts w:hint="default" w:ascii="Times New Roman" w:hAnsi="Times New Roman" w:eastAsia="宋体" w:cs="Times New Roman"/>
                <w:b w:val="0"/>
                <w:bCs w:val="0"/>
                <w:sz w:val="24"/>
                <w:szCs w:val="24"/>
              </w:rPr>
              <w:t>的一般工业固废库可行。</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一般工业固体废物贮存设施警示标识牌如下：</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12</w:t>
            </w:r>
            <w:r>
              <w:rPr>
                <w:rFonts w:hint="default" w:ascii="Times New Roman" w:hAnsi="Times New Roman" w:cs="Times New Roman"/>
                <w:b/>
                <w:bCs/>
                <w:sz w:val="24"/>
              </w:rPr>
              <w:t xml:space="preserve"> 一般工业固体废物贮存设施警示标识牌</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329"/>
              <w:gridCol w:w="1138"/>
              <w:gridCol w:w="957"/>
              <w:gridCol w:w="1062"/>
              <w:gridCol w:w="2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排放口名称</w:t>
                  </w:r>
                </w:p>
              </w:tc>
              <w:tc>
                <w:tcPr>
                  <w:tcW w:w="835"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图形标志</w:t>
                  </w:r>
                </w:p>
              </w:tc>
              <w:tc>
                <w:tcPr>
                  <w:tcW w:w="716"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形状</w:t>
                  </w:r>
                </w:p>
              </w:tc>
              <w:tc>
                <w:tcPr>
                  <w:tcW w:w="602"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背景</w:t>
                  </w:r>
                </w:p>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颜色</w:t>
                  </w:r>
                </w:p>
              </w:tc>
              <w:tc>
                <w:tcPr>
                  <w:tcW w:w="668"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图形颜色</w:t>
                  </w:r>
                </w:p>
              </w:tc>
              <w:tc>
                <w:tcPr>
                  <w:tcW w:w="1375"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一般固废暂存场所</w:t>
                  </w:r>
                </w:p>
              </w:tc>
              <w:tc>
                <w:tcPr>
                  <w:tcW w:w="8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提示标志</w:t>
                  </w:r>
                </w:p>
              </w:tc>
              <w:tc>
                <w:tcPr>
                  <w:tcW w:w="716"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70</w:t>
                  </w:r>
                  <w:r>
                    <w:rPr>
                      <w:rFonts w:hint="default" w:ascii="Times New Roman" w:hAnsi="Times New Roman" w:cs="Times New Roman"/>
                      <w:szCs w:val="21"/>
                    </w:rPr>
                    <w:t>×</w:t>
                  </w:r>
                  <w:r>
                    <w:rPr>
                      <w:rFonts w:hint="default" w:ascii="Times New Roman" w:hAnsi="Times New Roman" w:cs="Times New Roman"/>
                      <w:kern w:val="0"/>
                      <w:szCs w:val="21"/>
                    </w:rPr>
                    <w:t>50cm</w:t>
                  </w:r>
                </w:p>
              </w:tc>
              <w:tc>
                <w:tcPr>
                  <w:tcW w:w="60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绿色</w:t>
                  </w:r>
                </w:p>
              </w:tc>
              <w:tc>
                <w:tcPr>
                  <w:tcW w:w="668"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白色</w:t>
                  </w:r>
                </w:p>
              </w:tc>
              <w:tc>
                <w:tcPr>
                  <w:tcW w:w="137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drawing>
                      <wp:inline distT="0" distB="0" distL="114300" distR="114300">
                        <wp:extent cx="952500" cy="671830"/>
                        <wp:effectExtent l="0" t="0" r="0" b="1397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24"/>
                                <a:stretch>
                                  <a:fillRect/>
                                </a:stretch>
                              </pic:blipFill>
                              <pic:spPr>
                                <a:xfrm>
                                  <a:off x="0" y="0"/>
                                  <a:ext cx="952500" cy="671830"/>
                                </a:xfrm>
                                <a:prstGeom prst="rect">
                                  <a:avLst/>
                                </a:prstGeom>
                                <a:noFill/>
                                <a:ln>
                                  <a:noFill/>
                                </a:ln>
                              </pic:spPr>
                            </pic:pic>
                          </a:graphicData>
                        </a:graphic>
                      </wp:inline>
                    </w:drawing>
                  </w:r>
                </w:p>
              </w:tc>
            </w:tr>
          </w:tbl>
          <w:p>
            <w:pPr>
              <w:pStyle w:val="4"/>
              <w:spacing w:line="360" w:lineRule="auto"/>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②危险废物贮存场所（设施）环境影响分析</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企业需严格按照《环境保护图形标志-固体废物贮存（处置）场》及修改单和《危险废物识别标志设置技术规范》（HJ 1276-2022）设置标志，配备通讯设备、照明设施和消防设施；在出入口、设施内部、危险废物运输车辆通道等关键位置按照危险废物贮存设施视频监控布设要求设置视频监控。</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项目产生的废物应分区、分类收集、分类贮存，并张贴标签储存在专门的场所内，一般固废、生活垃圾、危险废物分开，不得混放。危废定期周转，危废仓库按照《危险废物贮存污染控制标准》（GB 18597-2023）要求设置，设有防渗漏、防雨淋、防扬散措施，并设置危险废物标识和警示牌。</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废油泥：采用密封吨桶贮存，且用缠绕膜包裹，每</w:t>
            </w:r>
            <w:r>
              <w:rPr>
                <w:rFonts w:hint="default" w:ascii="Times New Roman" w:hAnsi="Times New Roman" w:cs="Times New Roman"/>
                <w:sz w:val="24"/>
                <w:lang w:val="en-US" w:eastAsia="zh-CN"/>
              </w:rPr>
              <w:t>半年</w:t>
            </w:r>
            <w:r>
              <w:rPr>
                <w:rFonts w:hint="default" w:ascii="Times New Roman" w:hAnsi="Times New Roman" w:cs="Times New Roman"/>
                <w:sz w:val="24"/>
              </w:rPr>
              <w:t>转运一次，每次约</w:t>
            </w:r>
            <w:r>
              <w:rPr>
                <w:rFonts w:hint="default" w:ascii="Times New Roman" w:hAnsi="Times New Roman" w:cs="Times New Roman"/>
                <w:sz w:val="24"/>
                <w:lang w:val="en-US" w:eastAsia="zh-CN"/>
              </w:rPr>
              <w:t>2</w:t>
            </w:r>
            <w:r>
              <w:rPr>
                <w:rFonts w:hint="default" w:ascii="Times New Roman" w:hAnsi="Times New Roman" w:cs="Times New Roman"/>
                <w:sz w:val="24"/>
              </w:rPr>
              <w:t>个密封桶，每个密封桶占地约1m</w:t>
            </w:r>
            <w:r>
              <w:rPr>
                <w:rFonts w:hint="default" w:ascii="Times New Roman" w:hAnsi="Times New Roman" w:cs="Times New Roman"/>
                <w:sz w:val="24"/>
                <w:vertAlign w:val="superscript"/>
              </w:rPr>
              <w:t>2</w:t>
            </w:r>
            <w:r>
              <w:rPr>
                <w:rFonts w:hint="default" w:ascii="Times New Roman" w:hAnsi="Times New Roman" w:cs="Times New Roman"/>
                <w:sz w:val="24"/>
              </w:rPr>
              <w:t>，废油泥设置贮存区面积约</w:t>
            </w:r>
            <w:r>
              <w:rPr>
                <w:rFonts w:hint="default" w:ascii="Times New Roman" w:hAnsi="Times New Roman" w:cs="Times New Roman"/>
                <w:sz w:val="24"/>
                <w:lang w:val="en-US" w:eastAsia="zh-CN"/>
              </w:rPr>
              <w:t>2</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漆渣：采用密封吨桶贮存，且用缠绕膜包裹，每年转运一次，每次约1个密封桶，每个密封桶占地约1m</w:t>
            </w:r>
            <w:r>
              <w:rPr>
                <w:rFonts w:hint="default" w:ascii="Times New Roman" w:hAnsi="Times New Roman" w:cs="Times New Roman"/>
                <w:sz w:val="24"/>
                <w:vertAlign w:val="superscript"/>
              </w:rPr>
              <w:t>2</w:t>
            </w:r>
            <w:r>
              <w:rPr>
                <w:rFonts w:hint="default" w:ascii="Times New Roman" w:hAnsi="Times New Roman" w:cs="Times New Roman"/>
                <w:sz w:val="24"/>
              </w:rPr>
              <w:t>，漆渣设置贮存区面积约1m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废包装桶：采用托盘堆放，每</w:t>
            </w:r>
            <w:r>
              <w:rPr>
                <w:rFonts w:hint="default" w:ascii="Times New Roman" w:hAnsi="Times New Roman" w:cs="Times New Roman"/>
                <w:sz w:val="24"/>
                <w:lang w:val="en-US" w:eastAsia="zh-CN"/>
              </w:rPr>
              <w:t>年</w:t>
            </w:r>
            <w:r>
              <w:rPr>
                <w:rFonts w:hint="default" w:ascii="Times New Roman" w:hAnsi="Times New Roman" w:cs="Times New Roman"/>
                <w:sz w:val="24"/>
              </w:rPr>
              <w:t>转运一次，废包装桶设置贮存区面积约4m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废油桶：采用托盘堆放，每季度转运一次，废包装桶设置贮存区面积约5m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喷枪头清洗废水：采用密封桶贮存，且用缠绕膜包裹，每年转运一次，每次约1个密封桶，每个密封桶占地约0.5m</w:t>
            </w:r>
            <w:r>
              <w:rPr>
                <w:rFonts w:hint="default" w:ascii="Times New Roman" w:hAnsi="Times New Roman" w:cs="Times New Roman"/>
                <w:sz w:val="24"/>
                <w:vertAlign w:val="superscript"/>
              </w:rPr>
              <w:t>2</w:t>
            </w:r>
            <w:r>
              <w:rPr>
                <w:rFonts w:hint="default" w:ascii="Times New Roman" w:hAnsi="Times New Roman" w:cs="Times New Roman"/>
                <w:sz w:val="24"/>
              </w:rPr>
              <w:t>，喷枪头清洗废水设置贮存区面积约0.5m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eastAsia" w:cs="Times New Roman"/>
                <w:sz w:val="24"/>
                <w:lang w:val="en-US" w:eastAsia="zh-CN"/>
              </w:rPr>
              <w:t>废挂具：采用密封袋贮存，且用缠绕膜包裹，年年转运一次，每次约1个吨袋，</w:t>
            </w:r>
            <w:r>
              <w:rPr>
                <w:rFonts w:hint="default" w:ascii="Times New Roman" w:hAnsi="Times New Roman" w:cs="Times New Roman"/>
                <w:sz w:val="24"/>
              </w:rPr>
              <w:t>每个吨袋占地约1m</w:t>
            </w:r>
            <w:r>
              <w:rPr>
                <w:rFonts w:hint="default" w:ascii="Times New Roman" w:hAnsi="Times New Roman" w:cs="Times New Roman"/>
                <w:sz w:val="24"/>
                <w:vertAlign w:val="superscript"/>
              </w:rPr>
              <w:t>2</w:t>
            </w:r>
            <w:r>
              <w:rPr>
                <w:rFonts w:hint="default" w:ascii="Times New Roman" w:hAnsi="Times New Roman" w:cs="Times New Roman"/>
                <w:sz w:val="24"/>
              </w:rPr>
              <w:t>，</w:t>
            </w:r>
            <w:r>
              <w:rPr>
                <w:rFonts w:hint="eastAsia" w:cs="Times New Roman"/>
                <w:sz w:val="24"/>
                <w:lang w:val="en-US" w:eastAsia="zh-CN"/>
              </w:rPr>
              <w:t>废挂具</w:t>
            </w:r>
            <w:r>
              <w:rPr>
                <w:rFonts w:hint="default" w:ascii="Times New Roman" w:hAnsi="Times New Roman" w:cs="Times New Roman"/>
                <w:sz w:val="24"/>
              </w:rPr>
              <w:t>设置贮存区面积约1m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废过滤材料：采用密封袋贮存，且用缠绕膜包裹，每年转运一次，每次约1个吨袋，每个吨袋占地约1m</w:t>
            </w:r>
            <w:r>
              <w:rPr>
                <w:rFonts w:hint="default" w:ascii="Times New Roman" w:hAnsi="Times New Roman" w:cs="Times New Roman"/>
                <w:sz w:val="24"/>
                <w:vertAlign w:val="superscript"/>
              </w:rPr>
              <w:t>2</w:t>
            </w:r>
            <w:r>
              <w:rPr>
                <w:rFonts w:hint="default" w:ascii="Times New Roman" w:hAnsi="Times New Roman" w:cs="Times New Roman"/>
                <w:sz w:val="24"/>
              </w:rPr>
              <w:t>，废过滤材料设置贮存区面积约1m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bCs/>
                <w:sz w:val="24"/>
              </w:rPr>
              <w:t>废活性炭：采用密封袋贮存，且用缠绕膜包裹，每3个月转运一次，每次约</w:t>
            </w:r>
            <w:r>
              <w:rPr>
                <w:rFonts w:hint="default" w:ascii="Times New Roman" w:hAnsi="Times New Roman" w:cs="Times New Roman"/>
                <w:bCs/>
                <w:sz w:val="24"/>
                <w:lang w:val="en-US" w:eastAsia="zh-CN"/>
              </w:rPr>
              <w:t>10</w:t>
            </w:r>
            <w:r>
              <w:rPr>
                <w:rFonts w:hint="default" w:ascii="Times New Roman" w:hAnsi="Times New Roman" w:cs="Times New Roman"/>
                <w:bCs/>
                <w:sz w:val="24"/>
              </w:rPr>
              <w:t>个吨袋，每个吨袋占地约1.5m</w:t>
            </w:r>
            <w:r>
              <w:rPr>
                <w:rFonts w:hint="default" w:ascii="Times New Roman" w:hAnsi="Times New Roman" w:cs="Times New Roman"/>
                <w:bCs/>
                <w:sz w:val="24"/>
                <w:vertAlign w:val="superscript"/>
              </w:rPr>
              <w:t>2</w:t>
            </w:r>
            <w:r>
              <w:rPr>
                <w:rFonts w:hint="default" w:ascii="Times New Roman" w:hAnsi="Times New Roman" w:cs="Times New Roman"/>
                <w:bCs/>
                <w:sz w:val="24"/>
              </w:rPr>
              <w:t>，废活性炭设置贮存区面积约</w:t>
            </w:r>
            <w:r>
              <w:rPr>
                <w:rFonts w:hint="default" w:ascii="Times New Roman" w:hAnsi="Times New Roman" w:cs="Times New Roman"/>
                <w:bCs/>
                <w:sz w:val="24"/>
                <w:lang w:val="en-US" w:eastAsia="zh-CN"/>
              </w:rPr>
              <w:t>15</w:t>
            </w:r>
            <w:r>
              <w:rPr>
                <w:rFonts w:hint="default" w:ascii="Times New Roman" w:hAnsi="Times New Roman" w:cs="Times New Roman"/>
                <w:bCs/>
                <w:sz w:val="24"/>
              </w:rPr>
              <w:t>m</w:t>
            </w:r>
            <w:r>
              <w:rPr>
                <w:rFonts w:hint="default" w:ascii="Times New Roman" w:hAnsi="Times New Roman" w:cs="Times New Roman"/>
                <w:bCs/>
                <w:sz w:val="24"/>
                <w:vertAlign w:val="superscript"/>
              </w:rPr>
              <w:t>2</w:t>
            </w:r>
            <w:r>
              <w:rPr>
                <w:rFonts w:hint="default" w:ascii="Times New Roman" w:hAnsi="Times New Roman" w:cs="Times New Roman"/>
                <w:bCs/>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废劳保用品：采用密封袋贮存，且用缠绕膜包裹，每年转运一次，每次约1个袋，每个袋占地约0.5m</w:t>
            </w:r>
            <w:r>
              <w:rPr>
                <w:rFonts w:hint="default" w:ascii="Times New Roman" w:hAnsi="Times New Roman" w:cs="Times New Roman"/>
                <w:sz w:val="24"/>
                <w:vertAlign w:val="superscript"/>
              </w:rPr>
              <w:t>2</w:t>
            </w:r>
            <w:r>
              <w:rPr>
                <w:rFonts w:hint="default" w:ascii="Times New Roman" w:hAnsi="Times New Roman" w:cs="Times New Roman"/>
                <w:sz w:val="24"/>
              </w:rPr>
              <w:t>，废劳保用品设置贮存区面积约0.5m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空压机含油废水：采用密封吨桶贮存，且用缠绕膜包裹，每年转运一次，每次约2个吨桶，每个吨桶占地约1m</w:t>
            </w:r>
            <w:r>
              <w:rPr>
                <w:rFonts w:hint="default" w:ascii="Times New Roman" w:hAnsi="Times New Roman" w:cs="Times New Roman"/>
                <w:sz w:val="24"/>
                <w:vertAlign w:val="superscript"/>
              </w:rPr>
              <w:t>2</w:t>
            </w:r>
            <w:r>
              <w:rPr>
                <w:rFonts w:hint="default" w:ascii="Times New Roman" w:hAnsi="Times New Roman" w:cs="Times New Roman"/>
                <w:sz w:val="24"/>
              </w:rPr>
              <w:t>，空压机含油废水设置贮存区面积约2m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喷淋废液：采用密封吨桶贮存，且用缠绕膜包裹，每月转运一次，每次约4个密封桶，每个密封桶占地约1m</w:t>
            </w:r>
            <w:r>
              <w:rPr>
                <w:rFonts w:hint="default" w:ascii="Times New Roman" w:hAnsi="Times New Roman" w:cs="Times New Roman"/>
                <w:sz w:val="24"/>
                <w:vertAlign w:val="superscript"/>
              </w:rPr>
              <w:t>2</w:t>
            </w:r>
            <w:r>
              <w:rPr>
                <w:rFonts w:hint="default" w:ascii="Times New Roman" w:hAnsi="Times New Roman" w:cs="Times New Roman"/>
                <w:sz w:val="24"/>
              </w:rPr>
              <w:t>，喷淋废液设置贮存区面积约4m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根据上述分析，各类危险废物所需面积约</w:t>
            </w:r>
            <w:r>
              <w:rPr>
                <w:rFonts w:hint="default" w:ascii="Times New Roman" w:hAnsi="Times New Roman" w:cs="Times New Roman"/>
                <w:sz w:val="24"/>
                <w:lang w:val="en-US" w:eastAsia="zh-CN"/>
              </w:rPr>
              <w:t>3</w:t>
            </w:r>
            <w:r>
              <w:rPr>
                <w:rFonts w:hint="eastAsia" w:cs="Times New Roman"/>
                <w:sz w:val="24"/>
                <w:lang w:val="en-US" w:eastAsia="zh-CN"/>
              </w:rPr>
              <w:t>6</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，本项目拟设置50m</w:t>
            </w:r>
            <w:r>
              <w:rPr>
                <w:rFonts w:hint="default" w:ascii="Times New Roman" w:hAnsi="Times New Roman" w:cs="Times New Roman"/>
                <w:sz w:val="24"/>
                <w:vertAlign w:val="superscript"/>
              </w:rPr>
              <w:t>3</w:t>
            </w:r>
            <w:r>
              <w:rPr>
                <w:rFonts w:hint="default" w:ascii="Times New Roman" w:hAnsi="Times New Roman" w:cs="Times New Roman"/>
                <w:sz w:val="24"/>
              </w:rPr>
              <w:t>的危废仓库，可以满足本项目危险废物暂存量需求。</w:t>
            </w:r>
          </w:p>
          <w:p>
            <w:pPr>
              <w:autoSpaceDE w:val="0"/>
              <w:autoSpaceDN w:val="0"/>
              <w:adjustRightInd w:val="0"/>
              <w:snapToGrid w:val="0"/>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sz w:val="24"/>
              </w:rPr>
              <w:t>本项目</w:t>
            </w:r>
            <w:r>
              <w:rPr>
                <w:rFonts w:hint="default" w:ascii="Times New Roman" w:hAnsi="Times New Roman" w:cs="Times New Roman"/>
                <w:kern w:val="0"/>
                <w:sz w:val="24"/>
              </w:rPr>
              <w:t>危废拟分类存放、贮存，不相容的危险废物除分类存放，拟设置隔离间隔段。危险废物贮存仓库面积具体见表4-</w:t>
            </w:r>
            <w:r>
              <w:rPr>
                <w:rFonts w:hint="default" w:ascii="Times New Roman" w:hAnsi="Times New Roman" w:cs="Times New Roman"/>
                <w:kern w:val="0"/>
                <w:sz w:val="24"/>
                <w:lang w:val="en-US" w:eastAsia="zh-CN"/>
              </w:rPr>
              <w:t>13</w:t>
            </w:r>
            <w:r>
              <w:rPr>
                <w:rFonts w:hint="default" w:ascii="Times New Roman" w:hAnsi="Times New Roman" w:cs="Times New Roman"/>
                <w:kern w:val="0"/>
                <w:sz w:val="24"/>
              </w:rPr>
              <w:t>。</w:t>
            </w:r>
          </w:p>
          <w:p>
            <w:pPr>
              <w:jc w:val="center"/>
              <w:rPr>
                <w:rFonts w:hint="default" w:ascii="Times New Roman" w:hAnsi="Times New Roman" w:cs="Times New Roman"/>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13</w:t>
            </w:r>
            <w:r>
              <w:rPr>
                <w:rFonts w:hint="default" w:ascii="Times New Roman" w:hAnsi="Times New Roman" w:cs="Times New Roman"/>
                <w:b/>
                <w:bCs/>
                <w:sz w:val="24"/>
              </w:rPr>
              <w:t xml:space="preserve">  本项目危险废物贮存场所（设施）基本情况表</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28"/>
              <w:gridCol w:w="1151"/>
              <w:gridCol w:w="776"/>
              <w:gridCol w:w="995"/>
              <w:gridCol w:w="477"/>
              <w:gridCol w:w="680"/>
              <w:gridCol w:w="571"/>
              <w:gridCol w:w="606"/>
              <w:gridCol w:w="536"/>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583"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贮存场所（设施）</w:t>
                  </w:r>
                </w:p>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723"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危险废物名称</w:t>
                  </w:r>
                </w:p>
              </w:tc>
              <w:tc>
                <w:tcPr>
                  <w:tcW w:w="488"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危险废物类别</w:t>
                  </w:r>
                </w:p>
              </w:tc>
              <w:tc>
                <w:tcPr>
                  <w:tcW w:w="625"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危险废物代码</w:t>
                  </w:r>
                </w:p>
              </w:tc>
              <w:tc>
                <w:tcPr>
                  <w:tcW w:w="300"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位置</w:t>
                  </w:r>
                </w:p>
              </w:tc>
              <w:tc>
                <w:tcPr>
                  <w:tcW w:w="428"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所需面积</w:t>
                  </w:r>
                </w:p>
              </w:tc>
              <w:tc>
                <w:tcPr>
                  <w:tcW w:w="359"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占地面积</w:t>
                  </w:r>
                </w:p>
              </w:tc>
              <w:tc>
                <w:tcPr>
                  <w:tcW w:w="381"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贮存方式</w:t>
                  </w:r>
                </w:p>
              </w:tc>
              <w:tc>
                <w:tcPr>
                  <w:tcW w:w="337"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贮存</w:t>
                  </w:r>
                </w:p>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能力</w:t>
                  </w:r>
                </w:p>
              </w:tc>
              <w:tc>
                <w:tcPr>
                  <w:tcW w:w="503" w:type="pct"/>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贮存</w:t>
                  </w:r>
                </w:p>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restar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1</w:t>
                  </w:r>
                </w:p>
              </w:tc>
              <w:tc>
                <w:tcPr>
                  <w:tcW w:w="583" w:type="pct"/>
                  <w:vMerge w:val="restar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危废仓库</w:t>
                  </w: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废油泥</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HW08</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900-200-08</w:t>
                  </w:r>
                </w:p>
              </w:tc>
              <w:tc>
                <w:tcPr>
                  <w:tcW w:w="300" w:type="pct"/>
                  <w:vMerge w:val="restar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危废仓库</w:t>
                  </w: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359" w:type="pct"/>
                  <w:vMerge w:val="restar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50m</w:t>
                  </w:r>
                  <w:r>
                    <w:rPr>
                      <w:rFonts w:hint="default" w:ascii="Times New Roman" w:hAnsi="Times New Roman" w:cs="Times New Roman"/>
                      <w:szCs w:val="21"/>
                      <w:vertAlign w:val="superscript"/>
                    </w:rPr>
                    <w:t>2</w:t>
                  </w:r>
                </w:p>
              </w:tc>
              <w:tc>
                <w:tcPr>
                  <w:tcW w:w="381" w:type="pct"/>
                  <w:vMerge w:val="restar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分区贮存</w:t>
                  </w:r>
                </w:p>
              </w:tc>
              <w:tc>
                <w:tcPr>
                  <w:tcW w:w="337" w:type="pct"/>
                  <w:vMerge w:val="restar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50</w:t>
                  </w:r>
                </w:p>
              </w:tc>
              <w:tc>
                <w:tcPr>
                  <w:tcW w:w="503" w:type="pct"/>
                  <w:tcBorders>
                    <w:tl2br w:val="nil"/>
                    <w:tr2bl w:val="nil"/>
                  </w:tcBorders>
                  <w:vAlign w:val="center"/>
                </w:tcPr>
                <w:p>
                  <w:pPr>
                    <w:spacing w:line="32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漆渣</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HW12</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900-252-12</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1m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废包装桶</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HW49</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900-041-49</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4m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废油桶</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HW08</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900-249-08</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5m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喷枪头清洗废液</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HW12</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900-256-12</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0.5m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color w:val="000000"/>
                      <w:lang w:val="en-US" w:eastAsia="zh-CN" w:bidi="ar-SA"/>
                    </w:rPr>
                  </w:pPr>
                  <w:r>
                    <w:rPr>
                      <w:rFonts w:hint="eastAsia" w:ascii="Times New Roman" w:hAnsi="Times New Roman" w:eastAsia="宋体" w:cs="Times New Roman"/>
                      <w:color w:val="000000"/>
                      <w:lang w:val="en-US" w:eastAsia="zh-CN" w:bidi="ar-SA"/>
                    </w:rPr>
                    <w:t>废挂具</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color w:val="000000"/>
                      <w:spacing w:val="4"/>
                      <w:kern w:val="18"/>
                      <w:lang w:val="en-US" w:eastAsia="zh-CN" w:bidi="ar-SA"/>
                    </w:rPr>
                  </w:pPr>
                  <w:r>
                    <w:rPr>
                      <w:rFonts w:hint="eastAsia" w:ascii="Times New Roman" w:hAnsi="Times New Roman" w:eastAsia="宋体" w:cs="Times New Roman"/>
                      <w:color w:val="000000"/>
                      <w:spacing w:val="4"/>
                      <w:kern w:val="18"/>
                      <w:lang w:val="en-US" w:eastAsia="zh-CN" w:bidi="ar-SA"/>
                    </w:rPr>
                    <w:t>HW49</w:t>
                  </w:r>
                </w:p>
              </w:tc>
              <w:tc>
                <w:tcPr>
                  <w:tcW w:w="625" w:type="pct"/>
                  <w:tcBorders>
                    <w:tl2br w:val="nil"/>
                    <w:tr2bl w:val="nil"/>
                  </w:tcBorders>
                  <w:vAlign w:val="center"/>
                </w:tcPr>
                <w:p>
                  <w:pPr>
                    <w:spacing w:line="320" w:lineRule="exact"/>
                    <w:jc w:val="center"/>
                    <w:rPr>
                      <w:rFonts w:hint="default" w:ascii="Times New Roman" w:hAnsi="Times New Roman" w:eastAsia="宋体" w:cs="Times New Roman"/>
                      <w:color w:val="000000"/>
                      <w:spacing w:val="4"/>
                      <w:kern w:val="18"/>
                      <w:szCs w:val="21"/>
                      <w:lang w:val="en-US" w:eastAsia="zh-CN"/>
                    </w:rPr>
                  </w:pPr>
                  <w:r>
                    <w:rPr>
                      <w:rFonts w:hint="eastAsia" w:cs="Times New Roman"/>
                      <w:color w:val="000000"/>
                      <w:spacing w:val="4"/>
                      <w:kern w:val="18"/>
                      <w:szCs w:val="21"/>
                      <w:lang w:val="en-US" w:eastAsia="zh-CN"/>
                    </w:rPr>
                    <w:t>900-041-49</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1m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eastAsia" w:ascii="Times New Roman" w:hAnsi="Times New Roman" w:eastAsia="宋体" w:cs="Times New Roman"/>
                      <w:szCs w:val="21"/>
                      <w:lang w:val="en-US" w:eastAsia="zh-CN"/>
                    </w:rPr>
                  </w:pPr>
                  <w:r>
                    <w:rPr>
                      <w:rFonts w:hint="eastAsia" w:cs="Times New Roman"/>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废过滤材料</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HW49</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900-041-49</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1m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废活性炭</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HW49</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900-039-49</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lang w:val="en-US" w:eastAsia="zh-CN"/>
                    </w:rPr>
                    <w:t>15</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空压机含油废水</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HW09</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900-007-09</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2m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lang w:eastAsia="zh-CN" w:bidi="ar-SA"/>
                    </w:rPr>
                  </w:pPr>
                  <w:r>
                    <w:rPr>
                      <w:rFonts w:hint="default" w:ascii="Times New Roman" w:hAnsi="Times New Roman" w:eastAsia="宋体" w:cs="Times New Roman"/>
                      <w:color w:val="000000"/>
                      <w:lang w:eastAsia="zh-CN" w:bidi="ar-SA"/>
                    </w:rPr>
                    <w:t>废劳保用品</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HW49</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900-041-49</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0.5m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83"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723" w:type="pct"/>
                  <w:tcBorders>
                    <w:tl2br w:val="nil"/>
                    <w:tr2bl w:val="nil"/>
                  </w:tcBorders>
                  <w:vAlign w:val="center"/>
                </w:tcPr>
                <w:p>
                  <w:pPr>
                    <w:pStyle w:val="66"/>
                    <w:widowControl w:val="0"/>
                    <w:rPr>
                      <w:rFonts w:hint="default" w:ascii="Times New Roman" w:hAnsi="Times New Roman" w:eastAsia="宋体" w:cs="Times New Roman"/>
                      <w:color w:val="000000"/>
                      <w:lang w:eastAsia="zh-CN" w:bidi="ar-SA"/>
                    </w:rPr>
                  </w:pPr>
                  <w:r>
                    <w:rPr>
                      <w:rFonts w:hint="default" w:ascii="Times New Roman" w:hAnsi="Times New Roman" w:eastAsia="宋体" w:cs="Times New Roman"/>
                      <w:color w:val="000000"/>
                      <w:lang w:eastAsia="zh-CN" w:bidi="ar-SA"/>
                    </w:rPr>
                    <w:t>喷淋废液</w:t>
                  </w:r>
                </w:p>
              </w:tc>
              <w:tc>
                <w:tcPr>
                  <w:tcW w:w="488" w:type="pct"/>
                  <w:tcBorders>
                    <w:tl2br w:val="nil"/>
                    <w:tr2bl w:val="nil"/>
                  </w:tcBorders>
                  <w:vAlign w:val="center"/>
                </w:tcPr>
                <w:p>
                  <w:pPr>
                    <w:pStyle w:val="66"/>
                    <w:spacing w:line="320" w:lineRule="exact"/>
                    <w:rPr>
                      <w:rFonts w:hint="default" w:ascii="Times New Roman" w:hAnsi="Times New Roman" w:eastAsia="宋体" w:cs="Times New Roman"/>
                      <w:kern w:val="2"/>
                      <w:lang w:eastAsia="zh-CN" w:bidi="ar-SA"/>
                    </w:rPr>
                  </w:pPr>
                  <w:r>
                    <w:rPr>
                      <w:rFonts w:hint="default" w:ascii="Times New Roman" w:hAnsi="Times New Roman" w:eastAsia="宋体" w:cs="Times New Roman"/>
                      <w:color w:val="000000"/>
                      <w:spacing w:val="4"/>
                      <w:kern w:val="18"/>
                      <w:lang w:eastAsia="zh-CN" w:bidi="ar-SA"/>
                    </w:rPr>
                    <w:t>HW34</w:t>
                  </w:r>
                </w:p>
              </w:tc>
              <w:tc>
                <w:tcPr>
                  <w:tcW w:w="625"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color w:val="000000"/>
                      <w:spacing w:val="4"/>
                      <w:kern w:val="18"/>
                      <w:szCs w:val="21"/>
                    </w:rPr>
                    <w:t>900-300-34</w:t>
                  </w:r>
                </w:p>
              </w:tc>
              <w:tc>
                <w:tcPr>
                  <w:tcW w:w="300"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428"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4m</w:t>
                  </w:r>
                  <w:r>
                    <w:rPr>
                      <w:rFonts w:hint="default" w:ascii="Times New Roman" w:hAnsi="Times New Roman" w:cs="Times New Roman"/>
                      <w:szCs w:val="21"/>
                      <w:vertAlign w:val="superscript"/>
                    </w:rPr>
                    <w:t>2</w:t>
                  </w:r>
                </w:p>
              </w:tc>
              <w:tc>
                <w:tcPr>
                  <w:tcW w:w="359"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81"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337" w:type="pct"/>
                  <w:vMerge w:val="continue"/>
                  <w:tcBorders>
                    <w:tl2br w:val="nil"/>
                    <w:tr2bl w:val="nil"/>
                  </w:tcBorders>
                  <w:vAlign w:val="center"/>
                </w:tcPr>
                <w:p>
                  <w:pPr>
                    <w:spacing w:line="320" w:lineRule="exact"/>
                    <w:jc w:val="center"/>
                    <w:rPr>
                      <w:rFonts w:hint="default" w:ascii="Times New Roman" w:hAnsi="Times New Roman" w:cs="Times New Roman"/>
                      <w:szCs w:val="21"/>
                    </w:rPr>
                  </w:pPr>
                </w:p>
              </w:tc>
              <w:tc>
                <w:tcPr>
                  <w:tcW w:w="503" w:type="pct"/>
                  <w:tcBorders>
                    <w:tl2br w:val="nil"/>
                    <w:tr2bl w:val="nil"/>
                  </w:tcBorders>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月</w:t>
                  </w:r>
                </w:p>
              </w:tc>
            </w:tr>
          </w:tbl>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（1）危险废物收集污染防治措施分析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原江苏省环保厅（苏环控〔1997〕134号文）《关于加强危险废物交换和转移管理工作的通知》要求，对危险废物进行安全包装，并在包装的明显位置附上危险废物标签。</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（2）危险废物暂存污染防治措施分析</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危废贮存设施污染防治措施见表4-</w:t>
            </w:r>
            <w:r>
              <w:rPr>
                <w:rFonts w:hint="default" w:ascii="Times New Roman" w:hAnsi="Times New Roman" w:cs="Times New Roman"/>
                <w:bCs/>
                <w:sz w:val="24"/>
                <w:lang w:val="en-US" w:eastAsia="zh-CN"/>
              </w:rPr>
              <w:t>14</w:t>
            </w:r>
            <w:r>
              <w:rPr>
                <w:rFonts w:hint="default" w:ascii="Times New Roman" w:hAnsi="Times New Roman" w:cs="Times New Roman"/>
                <w:bCs/>
                <w:sz w:val="24"/>
              </w:rPr>
              <w:t>。</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14</w:t>
            </w:r>
            <w:r>
              <w:rPr>
                <w:rFonts w:hint="default" w:ascii="Times New Roman" w:hAnsi="Times New Roman" w:cs="Times New Roman"/>
                <w:b/>
                <w:bCs/>
                <w:sz w:val="24"/>
              </w:rPr>
              <w:t xml:space="preserve"> 危险废物贮存场所规范设置</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301"/>
              <w:gridCol w:w="4201"/>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序号</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规范设置要求</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拟设置情况</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应严格执行《危险废物贮存污染控制标准》(GB18597-2023)、《环境保护图形标志一固体废物贮存（处置）场》(GB15562.2-1995）修改单和《危险废物识别标志设置技术规范》(HJ1276-2022) ，规范设置标识牌，配备通讯设备、照明设施和消防设施，设置气体导出口及气体净化装置。</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将严格按照《危险废物贮存污染控制标准》（GB18597-2023) 、《环境保护图形标志一固体废物贮存（处置）场》(GB15562 2-1995）修改单和《危险废物识别标志设置技术规范》(HJ1276-2022）设置标志，采用立式固定方式将危废废物信息公开栏固定在厂区门口醒目的位置，其顶端距离地面200cm处，材料及尺寸：底板采用5mm铝板、底板120cm×80cm，严格按照规范设置公开内容：危废贮存设施内部分区规范设置警示标志牌：顶端距离地面200cm处，材料及尺寸：采用5mm铝板，不锈钢边框2cm压边，尺寸：75cm×4Scm，三角形警示标志边长42cm，外檐2.5cm，并严格按照规范设置公开内容：规范设置包装识别标签，底色为醒目的桔黄色，文字样色为黑色，字体为黑体，尺寸：粘贴式标签20cm×20cm，系挂式标签10cm×10cm。危险废物贮存设施拟规范配备通讯设备、照明设施和消防设施。本项目贮存的危险废物为</w:t>
                  </w:r>
                  <w:r>
                    <w:rPr>
                      <w:rFonts w:hint="default" w:ascii="Times New Roman" w:hAnsi="Times New Roman" w:cs="Times New Roman"/>
                      <w:kern w:val="0"/>
                      <w:szCs w:val="21"/>
                      <w:lang w:val="en-US" w:eastAsia="zh-CN"/>
                    </w:rPr>
                    <w:t>废油泥、漆渣、废包装桶</w:t>
                  </w:r>
                  <w:r>
                    <w:rPr>
                      <w:rFonts w:hint="default" w:ascii="Times New Roman" w:hAnsi="Times New Roman" w:cs="Times New Roman"/>
                      <w:kern w:val="0"/>
                      <w:szCs w:val="21"/>
                    </w:rPr>
                    <w:t>等，</w:t>
                  </w:r>
                  <w:r>
                    <w:rPr>
                      <w:rFonts w:hint="default" w:ascii="Times New Roman" w:hAnsi="Times New Roman" w:cs="Times New Roman"/>
                      <w:kern w:val="0"/>
                      <w:szCs w:val="21"/>
                      <w:lang w:val="en-US" w:eastAsia="zh-CN"/>
                    </w:rPr>
                    <w:t>危废均密闭存储在包装桶或包装袋中，正常情况下不易挥发</w:t>
                  </w:r>
                  <w:r>
                    <w:rPr>
                      <w:rFonts w:hint="default" w:ascii="Times New Roman" w:hAnsi="Times New Roman" w:cs="Times New Roman"/>
                      <w:kern w:val="0"/>
                      <w:szCs w:val="21"/>
                    </w:rPr>
                    <w:t>。故无须设置气体导出口及气体净化装置。</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在出入口、设施内部、危险废物运输车辆通道等关键位置按照危险废物贮存设施视频监控布设要求设置视频监控，并与中控室联网。</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拟在出入口、设施内部、危险废物运输车辆通道、装卸区域等关键位置规范设置视频监控，并与中控室联网。监控系统按《公共安全视频监控联网系统信息传输、交换、控制技术要求》(GB/T28181-2016)、《安全防范高清视频监控系统技术要求》(GAT1211-2014）等标准设置，监控区域24小时须有足够的光源以保证画面清晰辨识，视频监控录像画面分辨率达到300万像素以上，监控视频保存时间至少为3个月。</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根据危险废物的种类和特性进行分区、分类贮存，设置防雨、防火、防雷、防扬散、防渗漏装置及泄漏液体收集装置。</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本项目危险废物拟进行分区、分类贮存，危险废物贮存设施规范设置防雨、防火、防雷、防扬散等措施。</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对易爆、易燃及排出有毒气体的危险物进行预处理，稳定后贮存，否则按易爆、易燃危险品贮存</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本项目不涉及易爆、易燃及排出有毒气体的危险</w:t>
                  </w:r>
                  <w:r>
                    <w:rPr>
                      <w:rFonts w:hint="eastAsia" w:cs="Times New Roman"/>
                      <w:kern w:val="0"/>
                      <w:szCs w:val="21"/>
                      <w:lang w:eastAsia="zh-CN"/>
                    </w:rPr>
                    <w:t>物品</w:t>
                  </w:r>
                  <w:r>
                    <w:rPr>
                      <w:rFonts w:hint="default" w:ascii="Times New Roman" w:hAnsi="Times New Roman" w:cs="Times New Roman"/>
                      <w:kern w:val="0"/>
                      <w:szCs w:val="21"/>
                    </w:rPr>
                    <w:t>，无需按照易爆、易燃危险品贮存。</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贮存废弃剧毒化学品的，应按照公安机关要求落实治安防治措施。</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本项目不涉及废气剧毒化学品。</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贮存设施周转的累积贮存量不得超过年许可经营能力的六分之一，贮存期限原则上不得超过一年。</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本项目贮存期限不超过一年，定期清运</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在常温常压下易爆、易燃及排出有毒气体的危险废物必须进行预处理，使之稳定后贮存，否则，按易爆、易燃危险品贮存。</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本项目不涉及易爆、易燃及排出有毒气体的危险废物，故无须进行预处理。</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8</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禁止将不相容（相互反应）的危险废物在同一容器内混装。</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本项目不涉及不相容的危险废物混装情形。</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装载液体、半固体危险废物的容器内须留足够空间，容器顶部与液体表面之间保留100毫米以上的空间。</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本项目液态危险废物主要有油泥、喷枪头清洗废液、喷淋废液、空压机含油废水等，采用桶装贮存，容器顶部与液面保持100毫米以上</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产生单位或收集单位在盛装危险废物时，宜根据容器或包装物的容积按照本标准第9.1条中的要求设置合适的标签，并按本标准第5.2条中的要求填写完整。本标准指《危险废物识别标志设置技术规范》(HJ1276-2022)</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盛装危险废物的容器上粘贴符合本标准第9.1条中要求的标签，具体为：危险废物标签应以醒目的字样标注“危险废物”；危险废物标签应包含废物名称、废物类别、废物代码、废物形态、危险特性、主要成分、有害成分、注意事项、产生/收集单位名称、联系人、联系方式、产生日期、废物重量和备注；危险废物标签宜设置危险废物数字识别码和二维码。</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11</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盛装危险废物的容器材质和衬里要与危险废物相容（不相互反应）</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本项目液态危废油泥、喷枪头清洗废液、喷淋废液、空压机含油废水等采用桶装，废活性炭、</w:t>
                  </w:r>
                  <w:r>
                    <w:rPr>
                      <w:rFonts w:hint="eastAsia" w:cs="Times New Roman"/>
                      <w:kern w:val="0"/>
                      <w:szCs w:val="21"/>
                      <w:lang w:val="en-US" w:eastAsia="zh-CN"/>
                    </w:rPr>
                    <w:t>废挂具、</w:t>
                  </w:r>
                  <w:r>
                    <w:rPr>
                      <w:rFonts w:hint="default" w:ascii="Times New Roman" w:hAnsi="Times New Roman" w:cs="Times New Roman"/>
                      <w:kern w:val="0"/>
                      <w:szCs w:val="21"/>
                    </w:rPr>
                    <w:t>废油桶、废包装桶、废劳保用品、废过滤材料、漆渣等固态危废采用密封袋包装。</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应在易燃、易爆等危险品仓库、高压输电线路防护区域以外</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本项目不涉及易燃、易爆等危险品仓库、高压输电线路，不在这些防护区域范围内。</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13</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危险废物贮存设施（仓库式）的设计原则</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本项目危废仓库地面与裙脚要用坚固、防渗的材料建造（涂刷防腐、防渗涂料），渗透系数≤10</w:t>
                  </w:r>
                  <w:r>
                    <w:rPr>
                      <w:rFonts w:hint="default" w:ascii="Times New Roman" w:hAnsi="Times New Roman" w:cs="Times New Roman"/>
                      <w:kern w:val="0"/>
                      <w:szCs w:val="21"/>
                      <w:vertAlign w:val="superscript"/>
                    </w:rPr>
                    <w:t>-10</w:t>
                  </w:r>
                  <w:r>
                    <w:rPr>
                      <w:rFonts w:hint="default" w:ascii="Times New Roman" w:hAnsi="Times New Roman" w:cs="Times New Roman"/>
                      <w:kern w:val="0"/>
                      <w:szCs w:val="21"/>
                    </w:rPr>
                    <w:t>cm/s；并满足最大泄漏液态物质的收集：仓库内设有安全照明设施和观察窗口。</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14</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危险废物堆要防风、防雨、防晒</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危废仓库密闭，地面防渗处理，四周设围堰，设置钢筋混凝土导流沟，并采用底部加设土工膜进行防渗，具备防风、防雨、防晒功能</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15</w:t>
                  </w:r>
                </w:p>
              </w:tc>
              <w:tc>
                <w:tcPr>
                  <w:tcW w:w="1447"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企业应通过“江苏省固体废物管理信息系统”进行危险废物申报登记。将危险废物的实际产生、贮存、利用、处置等情况纳入记录，建立危险废物管理台账和企业内部产生和收集、贮存、转移等部门危险废物交接制度，制定危险废物年度管理计划，报生态环境部门备案；如有重大改变及时申报</w:t>
                  </w:r>
                </w:p>
              </w:tc>
              <w:tc>
                <w:tcPr>
                  <w:tcW w:w="2642"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企业拟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100%得到安全处置。危险废物的记录和货单保留三年。</w:t>
                  </w:r>
                </w:p>
              </w:tc>
              <w:tc>
                <w:tcPr>
                  <w:tcW w:w="939" w:type="dxa"/>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bl>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与《江苏省固体废物全过程环境监管工作意见》（苏环办〔2024〕16号）相符性分析见表4-</w:t>
            </w:r>
            <w:r>
              <w:rPr>
                <w:rFonts w:hint="default" w:ascii="Times New Roman" w:hAnsi="Times New Roman" w:cs="Times New Roman"/>
                <w:bCs/>
                <w:sz w:val="24"/>
                <w:lang w:val="en-US" w:eastAsia="zh-CN"/>
              </w:rPr>
              <w:t>15</w:t>
            </w:r>
            <w:r>
              <w:rPr>
                <w:rFonts w:hint="default" w:ascii="Times New Roman" w:hAnsi="Times New Roman" w:cs="Times New Roman"/>
                <w:bCs/>
                <w:sz w:val="24"/>
              </w:rPr>
              <w:t>。</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15</w:t>
            </w:r>
            <w:r>
              <w:rPr>
                <w:rFonts w:hint="default" w:ascii="Times New Roman" w:hAnsi="Times New Roman" w:cs="Times New Roman"/>
                <w:b/>
                <w:bCs/>
                <w:sz w:val="24"/>
              </w:rPr>
              <w:t xml:space="preserve"> 与苏环办〔2024〕16号文相符性分析</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3901"/>
              <w:gridCol w:w="2600"/>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序号</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文件规定要求</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拟采取污染防治措施</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 GB34330、HJ1091 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本项目已对项目产生的固体废物提出了切实可行的污染防治对策措施，未出现“中间产物”、“再生产物”、“副产品”等表述。</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根据《危险废物贮存污染控制标准》（GB18597-2023）， 企业可根据实际情况选择采用危险废物贮存设施或贮存点两类方式进行贮存，符合相应的污染控制标准。</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本项目将建设贮存标准的危废仓库，危险废物分区分类贮存，满足使用需求。</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危险废物环境重点监管单位要在出入口、设施内部、危险废物运输车辆通道等关键位置设置视频监控并与中控室联网，通过设立公开栏、标志牌等方式，主动公开 危 险废物产生和利用处置等有关信息。</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企业将在出入口、设施内部、 危险废物运输车辆通道等关键位置设置视频监控并与中控室联网，通过设立公开栏、标志牌等方式，主动公开危险废物产生和利用处置等有关信息。</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bl>
          <w:p>
            <w:pPr>
              <w:adjustRightInd w:val="0"/>
              <w:snapToGrid w:val="0"/>
              <w:spacing w:line="360" w:lineRule="auto"/>
              <w:ind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cs="Times New Roman"/>
                <w:b w:val="0"/>
                <w:bCs w:val="0"/>
                <w:sz w:val="24"/>
              </w:rPr>
              <w:t>与省生态环境厅关于做好《危险废物贮存污染控制标准》等标准规范实施后危险废物环境管理衔接工作的通知（苏环办</w:t>
            </w:r>
            <w:r>
              <w:rPr>
                <w:rFonts w:hint="eastAsia" w:cs="Times New Roman"/>
                <w:b w:val="0"/>
                <w:bCs w:val="0"/>
                <w:sz w:val="24"/>
                <w:lang w:eastAsia="zh-CN"/>
              </w:rPr>
              <w:t>〔2023〕154号</w:t>
            </w:r>
            <w:r>
              <w:rPr>
                <w:rFonts w:hint="default" w:ascii="Times New Roman" w:hAnsi="Times New Roman" w:cs="Times New Roman"/>
                <w:b w:val="0"/>
                <w:bCs w:val="0"/>
                <w:sz w:val="24"/>
              </w:rPr>
              <w:t>）</w:t>
            </w:r>
            <w:r>
              <w:rPr>
                <w:rFonts w:hint="default" w:ascii="Times New Roman" w:hAnsi="Times New Roman" w:cs="Times New Roman"/>
                <w:b w:val="0"/>
                <w:bCs w:val="0"/>
                <w:sz w:val="24"/>
                <w:lang w:val="en-US" w:eastAsia="zh-CN"/>
              </w:rPr>
              <w:t>相符性分析见表4-16。</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16</w:t>
            </w:r>
            <w:r>
              <w:rPr>
                <w:rFonts w:hint="default" w:ascii="Times New Roman" w:hAnsi="Times New Roman" w:cs="Times New Roman"/>
                <w:b/>
                <w:bCs/>
                <w:sz w:val="24"/>
              </w:rPr>
              <w:t xml:space="preserve"> 与苏环办〔202</w:t>
            </w:r>
            <w:r>
              <w:rPr>
                <w:rFonts w:hint="default" w:ascii="Times New Roman" w:hAnsi="Times New Roman" w:cs="Times New Roman"/>
                <w:b/>
                <w:bCs/>
                <w:sz w:val="24"/>
                <w:lang w:val="en-US" w:eastAsia="zh-CN"/>
              </w:rPr>
              <w:t>3</w:t>
            </w:r>
            <w:r>
              <w:rPr>
                <w:rFonts w:hint="default" w:ascii="Times New Roman" w:hAnsi="Times New Roman" w:cs="Times New Roman"/>
                <w:b/>
                <w:bCs/>
                <w:sz w:val="24"/>
              </w:rPr>
              <w:t>〕1</w:t>
            </w:r>
            <w:r>
              <w:rPr>
                <w:rFonts w:hint="default" w:ascii="Times New Roman" w:hAnsi="Times New Roman" w:cs="Times New Roman"/>
                <w:b/>
                <w:bCs/>
                <w:sz w:val="24"/>
                <w:lang w:val="en-US" w:eastAsia="zh-CN"/>
              </w:rPr>
              <w:t>54</w:t>
            </w:r>
            <w:r>
              <w:rPr>
                <w:rFonts w:hint="default" w:ascii="Times New Roman" w:hAnsi="Times New Roman" w:cs="Times New Roman"/>
                <w:b/>
                <w:bCs/>
                <w:sz w:val="24"/>
              </w:rPr>
              <w:t>号文相符性分析</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3901"/>
              <w:gridCol w:w="2600"/>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序号</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文件规定要求</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拟采取污染防治措施</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从危险废物贮存设施类型选择、选址、建设到危险废物包装、分类贮存、污染防治设施运行等方面进行自评，不满足要求的应立即制定整改方案并于2024年1月1日前完成整改，整改过程需注意妥善安置现存的危险废物和整改过程中产生的固体废物；新改扩建贮存设施应严格按照《标准》要求执行。</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本项目危废仓库</w:t>
                  </w:r>
                  <w:r>
                    <w:rPr>
                      <w:rFonts w:hint="default" w:ascii="Times New Roman" w:hAnsi="Times New Roman" w:cs="Times New Roman"/>
                      <w:kern w:val="0"/>
                      <w:szCs w:val="21"/>
                      <w:lang w:val="en-US" w:eastAsia="zh-CN"/>
                    </w:rPr>
                    <w:t>拟根据</w:t>
                  </w:r>
                  <w:r>
                    <w:rPr>
                      <w:rFonts w:hint="default" w:ascii="Times New Roman" w:hAnsi="Times New Roman" w:cs="Times New Roman"/>
                      <w:kern w:val="0"/>
                      <w:szCs w:val="21"/>
                    </w:rPr>
                    <w:t>《危险废物贮存污染控制标准》（GB18597-2023）</w:t>
                  </w:r>
                  <w:r>
                    <w:rPr>
                      <w:rFonts w:hint="default" w:ascii="Times New Roman" w:hAnsi="Times New Roman" w:cs="Times New Roman"/>
                      <w:kern w:val="0"/>
                      <w:szCs w:val="21"/>
                      <w:lang w:eastAsia="zh-CN"/>
                    </w:rPr>
                    <w:t>，</w:t>
                  </w:r>
                  <w:r>
                    <w:rPr>
                      <w:rFonts w:hint="default" w:ascii="Times New Roman" w:hAnsi="Times New Roman" w:cs="Times New Roman"/>
                      <w:kern w:val="0"/>
                      <w:szCs w:val="21"/>
                    </w:rPr>
                    <w:t>《省生态环境厅关于进</w:t>
                  </w:r>
                  <w:r>
                    <w:rPr>
                      <w:rFonts w:hint="default" w:ascii="Times New Roman" w:hAnsi="Times New Roman" w:cs="Times New Roman"/>
                      <w:kern w:val="0"/>
                      <w:szCs w:val="21"/>
                      <w:lang w:val="en-US" w:eastAsia="zh-CN"/>
                    </w:rPr>
                    <w:t>一</w:t>
                  </w:r>
                  <w:r>
                    <w:rPr>
                      <w:rFonts w:hint="default" w:ascii="Times New Roman" w:hAnsi="Times New Roman" w:cs="Times New Roman"/>
                      <w:kern w:val="0"/>
                      <w:szCs w:val="21"/>
                    </w:rPr>
                    <w:t>步加强危险废物污染防治工作的实施意见》（苏环办〔2019〕327号），并按照《环境保护图形标志－固体废物贮存(处置)场》(GB15562.2-1995)</w:t>
                  </w:r>
                </w:p>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修改单、《危险废物识别标志设置技术规范》（HJ1276-2022）粘贴环保标识牌</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危险废物贮存设施（含贮存点）应按照《省生态环境厅关于进一步加强危险废物污染防治工作的实施意见》（苏环办【2019】</w:t>
                  </w:r>
                </w:p>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327号、《省生态环境厅关于做好江苏省危险废物全生命周期监控系统上线运行工作的通知》（苏环办</w:t>
                  </w:r>
                  <w:r>
                    <w:rPr>
                      <w:rFonts w:hint="eastAsia" w:cs="Times New Roman"/>
                      <w:kern w:val="0"/>
                      <w:szCs w:val="21"/>
                      <w:lang w:eastAsia="zh-CN"/>
                    </w:rPr>
                    <w:t>〔2020〕401号</w:t>
                  </w:r>
                  <w:r>
                    <w:rPr>
                      <w:rFonts w:hint="default" w:ascii="Times New Roman" w:hAnsi="Times New Roman" w:cs="Times New Roman"/>
                      <w:kern w:val="0"/>
                      <w:szCs w:val="21"/>
                    </w:rPr>
                    <w:t>）等文件要求设置视频监控，并与中控室联网，视频监控应确保监控画面清晰，视频记录保存时间至少为3个月</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根据</w:t>
                  </w:r>
                  <w:r>
                    <w:rPr>
                      <w:rFonts w:hint="default" w:ascii="Times New Roman" w:hAnsi="Times New Roman" w:cs="Times New Roman"/>
                      <w:kern w:val="0"/>
                      <w:szCs w:val="21"/>
                    </w:rPr>
                    <w:t>《省生态环境厅关于进一步加强危险废物污染防治工作的实施意见》（苏环办</w:t>
                  </w:r>
                  <w:r>
                    <w:rPr>
                      <w:rFonts w:hint="eastAsia" w:cs="Times New Roman"/>
                      <w:kern w:val="0"/>
                      <w:szCs w:val="21"/>
                      <w:lang w:eastAsia="zh-CN"/>
                    </w:rPr>
                    <w:t>〔2019〕327号</w:t>
                  </w:r>
                  <w:r>
                    <w:rPr>
                      <w:rFonts w:hint="default" w:ascii="Times New Roman" w:hAnsi="Times New Roman" w:cs="Times New Roman"/>
                      <w:kern w:val="0"/>
                      <w:szCs w:val="21"/>
                      <w:lang w:val="en-US" w:eastAsia="zh-CN"/>
                    </w:rPr>
                    <w:t>要求</w:t>
                  </w:r>
                  <w:r>
                    <w:rPr>
                      <w:rFonts w:hint="default" w:ascii="Times New Roman" w:hAnsi="Times New Roman" w:cs="Times New Roman"/>
                      <w:kern w:val="0"/>
                      <w:szCs w:val="21"/>
                    </w:rPr>
                    <w:t>，危废仓库内及外部</w:t>
                  </w:r>
                  <w:r>
                    <w:rPr>
                      <w:rFonts w:hint="default" w:ascii="Times New Roman" w:hAnsi="Times New Roman" w:cs="Times New Roman"/>
                      <w:kern w:val="0"/>
                      <w:szCs w:val="21"/>
                      <w:lang w:val="en-US" w:eastAsia="zh-CN"/>
                    </w:rPr>
                    <w:t>拟</w:t>
                  </w:r>
                  <w:r>
                    <w:rPr>
                      <w:rFonts w:hint="default" w:ascii="Times New Roman" w:hAnsi="Times New Roman" w:cs="Times New Roman"/>
                      <w:kern w:val="0"/>
                      <w:szCs w:val="21"/>
                    </w:rPr>
                    <w:t>设置监控设施，并与中控室联网，视频记录保存周期为1 年。</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2453"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各涉废单位（包括纳入危险废物集中收集体系建设管理的一般源单位和特别行业单位等）要严格按照国家要求于2023年7月1日前完成危险废物识别标志更换</w:t>
                  </w:r>
                </w:p>
              </w:tc>
              <w:tc>
                <w:tcPr>
                  <w:tcW w:w="1635"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本项目</w:t>
                  </w:r>
                  <w:r>
                    <w:rPr>
                      <w:rFonts w:hint="default" w:ascii="Times New Roman" w:hAnsi="Times New Roman" w:cs="Times New Roman"/>
                      <w:kern w:val="0"/>
                      <w:szCs w:val="21"/>
                      <w:lang w:val="en-US" w:eastAsia="zh-CN"/>
                    </w:rPr>
                    <w:t>拟</w:t>
                  </w:r>
                  <w:r>
                    <w:rPr>
                      <w:rFonts w:hint="default" w:ascii="Times New Roman" w:hAnsi="Times New Roman" w:cs="Times New Roman"/>
                      <w:kern w:val="0"/>
                      <w:szCs w:val="21"/>
                    </w:rPr>
                    <w:t>按照《环境保护图形标志－固体废物贮存(处置)场》(GB15562.2-1995)修改单、《危险废物识别标志设置技术规范》（HJ1276-2022）重新粘贴环保标识牌</w:t>
                  </w:r>
                </w:p>
              </w:tc>
              <w:tc>
                <w:tcPr>
                  <w:tcW w:w="590" w:type="pct"/>
                  <w:tcBorders>
                    <w:tl2br w:val="nil"/>
                    <w:tr2bl w:val="nil"/>
                  </w:tcBorders>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bl>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（3）危废标识</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根据《危险废物识别标志设置技术规范》（HJ1276-2022）设置危废标识。</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17</w:t>
            </w:r>
            <w:r>
              <w:rPr>
                <w:rFonts w:hint="default" w:ascii="Times New Roman" w:hAnsi="Times New Roman" w:cs="Times New Roman"/>
                <w:b/>
                <w:bCs/>
                <w:sz w:val="24"/>
              </w:rPr>
              <w:t xml:space="preserve"> 危废标识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578"/>
              <w:gridCol w:w="36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标识</w:t>
                  </w:r>
                </w:p>
              </w:tc>
              <w:tc>
                <w:tcPr>
                  <w:tcW w:w="2250"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标识内容要求</w:t>
                  </w:r>
                </w:p>
              </w:tc>
              <w:tc>
                <w:tcPr>
                  <w:tcW w:w="2285"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危废标签</w:t>
                  </w:r>
                </w:p>
              </w:tc>
              <w:tc>
                <w:tcPr>
                  <w:tcW w:w="2250" w:type="pct"/>
                  <w:tcBorders>
                    <w:tl2br w:val="nil"/>
                    <w:tr2bl w:val="nil"/>
                  </w:tcBorders>
                  <w:vAlign w:val="center"/>
                </w:tcPr>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1、危险废物标签应以醒目的字样标注“危险废物”。</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2、危险废物标签应包含废物名称、废物类别、废物代码、废物形态、危险特性、主要成分、有害成分、注意事项、产生/收集单位名称、联系人、联系方式、产生日期、废物重量和备注。</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3、危险废物标签宜设置危险废物数字识别码和二维码。</w:t>
                  </w:r>
                </w:p>
              </w:tc>
              <w:tc>
                <w:tcPr>
                  <w:tcW w:w="2285"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drawing>
                      <wp:inline distT="0" distB="0" distL="114300" distR="114300">
                        <wp:extent cx="2468880" cy="2773045"/>
                        <wp:effectExtent l="0" t="0" r="7620" b="8255"/>
                        <wp:docPr id="6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pic:cNvPicPr>
                                  <a:picLocks noChangeAspect="1"/>
                                </pic:cNvPicPr>
                              </pic:nvPicPr>
                              <pic:blipFill>
                                <a:blip r:embed="rId25"/>
                                <a:stretch>
                                  <a:fillRect/>
                                </a:stretch>
                              </pic:blipFill>
                              <pic:spPr>
                                <a:xfrm>
                                  <a:off x="0" y="0"/>
                                  <a:ext cx="2468880" cy="27730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危险废物贮存分区</w:t>
                  </w:r>
                </w:p>
              </w:tc>
              <w:tc>
                <w:tcPr>
                  <w:tcW w:w="2250" w:type="pct"/>
                  <w:tcBorders>
                    <w:tl2br w:val="nil"/>
                    <w:tr2bl w:val="nil"/>
                  </w:tcBorders>
                  <w:vAlign w:val="center"/>
                </w:tcPr>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1、危险废物贮存分区标志应以醒目的方式标注“危险废物贮存分区标志”字样。</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2、危险废物贮存分区标志应包含但不限于设施内部所有贮存分区的平面分布、各分区存放的危险</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废物信息、本贮存分区的具体位置、环境应急物资所在位置以及进出口位置和方向。</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3、危险废物贮存单位可根据自身贮存设施建设情况，在危险废物贮存分区标志中添加收集池、导流沟和通道等信息。</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4、危险废物贮存分区标志的信息应随着设施内废物贮存情况的变化及时调整。</w:t>
                  </w:r>
                </w:p>
              </w:tc>
              <w:tc>
                <w:tcPr>
                  <w:tcW w:w="2285"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drawing>
                      <wp:inline distT="0" distB="0" distL="114300" distR="114300">
                        <wp:extent cx="2388870" cy="2115820"/>
                        <wp:effectExtent l="0" t="0" r="11430" b="1778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26"/>
                                <a:stretch>
                                  <a:fillRect/>
                                </a:stretch>
                              </pic:blipFill>
                              <pic:spPr>
                                <a:xfrm>
                                  <a:off x="0" y="0"/>
                                  <a:ext cx="2388870" cy="211582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危险废物贮存、利用、处置设施标志</w:t>
                  </w:r>
                </w:p>
              </w:tc>
              <w:tc>
                <w:tcPr>
                  <w:tcW w:w="2250" w:type="pct"/>
                  <w:tcBorders>
                    <w:tl2br w:val="nil"/>
                    <w:tr2bl w:val="nil"/>
                  </w:tcBorders>
                  <w:vAlign w:val="center"/>
                </w:tcPr>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1、危险废物贮存、利用、处置设施标志应包含三角形警告性图形标志和文字性辅助标志，其中三角形警告性图形标志应符合 GB 15562.2中的要求。</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2、危险废物贮存、利用、处置设施标志应以醒目的文字标注危险废物设施的类型。</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3、危险废物贮存、利用、处置设施标志还应包含危险废物设施所属的单位名称、设施编码、负责人及联系方式。</w:t>
                  </w:r>
                </w:p>
                <w:p>
                  <w:pPr>
                    <w:pStyle w:val="35"/>
                    <w:snapToGrid/>
                    <w:spacing w:after="0" w:line="240" w:lineRule="auto"/>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4、危险废物贮存、利用、处置设施标志宜设置二维码，对设施使用情况进行信息化管理。</w:t>
                  </w:r>
                </w:p>
              </w:tc>
              <w:tc>
                <w:tcPr>
                  <w:tcW w:w="2285" w:type="pct"/>
                  <w:tcBorders>
                    <w:tl2br w:val="nil"/>
                    <w:tr2bl w:val="nil"/>
                  </w:tcBorders>
                  <w:vAlign w:val="center"/>
                </w:tcPr>
                <w:p>
                  <w:pPr>
                    <w:pStyle w:val="35"/>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400300" cy="1752600"/>
                        <wp:effectExtent l="0" t="0" r="0" b="0"/>
                        <wp:docPr id="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pic:cNvPicPr>
                                  <a:picLocks noChangeAspect="1"/>
                                </pic:cNvPicPr>
                              </pic:nvPicPr>
                              <pic:blipFill>
                                <a:blip r:embed="rId27"/>
                                <a:stretch>
                                  <a:fillRect/>
                                </a:stretch>
                              </pic:blipFill>
                              <pic:spPr>
                                <a:xfrm>
                                  <a:off x="0" y="0"/>
                                  <a:ext cx="2400300" cy="1752600"/>
                                </a:xfrm>
                                <a:prstGeom prst="rect">
                                  <a:avLst/>
                                </a:prstGeom>
                                <a:noFill/>
                                <a:ln>
                                  <a:noFill/>
                                </a:ln>
                              </pic:spPr>
                            </pic:pic>
                          </a:graphicData>
                        </a:graphic>
                      </wp:inline>
                    </w:drawing>
                  </w:r>
                </w:p>
              </w:tc>
            </w:tr>
          </w:tbl>
          <w:p>
            <w:pPr>
              <w:pStyle w:val="4"/>
              <w:spacing w:line="360" w:lineRule="auto"/>
              <w:ind w:firstLine="480" w:firstLineChars="200"/>
              <w:rPr>
                <w:rFonts w:hint="default" w:ascii="Times New Roman" w:hAnsi="Times New Roman" w:eastAsia="宋体" w:cs="Times New Roman"/>
                <w:b w:val="0"/>
                <w:kern w:val="0"/>
                <w:sz w:val="24"/>
                <w:szCs w:val="24"/>
                <w:lang w:val="en-US" w:eastAsia="zh-CN"/>
              </w:rPr>
            </w:pPr>
            <w:r>
              <w:rPr>
                <w:rFonts w:hint="eastAsia" w:ascii="Times New Roman" w:hAnsi="Times New Roman" w:eastAsia="宋体" w:cs="Times New Roman"/>
                <w:b w:val="0"/>
                <w:kern w:val="0"/>
                <w:sz w:val="24"/>
                <w:szCs w:val="24"/>
                <w:lang w:val="en-US" w:eastAsia="zh-CN"/>
              </w:rPr>
              <w:t>由于本项目距离</w:t>
            </w:r>
            <w:r>
              <w:rPr>
                <w:rFonts w:hint="eastAsia" w:ascii="Times New Roman" w:hAnsi="Times New Roman" w:eastAsia="宋体"/>
                <w:b w:val="0"/>
                <w:kern w:val="0"/>
                <w:sz w:val="24"/>
                <w:szCs w:val="24"/>
              </w:rPr>
              <w:t>焦港河（如皋市）清水通道维护区</w:t>
            </w:r>
            <w:r>
              <w:rPr>
                <w:rFonts w:hint="eastAsia" w:ascii="Times New Roman" w:hAnsi="Times New Roman" w:eastAsia="宋体"/>
                <w:b w:val="0"/>
                <w:kern w:val="0"/>
                <w:sz w:val="24"/>
                <w:szCs w:val="24"/>
                <w:lang w:val="en-US" w:eastAsia="zh-CN"/>
              </w:rPr>
              <w:t>较近，针对性措施如下：</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1. 一般工业固废</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1）暂存场所规范化设置：一般固废暂存区设置于厂区，位于维护区主导风向下风向及地势较低区域，避免雨水冲刷导致淋溶水外溢。暂存区地面采用C30混凝土硬化，厚度≥200mm，渗透系数≤1.0×10⁻⁷cm/s，设置2%坡度的导流沟，收集的淋溶水经沉淀后回用于生产或纳入污水处理系统，严禁外排。</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2）转运过程污染防控：固废运输车辆采用密闭厢式货车，装载高度低于车厢挡板，顶部加盖防雨篷布，规划运输路线避开清水通道维护区范围，确需途经的应减速慢行，严禁在维护区内停靠、倾倒或遗撒。建立固废转运台账，记录运输时间、路线、接收单位等信息，实现全过程可追溯。</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2. 危险废物</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w:t>
            </w:r>
            <w:r>
              <w:rPr>
                <w:rFonts w:hint="eastAsia" w:ascii="Times New Roman" w:hAnsi="Times New Roman" w:eastAsia="宋体" w:cs="Times New Roman"/>
                <w:b w:val="0"/>
                <w:kern w:val="0"/>
                <w:sz w:val="24"/>
                <w:szCs w:val="24"/>
                <w:lang w:val="en-US" w:eastAsia="zh-CN"/>
              </w:rPr>
              <w:t>1</w:t>
            </w:r>
            <w:r>
              <w:rPr>
                <w:rFonts w:hint="default" w:ascii="Times New Roman" w:hAnsi="Times New Roman" w:eastAsia="宋体" w:cs="Times New Roman"/>
                <w:b w:val="0"/>
                <w:kern w:val="0"/>
                <w:sz w:val="24"/>
                <w:szCs w:val="24"/>
              </w:rPr>
              <w:t>）转移联单与运输管理：严格执行危险废物转移联单制度，委托具备危险货物运输资质的单位承运，运输路线经生态环境部门备案，明确禁止穿越清水通道维护区核心区。运输车辆配备GPS定位及视频监控系统，实现运输轨迹实时可查。</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3. 生活垃圾</w:t>
            </w:r>
          </w:p>
          <w:p>
            <w:pPr>
              <w:pStyle w:val="4"/>
              <w:spacing w:line="360" w:lineRule="auto"/>
              <w:ind w:firstLine="480" w:firstLineChars="200"/>
              <w:rPr>
                <w:rFonts w:hint="default" w:ascii="Times New Roman" w:hAnsi="Times New Roman" w:eastAsia="宋体" w:cs="Times New Roman"/>
                <w:b w:val="0"/>
                <w:kern w:val="0"/>
                <w:sz w:val="24"/>
                <w:szCs w:val="24"/>
              </w:rPr>
            </w:pPr>
            <w:r>
              <w:rPr>
                <w:rFonts w:hint="default" w:ascii="Times New Roman" w:hAnsi="Times New Roman" w:eastAsia="宋体" w:cs="Times New Roman"/>
                <w:b w:val="0"/>
                <w:kern w:val="0"/>
                <w:sz w:val="24"/>
                <w:szCs w:val="24"/>
              </w:rPr>
              <w:t>厂区内设置生活垃圾分类收集桶，委托环卫部门每日清运，禁止在清水通道维护区范围内倾倒、抛撒或堆放。</w:t>
            </w:r>
          </w:p>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kern w:val="0"/>
                <w:sz w:val="24"/>
                <w:szCs w:val="24"/>
              </w:rPr>
              <w:t>从本项目产生固废的处置情况来看，各类固废都得到了合理安全的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5、地下水、土壤环境影响和保护措施</w:t>
            </w:r>
          </w:p>
          <w:p>
            <w:pPr>
              <w:spacing w:line="360" w:lineRule="auto"/>
              <w:ind w:firstLine="480"/>
              <w:rPr>
                <w:rFonts w:hint="default" w:ascii="Times New Roman" w:hAnsi="Times New Roman" w:cs="Times New Roman"/>
                <w:sz w:val="24"/>
              </w:rPr>
            </w:pPr>
            <w:r>
              <w:rPr>
                <w:rFonts w:hint="default" w:ascii="Times New Roman" w:hAnsi="Times New Roman" w:cs="Times New Roman"/>
                <w:bCs/>
                <w:sz w:val="24"/>
              </w:rPr>
              <w:t>根据污染物泄漏的途径和生产功能单元所处的位置，厂区可划分为非污染防治区、一般污染防治区和重点污染防治区，</w:t>
            </w:r>
            <w:r>
              <w:rPr>
                <w:rFonts w:hint="default" w:ascii="Times New Roman" w:hAnsi="Times New Roman" w:cs="Times New Roman"/>
                <w:sz w:val="24"/>
              </w:rPr>
              <w:t>全厂分区防渗区划见表4-</w:t>
            </w:r>
            <w:r>
              <w:rPr>
                <w:rFonts w:hint="default" w:ascii="Times New Roman" w:hAnsi="Times New Roman" w:cs="Times New Roman"/>
                <w:sz w:val="24"/>
                <w:lang w:val="en-US" w:eastAsia="zh-CN"/>
              </w:rPr>
              <w:t>18</w:t>
            </w:r>
            <w:r>
              <w:rPr>
                <w:rFonts w:hint="default" w:ascii="Times New Roman" w:hAnsi="Times New Roman" w:cs="Times New Roman"/>
                <w:sz w:val="24"/>
              </w:rPr>
              <w:t>：</w:t>
            </w:r>
          </w:p>
          <w:p>
            <w:pPr>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18</w:t>
            </w:r>
            <w:r>
              <w:rPr>
                <w:rFonts w:hint="default" w:ascii="Times New Roman" w:hAnsi="Times New Roman" w:cs="Times New Roman"/>
                <w:b/>
                <w:bCs/>
                <w:sz w:val="24"/>
              </w:rPr>
              <w:t xml:space="preserve"> 本项目分区防渗方案及防渗措施表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1345"/>
              <w:gridCol w:w="1324"/>
              <w:gridCol w:w="45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13"/>
                    <w:spacing w:before="100" w:beforeAutospacing="1" w:after="100" w:afterAutospacing="1"/>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846" w:type="pct"/>
                  <w:tcBorders>
                    <w:tl2br w:val="nil"/>
                    <w:tr2bl w:val="nil"/>
                  </w:tcBorders>
                  <w:vAlign w:val="center"/>
                </w:tcPr>
                <w:p>
                  <w:pPr>
                    <w:pStyle w:val="13"/>
                    <w:spacing w:before="100" w:beforeAutospacing="1" w:after="100" w:afterAutospacing="1"/>
                    <w:jc w:val="center"/>
                    <w:rPr>
                      <w:rFonts w:hint="default" w:ascii="Times New Roman" w:hAnsi="Times New Roman" w:cs="Times New Roman"/>
                      <w:b/>
                      <w:szCs w:val="21"/>
                    </w:rPr>
                  </w:pPr>
                  <w:r>
                    <w:rPr>
                      <w:rFonts w:hint="default" w:ascii="Times New Roman" w:hAnsi="Times New Roman" w:cs="Times New Roman"/>
                      <w:b/>
                      <w:szCs w:val="21"/>
                    </w:rPr>
                    <w:t>防治分区</w:t>
                  </w:r>
                </w:p>
              </w:tc>
              <w:tc>
                <w:tcPr>
                  <w:tcW w:w="833" w:type="pct"/>
                  <w:tcBorders>
                    <w:tl2br w:val="nil"/>
                    <w:tr2bl w:val="nil"/>
                  </w:tcBorders>
                  <w:vAlign w:val="center"/>
                </w:tcPr>
                <w:p>
                  <w:pPr>
                    <w:pStyle w:val="13"/>
                    <w:spacing w:before="100" w:beforeAutospacing="1" w:after="100" w:afterAutospacing="1"/>
                    <w:jc w:val="center"/>
                    <w:rPr>
                      <w:rFonts w:hint="default" w:ascii="Times New Roman" w:hAnsi="Times New Roman" w:cs="Times New Roman"/>
                      <w:b/>
                      <w:szCs w:val="21"/>
                    </w:rPr>
                  </w:pPr>
                  <w:r>
                    <w:rPr>
                      <w:rFonts w:hint="default" w:ascii="Times New Roman" w:hAnsi="Times New Roman" w:cs="Times New Roman"/>
                      <w:b/>
                      <w:szCs w:val="21"/>
                    </w:rPr>
                    <w:t>分区位置</w:t>
                  </w:r>
                </w:p>
              </w:tc>
              <w:tc>
                <w:tcPr>
                  <w:tcW w:w="2857" w:type="pct"/>
                  <w:tcBorders>
                    <w:tl2br w:val="nil"/>
                    <w:tr2bl w:val="nil"/>
                  </w:tcBorders>
                  <w:vAlign w:val="center"/>
                </w:tcPr>
                <w:p>
                  <w:pPr>
                    <w:pStyle w:val="13"/>
                    <w:spacing w:before="100" w:beforeAutospacing="1" w:after="100" w:afterAutospacing="1"/>
                    <w:jc w:val="center"/>
                    <w:rPr>
                      <w:rFonts w:hint="default" w:ascii="Times New Roman" w:hAnsi="Times New Roman" w:cs="Times New Roman"/>
                      <w:b/>
                      <w:szCs w:val="21"/>
                    </w:rPr>
                  </w:pPr>
                  <w:r>
                    <w:rPr>
                      <w:rFonts w:hint="default" w:ascii="Times New Roman" w:hAnsi="Times New Roman" w:cs="Times New Roman"/>
                      <w:b/>
                      <w:szCs w:val="21"/>
                    </w:rPr>
                    <w:t>防渗要求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1</w:t>
                  </w:r>
                </w:p>
              </w:tc>
              <w:tc>
                <w:tcPr>
                  <w:tcW w:w="846"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重点污染</w:t>
                  </w:r>
                </w:p>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防治区</w:t>
                  </w:r>
                </w:p>
              </w:tc>
              <w:tc>
                <w:tcPr>
                  <w:tcW w:w="833" w:type="pct"/>
                  <w:tcBorders>
                    <w:tl2br w:val="nil"/>
                    <w:tr2bl w:val="nil"/>
                  </w:tcBorders>
                  <w:vAlign w:val="center"/>
                </w:tcPr>
                <w:p>
                  <w:pPr>
                    <w:pStyle w:val="13"/>
                    <w:spacing w:line="32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危废仓库、原料仓库、</w:t>
                  </w:r>
                  <w:r>
                    <w:rPr>
                      <w:rFonts w:hint="eastAsia" w:ascii="Times New Roman" w:hAnsi="Times New Roman" w:cs="Times New Roman"/>
                      <w:szCs w:val="21"/>
                      <w:lang w:val="en-US" w:eastAsia="zh-CN"/>
                    </w:rPr>
                    <w:t>表面处理区、</w:t>
                  </w:r>
                  <w:r>
                    <w:rPr>
                      <w:rFonts w:hint="default" w:ascii="Times New Roman" w:hAnsi="Times New Roman" w:cs="Times New Roman"/>
                      <w:szCs w:val="21"/>
                    </w:rPr>
                    <w:t>事故应急池</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隔油池、化粪池</w:t>
                  </w:r>
                  <w:r>
                    <w:rPr>
                      <w:rFonts w:hint="eastAsia" w:ascii="Times New Roman" w:hAnsi="Times New Roman" w:cs="Times New Roman"/>
                      <w:color w:val="auto"/>
                      <w:szCs w:val="21"/>
                      <w:lang w:val="en-US" w:eastAsia="zh-CN"/>
                    </w:rPr>
                    <w:t>、冷却塔、喷淋塔区域</w:t>
                  </w:r>
                </w:p>
              </w:tc>
              <w:tc>
                <w:tcPr>
                  <w:tcW w:w="2857"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依据国家危险贮存标准要求设计、施工，采用 200mm 厚C15砼垫层随打随抹光，设置钢筋混凝土围堰，并采用底部加设土工膜进行防渗，使渗透系数不大于1.0×10</w:t>
                  </w:r>
                  <w:r>
                    <w:rPr>
                      <w:rFonts w:hint="default" w:ascii="Times New Roman" w:hAnsi="Times New Roman" w:cs="Times New Roman"/>
                      <w:szCs w:val="21"/>
                      <w:vertAlign w:val="superscript"/>
                    </w:rPr>
                    <w:t>-10</w:t>
                  </w:r>
                  <w:r>
                    <w:rPr>
                      <w:rFonts w:hint="default" w:ascii="Times New Roman" w:hAnsi="Times New Roman" w:cs="Times New Roman"/>
                      <w:szCs w:val="21"/>
                    </w:rPr>
                    <w:t>cm/s，且防雨和防晒。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463"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2</w:t>
                  </w:r>
                </w:p>
              </w:tc>
              <w:tc>
                <w:tcPr>
                  <w:tcW w:w="846"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一般污染</w:t>
                  </w:r>
                </w:p>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防治区</w:t>
                  </w:r>
                </w:p>
              </w:tc>
              <w:tc>
                <w:tcPr>
                  <w:tcW w:w="833"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车间一（生产区域）</w:t>
                  </w:r>
                </w:p>
              </w:tc>
              <w:tc>
                <w:tcPr>
                  <w:tcW w:w="2857"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地面基础防渗和构筑物防渗等级达到渗透系数≤1.0×10</w:t>
                  </w:r>
                  <w:r>
                    <w:rPr>
                      <w:rFonts w:hint="default" w:ascii="Times New Roman" w:hAnsi="Times New Roman" w:cs="Times New Roman"/>
                      <w:szCs w:val="21"/>
                      <w:vertAlign w:val="superscript"/>
                    </w:rPr>
                    <w:t>-7</w:t>
                  </w:r>
                  <w:r>
                    <w:rPr>
                      <w:rFonts w:hint="default" w:ascii="Times New Roman" w:hAnsi="Times New Roman" w:cs="Times New Roman"/>
                      <w:szCs w:val="21"/>
                    </w:rPr>
                    <w:t>cm/s，相当于不小于1.5m厚的黏土防护层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3"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4</w:t>
                  </w:r>
                </w:p>
              </w:tc>
              <w:tc>
                <w:tcPr>
                  <w:tcW w:w="846"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简单防渗区</w:t>
                  </w:r>
                </w:p>
              </w:tc>
              <w:tc>
                <w:tcPr>
                  <w:tcW w:w="833"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其他区域</w:t>
                  </w:r>
                </w:p>
              </w:tc>
              <w:tc>
                <w:tcPr>
                  <w:tcW w:w="2857" w:type="pct"/>
                  <w:tcBorders>
                    <w:tl2br w:val="nil"/>
                    <w:tr2bl w:val="nil"/>
                  </w:tcBorders>
                  <w:vAlign w:val="center"/>
                </w:tcPr>
                <w:p>
                  <w:pPr>
                    <w:pStyle w:val="13"/>
                    <w:spacing w:line="320" w:lineRule="exact"/>
                    <w:jc w:val="center"/>
                    <w:rPr>
                      <w:rFonts w:hint="default" w:ascii="Times New Roman" w:hAnsi="Times New Roman" w:cs="Times New Roman"/>
                      <w:szCs w:val="21"/>
                    </w:rPr>
                  </w:pPr>
                  <w:r>
                    <w:rPr>
                      <w:rFonts w:hint="default" w:ascii="Times New Roman" w:hAnsi="Times New Roman" w:cs="Times New Roman"/>
                      <w:szCs w:val="21"/>
                    </w:rPr>
                    <w:t>一般地面硬化</w:t>
                  </w:r>
                </w:p>
              </w:tc>
            </w:tr>
          </w:tbl>
          <w:p>
            <w:pPr>
              <w:pStyle w:val="4"/>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项目建成后厂区内将进行地面硬化处理，生产车间做好基础防渗处理，贮存场所及生产设施基本不存在污染地下水及土壤的途径，对地下水及土壤不会产生不良影响，无需对地下水及土壤进行跟踪监测。</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6、生态环境影响分析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本项目用地范围内无生态环境保护目标，项目性质、选址符合区域生态功能区划，不会对生态环境产生影响。</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7、环境风险</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（1）风险调查</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①危险物质调查</w:t>
            </w:r>
          </w:p>
          <w:p>
            <w:pPr>
              <w:widowControl/>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按《建设项目环境风险评价技术导则》（HJ169-2018）附录B进行突发环境事件风险物质判定，全厂涉及的环境风险物质为戊烷（</w:t>
            </w:r>
            <w:r>
              <w:rPr>
                <w:rFonts w:hint="eastAsia" w:cs="Times New Roman"/>
                <w:sz w:val="24"/>
                <w:lang w:val="en-US" w:eastAsia="zh-CN"/>
              </w:rPr>
              <w:t>来自</w:t>
            </w:r>
            <w:r>
              <w:rPr>
                <w:rFonts w:hint="default" w:ascii="Times New Roman" w:hAnsi="Times New Roman" w:cs="Times New Roman"/>
                <w:sz w:val="24"/>
              </w:rPr>
              <w:t>EPS）、</w:t>
            </w:r>
            <w:r>
              <w:rPr>
                <w:rFonts w:hint="eastAsia" w:cs="Times New Roman"/>
                <w:sz w:val="24"/>
                <w:lang w:val="en-US" w:eastAsia="zh-CN"/>
              </w:rPr>
              <w:t>酚醛树脂（甲醛）、塑粉、聚异氰酸酯、</w:t>
            </w:r>
            <w:r>
              <w:rPr>
                <w:rFonts w:hint="default" w:ascii="Times New Roman" w:hAnsi="Times New Roman" w:cs="Times New Roman"/>
                <w:sz w:val="24"/>
              </w:rPr>
              <w:t>三乙胺、</w:t>
            </w:r>
            <w:r>
              <w:rPr>
                <w:rFonts w:hint="default" w:ascii="Times New Roman" w:hAnsi="Times New Roman" w:cs="Times New Roman"/>
                <w:sz w:val="24"/>
                <w:lang w:val="en-US" w:eastAsia="zh-CN"/>
              </w:rPr>
              <w:t>油漆</w:t>
            </w:r>
            <w:r>
              <w:rPr>
                <w:rFonts w:hint="eastAsia" w:cs="Times New Roman"/>
                <w:sz w:val="24"/>
                <w:lang w:val="en-US" w:eastAsia="zh-CN"/>
              </w:rPr>
              <w:t>（二甲苯）</w:t>
            </w:r>
            <w:r>
              <w:rPr>
                <w:rFonts w:hint="default" w:ascii="Times New Roman" w:hAnsi="Times New Roman" w:cs="Times New Roman"/>
                <w:sz w:val="24"/>
                <w:lang w:val="en-US" w:eastAsia="zh-CN"/>
              </w:rPr>
              <w:t>、稀释剂</w:t>
            </w:r>
            <w:r>
              <w:rPr>
                <w:rFonts w:hint="eastAsia" w:cs="Times New Roman"/>
                <w:sz w:val="24"/>
                <w:lang w:val="en-US" w:eastAsia="zh-CN"/>
              </w:rPr>
              <w:t>（二甲苯）</w:t>
            </w:r>
            <w:r>
              <w:rPr>
                <w:rFonts w:hint="default" w:ascii="Times New Roman" w:hAnsi="Times New Roman" w:cs="Times New Roman"/>
                <w:sz w:val="24"/>
              </w:rPr>
              <w:t>、精磨液</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腻子</w:t>
            </w:r>
            <w:r>
              <w:rPr>
                <w:rFonts w:hint="eastAsia" w:cs="Times New Roman"/>
                <w:sz w:val="24"/>
                <w:lang w:val="en-US" w:eastAsia="zh-CN"/>
              </w:rPr>
              <w:t>（苯乙烯）</w:t>
            </w:r>
            <w:r>
              <w:rPr>
                <w:rFonts w:hint="default" w:ascii="Times New Roman" w:hAnsi="Times New Roman" w:cs="Times New Roman"/>
                <w:sz w:val="24"/>
              </w:rPr>
              <w:t>、导轨油、防锈油、危险废物、</w:t>
            </w:r>
            <w:r>
              <w:rPr>
                <w:rFonts w:hint="eastAsia" w:cs="Times New Roman"/>
                <w:sz w:val="24"/>
                <w:lang w:val="en-US" w:eastAsia="zh-CN"/>
              </w:rPr>
              <w:t>磷酸、</w:t>
            </w:r>
            <w:r>
              <w:rPr>
                <w:rFonts w:hint="default" w:ascii="Times New Roman" w:hAnsi="Times New Roman" w:cs="Times New Roman"/>
                <w:sz w:val="24"/>
              </w:rPr>
              <w:t>天然气。</w:t>
            </w:r>
          </w:p>
          <w:p>
            <w:pPr>
              <w:widowControl/>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②生产系统危险性调查</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本项目戊烷（EPS）、</w:t>
            </w:r>
            <w:r>
              <w:rPr>
                <w:rFonts w:hint="eastAsia" w:cs="Times New Roman"/>
                <w:sz w:val="24"/>
                <w:lang w:val="en-US" w:eastAsia="zh-CN"/>
              </w:rPr>
              <w:t>酚醛树脂（甲醛）、聚异氰酸酯、</w:t>
            </w:r>
            <w:r>
              <w:rPr>
                <w:rFonts w:hint="default" w:ascii="Times New Roman" w:hAnsi="Times New Roman" w:cs="Times New Roman"/>
                <w:sz w:val="24"/>
              </w:rPr>
              <w:t>三乙胺、</w:t>
            </w:r>
            <w:r>
              <w:rPr>
                <w:rFonts w:hint="default" w:ascii="Times New Roman" w:hAnsi="Times New Roman" w:cs="Times New Roman"/>
                <w:sz w:val="24"/>
                <w:lang w:val="en-US" w:eastAsia="zh-CN"/>
              </w:rPr>
              <w:t>油漆</w:t>
            </w:r>
            <w:r>
              <w:rPr>
                <w:rFonts w:hint="eastAsia" w:cs="Times New Roman"/>
                <w:sz w:val="24"/>
                <w:lang w:val="en-US" w:eastAsia="zh-CN"/>
              </w:rPr>
              <w:t>（二甲苯）</w:t>
            </w:r>
            <w:r>
              <w:rPr>
                <w:rFonts w:hint="default" w:ascii="Times New Roman" w:hAnsi="Times New Roman" w:cs="Times New Roman"/>
                <w:sz w:val="24"/>
                <w:lang w:val="en-US" w:eastAsia="zh-CN"/>
              </w:rPr>
              <w:t>、稀释剂</w:t>
            </w:r>
            <w:r>
              <w:rPr>
                <w:rFonts w:hint="eastAsia" w:cs="Times New Roman"/>
                <w:sz w:val="24"/>
                <w:lang w:val="en-US" w:eastAsia="zh-CN"/>
              </w:rPr>
              <w:t>（二甲苯）</w:t>
            </w:r>
            <w:r>
              <w:rPr>
                <w:rFonts w:hint="default" w:ascii="Times New Roman" w:hAnsi="Times New Roman" w:cs="Times New Roman"/>
                <w:sz w:val="24"/>
              </w:rPr>
              <w:t>、</w:t>
            </w:r>
            <w:r>
              <w:rPr>
                <w:rFonts w:hint="eastAsia" w:cs="Times New Roman"/>
                <w:sz w:val="24"/>
                <w:lang w:val="en-US" w:eastAsia="zh-CN"/>
              </w:rPr>
              <w:t>腻子（苯乙烯）塑粉、</w:t>
            </w:r>
            <w:r>
              <w:rPr>
                <w:rFonts w:hint="default" w:ascii="Times New Roman" w:hAnsi="Times New Roman" w:cs="Times New Roman"/>
                <w:sz w:val="24"/>
              </w:rPr>
              <w:t>精磨液、导轨油、防锈油等原料贮存于原料仓库，危险废物贮存于危险固废库，天然气存在于厂区天然气管道</w:t>
            </w:r>
            <w:r>
              <w:rPr>
                <w:rFonts w:hint="eastAsia" w:cs="Times New Roman"/>
                <w:sz w:val="24"/>
                <w:lang w:eastAsia="zh-CN"/>
              </w:rPr>
              <w:t>，</w:t>
            </w:r>
            <w:r>
              <w:rPr>
                <w:rFonts w:hint="eastAsia" w:cs="Times New Roman"/>
                <w:sz w:val="24"/>
                <w:lang w:val="en-US" w:eastAsia="zh-CN"/>
              </w:rPr>
              <w:t>磷酸存在于磷酸喷淋塔中</w:t>
            </w:r>
            <w:r>
              <w:rPr>
                <w:rFonts w:hint="default" w:ascii="Times New Roman" w:hAnsi="Times New Roman" w:cs="Times New Roman"/>
                <w:sz w:val="24"/>
              </w:rPr>
              <w:t>，风险源为原料仓库、危废库、天然气管道。</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（2）风险潜势</w:t>
            </w:r>
          </w:p>
          <w:p>
            <w:pPr>
              <w:widowControl/>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对照《建设项目环境风险评价技术导则》（HJ169-2018）附录B，本项目危险物质数量与临界量的比值Q见下表。</w:t>
            </w:r>
          </w:p>
          <w:p>
            <w:pPr>
              <w:jc w:val="center"/>
              <w:rPr>
                <w:rFonts w:hint="default" w:ascii="Times New Roman" w:hAnsi="Times New Roman" w:cs="Times New Roman"/>
                <w:b/>
                <w:szCs w:val="21"/>
              </w:rPr>
            </w:pPr>
            <w:r>
              <w:rPr>
                <w:rFonts w:hint="default" w:ascii="Times New Roman" w:hAnsi="Times New Roman" w:cs="Times New Roman"/>
                <w:b/>
                <w:sz w:val="24"/>
              </w:rPr>
              <w:t>表4-</w:t>
            </w:r>
            <w:r>
              <w:rPr>
                <w:rFonts w:hint="default" w:ascii="Times New Roman" w:hAnsi="Times New Roman" w:cs="Times New Roman"/>
                <w:b/>
                <w:sz w:val="24"/>
                <w:lang w:val="en-US" w:eastAsia="zh-CN"/>
              </w:rPr>
              <w:t>19</w:t>
            </w:r>
            <w:r>
              <w:rPr>
                <w:rFonts w:hint="default" w:ascii="Times New Roman" w:hAnsi="Times New Roman" w:cs="Times New Roman"/>
                <w:b/>
                <w:sz w:val="24"/>
              </w:rPr>
              <w:t xml:space="preserve"> 危险物质与临界量比值</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290"/>
              <w:gridCol w:w="1473"/>
              <w:gridCol w:w="1192"/>
              <w:gridCol w:w="1127"/>
              <w:gridCol w:w="1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vAlign w:val="center"/>
                </w:tcPr>
                <w:p>
                  <w:pPr>
                    <w:adjustRightInd w:val="0"/>
                    <w:snapToGrid w:val="0"/>
                    <w:spacing w:line="360" w:lineRule="exact"/>
                    <w:jc w:val="center"/>
                    <w:rPr>
                      <w:rFonts w:hint="default" w:ascii="Times New Roman" w:hAnsi="Times New Roman" w:cs="Times New Roman"/>
                      <w:b/>
                      <w:bCs/>
                      <w:kern w:val="24"/>
                      <w:szCs w:val="21"/>
                    </w:rPr>
                  </w:pPr>
                  <w:r>
                    <w:rPr>
                      <w:rFonts w:hint="default" w:ascii="Times New Roman" w:hAnsi="Times New Roman" w:cs="Times New Roman"/>
                      <w:b/>
                      <w:bCs/>
                      <w:kern w:val="24"/>
                      <w:szCs w:val="21"/>
                    </w:rPr>
                    <w:t>序号</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b/>
                      <w:bCs/>
                      <w:kern w:val="24"/>
                      <w:szCs w:val="21"/>
                    </w:rPr>
                  </w:pPr>
                  <w:r>
                    <w:rPr>
                      <w:rFonts w:hint="default" w:ascii="Times New Roman" w:hAnsi="Times New Roman" w:cs="Times New Roman"/>
                      <w:b/>
                      <w:bCs/>
                      <w:kern w:val="24"/>
                      <w:szCs w:val="21"/>
                    </w:rPr>
                    <w:t>危险物质名称</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b/>
                      <w:bCs/>
                      <w:kern w:val="24"/>
                      <w:szCs w:val="21"/>
                    </w:rPr>
                  </w:pPr>
                  <w:r>
                    <w:rPr>
                      <w:rFonts w:hint="default" w:ascii="Times New Roman" w:hAnsi="Times New Roman" w:cs="Times New Roman"/>
                      <w:b/>
                      <w:bCs/>
                      <w:kern w:val="24"/>
                      <w:szCs w:val="21"/>
                    </w:rPr>
                    <w:t>最大存在总量qn(t)</w:t>
                  </w:r>
                </w:p>
              </w:tc>
              <w:tc>
                <w:tcPr>
                  <w:tcW w:w="749" w:type="pct"/>
                  <w:tcBorders>
                    <w:tl2br w:val="nil"/>
                    <w:tr2bl w:val="nil"/>
                  </w:tcBorders>
                  <w:vAlign w:val="center"/>
                </w:tcPr>
                <w:p>
                  <w:pPr>
                    <w:adjustRightInd w:val="0"/>
                    <w:snapToGrid w:val="0"/>
                    <w:spacing w:line="360" w:lineRule="exact"/>
                    <w:jc w:val="center"/>
                    <w:rPr>
                      <w:rFonts w:hint="default" w:ascii="Times New Roman" w:hAnsi="Times New Roman" w:cs="Times New Roman"/>
                      <w:b/>
                      <w:bCs/>
                      <w:kern w:val="24"/>
                      <w:szCs w:val="21"/>
                    </w:rPr>
                  </w:pPr>
                  <w:r>
                    <w:rPr>
                      <w:rFonts w:hint="default" w:ascii="Times New Roman" w:hAnsi="Times New Roman" w:cs="Times New Roman"/>
                      <w:b/>
                      <w:bCs/>
                      <w:kern w:val="24"/>
                      <w:szCs w:val="21"/>
                    </w:rPr>
                    <w:t>临界量Qn(t)</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b/>
                      <w:bCs/>
                      <w:kern w:val="24"/>
                      <w:szCs w:val="21"/>
                    </w:rPr>
                  </w:pPr>
                  <w:r>
                    <w:rPr>
                      <w:rFonts w:hint="default" w:ascii="Times New Roman" w:hAnsi="Times New Roman" w:cs="Times New Roman"/>
                      <w:b/>
                      <w:bCs/>
                      <w:kern w:val="24"/>
                      <w:szCs w:val="21"/>
                    </w:rPr>
                    <w:t>qn/Qn</w:t>
                  </w:r>
                </w:p>
              </w:tc>
              <w:tc>
                <w:tcPr>
                  <w:tcW w:w="758" w:type="pct"/>
                  <w:tcBorders>
                    <w:tl2br w:val="nil"/>
                    <w:tr2bl w:val="nil"/>
                  </w:tcBorders>
                  <w:vAlign w:val="center"/>
                </w:tcPr>
                <w:p>
                  <w:pPr>
                    <w:adjustRightInd w:val="0"/>
                    <w:snapToGrid w:val="0"/>
                    <w:spacing w:line="360" w:lineRule="exact"/>
                    <w:jc w:val="center"/>
                    <w:rPr>
                      <w:rFonts w:hint="default" w:ascii="Times New Roman" w:hAnsi="Times New Roman" w:cs="Times New Roman"/>
                      <w:b/>
                      <w:bCs/>
                      <w:kern w:val="24"/>
                      <w:szCs w:val="21"/>
                    </w:rPr>
                  </w:pPr>
                  <w:r>
                    <w:rPr>
                      <w:rFonts w:hint="default" w:ascii="Times New Roman" w:hAnsi="Times New Roman" w:cs="Times New Roman"/>
                      <w:b/>
                      <w:bCs/>
                      <w:kern w:val="24"/>
                      <w:szCs w:val="21"/>
                    </w:rPr>
                    <w:t>风险源分布情况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24"/>
                      <w:szCs w:val="21"/>
                    </w:rPr>
                  </w:pPr>
                  <w:r>
                    <w:rPr>
                      <w:rFonts w:hint="default" w:ascii="Times New Roman" w:hAnsi="Times New Roman" w:cs="Times New Roman"/>
                      <w:kern w:val="24"/>
                      <w:szCs w:val="21"/>
                    </w:rPr>
                    <w:t>1</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戊烷</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0.06</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kern w:val="0"/>
                      <w:szCs w:val="21"/>
                    </w:rPr>
                  </w:pPr>
                  <w:r>
                    <w:rPr>
                      <w:rFonts w:hint="eastAsia" w:ascii="Times New Roman" w:hAnsi="Times New Roman" w:cs="Times New Roman"/>
                      <w:kern w:val="0"/>
                      <w:szCs w:val="21"/>
                      <w:lang w:val="en-US" w:eastAsia="zh-CN"/>
                    </w:rPr>
                    <w:t>0.006</w:t>
                  </w:r>
                </w:p>
              </w:tc>
              <w:tc>
                <w:tcPr>
                  <w:tcW w:w="758" w:type="pct"/>
                  <w:vMerge w:val="restar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kern w:val="24"/>
                      <w:szCs w:val="21"/>
                      <w:lang w:val="en-US" w:eastAsia="zh-CN"/>
                    </w:rPr>
                  </w:pPr>
                  <w:r>
                    <w:rPr>
                      <w:rFonts w:hint="eastAsia" w:cs="Times New Roman"/>
                      <w:kern w:val="24"/>
                      <w:szCs w:val="21"/>
                      <w:lang w:val="en-US" w:eastAsia="zh-CN"/>
                    </w:rPr>
                    <w:t>2</w:t>
                  </w:r>
                </w:p>
              </w:tc>
              <w:tc>
                <w:tcPr>
                  <w:tcW w:w="1440" w:type="pct"/>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cs="Times New Roman"/>
                      <w:szCs w:val="21"/>
                      <w:lang w:val="en-US" w:eastAsia="zh-CN"/>
                    </w:rPr>
                    <w:t>酚醛树脂</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0.9</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50</w:t>
                  </w:r>
                  <w:r>
                    <w:rPr>
                      <w:rFonts w:hint="default" w:ascii="Times New Roman" w:hAnsi="Times New Roman" w:cs="Times New Roman"/>
                      <w:kern w:val="0"/>
                      <w:szCs w:val="21"/>
                      <w:vertAlign w:val="superscript"/>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0.018</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eastAsia" w:ascii="Times New Roman" w:hAnsi="Times New Roman" w:eastAsia="宋体" w:cs="Times New Roman"/>
                      <w:kern w:val="24"/>
                      <w:sz w:val="21"/>
                      <w:szCs w:val="21"/>
                      <w:lang w:val="en-US" w:eastAsia="zh-CN" w:bidi="ar-SA"/>
                    </w:rPr>
                  </w:pPr>
                  <w:r>
                    <w:rPr>
                      <w:rFonts w:hint="eastAsia" w:cs="Times New Roman"/>
                      <w:kern w:val="24"/>
                      <w:szCs w:val="21"/>
                      <w:lang w:val="en-US" w:eastAsia="zh-CN"/>
                    </w:rPr>
                    <w:t>3</w:t>
                  </w:r>
                </w:p>
              </w:tc>
              <w:tc>
                <w:tcPr>
                  <w:tcW w:w="1440" w:type="pct"/>
                  <w:tcBorders>
                    <w:tl2br w:val="nil"/>
                    <w:tr2bl w:val="nil"/>
                  </w:tcBorders>
                  <w:vAlign w:val="center"/>
                </w:tcPr>
                <w:p>
                  <w:pPr>
                    <w:adjustRightInd w:val="0"/>
                    <w:snapToGrid w:val="0"/>
                    <w:spacing w:line="360" w:lineRule="exact"/>
                    <w:jc w:val="center"/>
                    <w:rPr>
                      <w:rFonts w:hint="default" w:cs="Times New Roman"/>
                      <w:szCs w:val="21"/>
                      <w:lang w:val="en-US" w:eastAsia="zh-CN"/>
                    </w:rPr>
                  </w:pPr>
                  <w:r>
                    <w:rPr>
                      <w:rFonts w:hint="eastAsia" w:cs="Times New Roman"/>
                      <w:szCs w:val="21"/>
                      <w:lang w:val="en-US" w:eastAsia="zh-CN"/>
                    </w:rPr>
                    <w:t>酚类</w:t>
                  </w:r>
                </w:p>
              </w:tc>
              <w:tc>
                <w:tcPr>
                  <w:tcW w:w="926" w:type="pct"/>
                  <w:tcBorders>
                    <w:tl2br w:val="nil"/>
                    <w:tr2bl w:val="nil"/>
                  </w:tcBorders>
                  <w:vAlign w:val="center"/>
                </w:tcPr>
                <w:p>
                  <w:pPr>
                    <w:adjustRightInd w:val="0"/>
                    <w:snapToGrid w:val="0"/>
                    <w:spacing w:line="360" w:lineRule="exact"/>
                    <w:jc w:val="center"/>
                    <w:rPr>
                      <w:rFonts w:hint="default" w:cs="Times New Roman"/>
                      <w:szCs w:val="21"/>
                      <w:lang w:val="en-US" w:eastAsia="zh-CN"/>
                    </w:rPr>
                  </w:pPr>
                  <w:r>
                    <w:rPr>
                      <w:rFonts w:hint="eastAsia" w:cs="Times New Roman"/>
                      <w:szCs w:val="21"/>
                      <w:lang w:val="en-US" w:eastAsia="zh-CN"/>
                    </w:rPr>
                    <w:t>0.009</w:t>
                  </w:r>
                </w:p>
              </w:tc>
              <w:tc>
                <w:tcPr>
                  <w:tcW w:w="749" w:type="pct"/>
                  <w:tcBorders>
                    <w:tl2br w:val="nil"/>
                    <w:tr2bl w:val="nil"/>
                  </w:tcBorders>
                  <w:vAlign w:val="center"/>
                </w:tcPr>
                <w:p>
                  <w:pPr>
                    <w:widowControl/>
                    <w:adjustRightInd w:val="0"/>
                    <w:snapToGrid w:val="0"/>
                    <w:spacing w:line="360" w:lineRule="exact"/>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5</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cs="Times New Roman"/>
                      <w:kern w:val="0"/>
                      <w:szCs w:val="21"/>
                      <w:lang w:val="en-US" w:eastAsia="zh-CN"/>
                    </w:rPr>
                    <w:t>0.0018</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eastAsia" w:ascii="Times New Roman" w:hAnsi="Times New Roman" w:eastAsia="宋体" w:cs="Times New Roman"/>
                      <w:kern w:val="24"/>
                      <w:sz w:val="21"/>
                      <w:szCs w:val="21"/>
                      <w:lang w:val="en-US" w:eastAsia="zh-CN" w:bidi="ar-SA"/>
                    </w:rPr>
                  </w:pPr>
                  <w:r>
                    <w:rPr>
                      <w:rFonts w:hint="eastAsia" w:cs="Times New Roman"/>
                      <w:kern w:val="24"/>
                      <w:szCs w:val="21"/>
                      <w:lang w:val="en-US" w:eastAsia="zh-CN"/>
                    </w:rPr>
                    <w:t>4</w:t>
                  </w:r>
                </w:p>
              </w:tc>
              <w:tc>
                <w:tcPr>
                  <w:tcW w:w="1440" w:type="pct"/>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cs="Times New Roman"/>
                      <w:szCs w:val="21"/>
                      <w:lang w:val="en-US" w:eastAsia="zh-CN"/>
                    </w:rPr>
                    <w:t>甲醛</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0.0018</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0.5</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0.0036</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Cs w:val="21"/>
                      <w:lang w:val="en-US" w:eastAsia="zh-CN"/>
                    </w:rPr>
                    <w:t>5</w:t>
                  </w:r>
                </w:p>
              </w:tc>
              <w:tc>
                <w:tcPr>
                  <w:tcW w:w="1440" w:type="pct"/>
                  <w:tcBorders>
                    <w:tl2br w:val="nil"/>
                    <w:tr2bl w:val="nil"/>
                  </w:tcBorders>
                  <w:vAlign w:val="center"/>
                </w:tcPr>
                <w:p>
                  <w:pPr>
                    <w:adjustRightInd w:val="0"/>
                    <w:snapToGrid w:val="0"/>
                    <w:spacing w:line="360" w:lineRule="exact"/>
                    <w:jc w:val="center"/>
                    <w:rPr>
                      <w:rFonts w:hint="default" w:cs="Times New Roman"/>
                      <w:szCs w:val="21"/>
                      <w:lang w:val="en-US" w:eastAsia="zh-CN"/>
                    </w:rPr>
                  </w:pPr>
                  <w:r>
                    <w:rPr>
                      <w:rFonts w:hint="eastAsia" w:cs="Times New Roman"/>
                      <w:szCs w:val="21"/>
                      <w:lang w:val="en-US" w:eastAsia="zh-CN"/>
                    </w:rPr>
                    <w:t>聚异氰酸酯</w:t>
                  </w:r>
                </w:p>
              </w:tc>
              <w:tc>
                <w:tcPr>
                  <w:tcW w:w="926" w:type="pct"/>
                  <w:tcBorders>
                    <w:tl2br w:val="nil"/>
                    <w:tr2bl w:val="nil"/>
                  </w:tcBorders>
                  <w:vAlign w:val="center"/>
                </w:tcPr>
                <w:p>
                  <w:pPr>
                    <w:adjustRightInd w:val="0"/>
                    <w:snapToGrid w:val="0"/>
                    <w:spacing w:line="360" w:lineRule="exact"/>
                    <w:jc w:val="center"/>
                    <w:rPr>
                      <w:rFonts w:hint="default" w:cs="Times New Roman"/>
                      <w:szCs w:val="21"/>
                      <w:lang w:val="en-US" w:eastAsia="zh-CN"/>
                    </w:rPr>
                  </w:pPr>
                  <w:r>
                    <w:rPr>
                      <w:rFonts w:hint="eastAsia" w:cs="Times New Roman"/>
                      <w:szCs w:val="21"/>
                      <w:lang w:val="en-US" w:eastAsia="zh-CN"/>
                    </w:rPr>
                    <w:t>0.9</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50</w:t>
                  </w:r>
                  <w:r>
                    <w:rPr>
                      <w:rFonts w:hint="default" w:ascii="Times New Roman" w:hAnsi="Times New Roman" w:cs="Times New Roman"/>
                      <w:kern w:val="0"/>
                      <w:szCs w:val="21"/>
                      <w:vertAlign w:val="superscript"/>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0.018</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eastAsia" w:ascii="Times New Roman" w:hAnsi="Times New Roman" w:eastAsia="宋体" w:cs="Times New Roman"/>
                      <w:kern w:val="24"/>
                      <w:sz w:val="21"/>
                      <w:szCs w:val="21"/>
                      <w:lang w:val="en-US" w:eastAsia="zh-CN" w:bidi="ar-SA"/>
                    </w:rPr>
                  </w:pPr>
                  <w:r>
                    <w:rPr>
                      <w:rFonts w:hint="eastAsia" w:cs="Times New Roman"/>
                      <w:kern w:val="24"/>
                      <w:szCs w:val="21"/>
                      <w:lang w:val="en-US" w:eastAsia="zh-CN"/>
                    </w:rPr>
                    <w:t>6</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三乙胺</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eastAsia" w:cs="Times New Roman"/>
                      <w:szCs w:val="21"/>
                      <w:lang w:val="en-US" w:eastAsia="zh-CN"/>
                    </w:rPr>
                    <w:t>02</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50</w:t>
                  </w:r>
                  <w:r>
                    <w:rPr>
                      <w:rFonts w:hint="default" w:ascii="Times New Roman" w:hAnsi="Times New Roman" w:cs="Times New Roman"/>
                      <w:kern w:val="0"/>
                      <w:szCs w:val="21"/>
                      <w:vertAlign w:val="superscript"/>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rPr>
                  </w:pPr>
                  <w:r>
                    <w:rPr>
                      <w:rFonts w:hint="eastAsia" w:ascii="Times New Roman" w:hAnsi="Times New Roman" w:cs="Times New Roman"/>
                      <w:kern w:val="0"/>
                      <w:szCs w:val="21"/>
                      <w:lang w:val="en-US" w:eastAsia="zh-CN"/>
                    </w:rPr>
                    <w:t>0.00</w:t>
                  </w:r>
                  <w:r>
                    <w:rPr>
                      <w:rFonts w:hint="eastAsia" w:cs="Times New Roman"/>
                      <w:kern w:val="0"/>
                      <w:szCs w:val="21"/>
                      <w:lang w:val="en-US" w:eastAsia="zh-CN"/>
                    </w:rPr>
                    <w:t>04</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eastAsia"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7</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油漆</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eastAsia" w:cs="Times New Roman"/>
                      <w:kern w:val="0"/>
                      <w:szCs w:val="21"/>
                      <w:lang w:val="en-US" w:eastAsia="zh-CN"/>
                    </w:rPr>
                    <w:t>50</w:t>
                  </w:r>
                  <w:r>
                    <w:rPr>
                      <w:rFonts w:hint="default" w:ascii="Times New Roman" w:hAnsi="Times New Roman" w:cs="Times New Roman"/>
                      <w:kern w:val="0"/>
                      <w:szCs w:val="21"/>
                      <w:vertAlign w:val="superscript"/>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0.006</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Cs w:val="21"/>
                      <w:lang w:val="en-US" w:eastAsia="zh-CN"/>
                    </w:rPr>
                    <w:t>8</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稀释剂</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0.03</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50</w:t>
                  </w:r>
                  <w:r>
                    <w:rPr>
                      <w:rFonts w:hint="default" w:ascii="Times New Roman" w:hAnsi="Times New Roman" w:cs="Times New Roman"/>
                      <w:kern w:val="0"/>
                      <w:szCs w:val="21"/>
                      <w:vertAlign w:val="superscript"/>
                      <w:lang w:val="en-US" w:eastAsia="zh-CN"/>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0.0006</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eastAsia"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9</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eastAsia" w:cs="Times New Roman"/>
                      <w:szCs w:val="21"/>
                      <w:lang w:val="en-US" w:eastAsia="zh-CN"/>
                    </w:rPr>
                    <w:t>二甲苯</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eastAsia" w:cs="Times New Roman"/>
                      <w:szCs w:val="21"/>
                      <w:lang w:val="en-US" w:eastAsia="zh-CN"/>
                    </w:rPr>
                    <w:t>0.0282</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lang w:val="en-US" w:eastAsia="zh-CN"/>
                    </w:rPr>
                  </w:pPr>
                  <w:r>
                    <w:rPr>
                      <w:rFonts w:hint="eastAsia" w:cs="Times New Roman"/>
                      <w:kern w:val="0"/>
                      <w:szCs w:val="21"/>
                      <w:lang w:val="en-US" w:eastAsia="zh-CN"/>
                    </w:rPr>
                    <w:t>10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0.00282</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10</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精磨液</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0.2</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2500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0.00008</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11</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腻子</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1.5</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50</w:t>
                  </w:r>
                  <w:r>
                    <w:rPr>
                      <w:rFonts w:hint="default" w:ascii="Times New Roman" w:hAnsi="Times New Roman" w:cs="Times New Roman"/>
                      <w:kern w:val="0"/>
                      <w:szCs w:val="21"/>
                      <w:vertAlign w:val="superscript"/>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0.03</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12</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eastAsia" w:cs="Times New Roman"/>
                      <w:szCs w:val="21"/>
                      <w:lang w:val="en-US" w:eastAsia="zh-CN"/>
                    </w:rPr>
                    <w:t>苯乙烯</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lang w:val="en-US" w:eastAsia="zh-CN"/>
                    </w:rPr>
                  </w:pPr>
                  <w:r>
                    <w:rPr>
                      <w:rFonts w:hint="eastAsia" w:cs="Times New Roman"/>
                      <w:szCs w:val="21"/>
                      <w:lang w:val="en-US" w:eastAsia="zh-CN"/>
                    </w:rPr>
                    <w:t>0.0165</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lang w:val="en-US" w:eastAsia="zh-CN"/>
                    </w:rPr>
                  </w:pPr>
                  <w:r>
                    <w:rPr>
                      <w:rFonts w:hint="eastAsia" w:cs="Times New Roman"/>
                      <w:kern w:val="0"/>
                      <w:szCs w:val="21"/>
                      <w:lang w:val="en-US" w:eastAsia="zh-CN"/>
                    </w:rPr>
                    <w:t>10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0.00165</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13</w:t>
                  </w:r>
                </w:p>
              </w:tc>
              <w:tc>
                <w:tcPr>
                  <w:tcW w:w="1440" w:type="pct"/>
                  <w:tcBorders>
                    <w:tl2br w:val="nil"/>
                    <w:tr2bl w:val="nil"/>
                  </w:tcBorders>
                  <w:vAlign w:val="center"/>
                </w:tcPr>
                <w:p>
                  <w:pPr>
                    <w:adjustRightInd w:val="0"/>
                    <w:snapToGrid w:val="0"/>
                    <w:spacing w:line="360" w:lineRule="exact"/>
                    <w:jc w:val="center"/>
                    <w:rPr>
                      <w:rFonts w:hint="default" w:cs="Times New Roman"/>
                      <w:szCs w:val="21"/>
                      <w:lang w:val="en-US" w:eastAsia="zh-CN"/>
                    </w:rPr>
                  </w:pPr>
                  <w:r>
                    <w:rPr>
                      <w:rFonts w:hint="eastAsia" w:cs="Times New Roman"/>
                      <w:szCs w:val="21"/>
                      <w:lang w:val="en-US" w:eastAsia="zh-CN"/>
                    </w:rPr>
                    <w:t>塑粉</w:t>
                  </w:r>
                </w:p>
              </w:tc>
              <w:tc>
                <w:tcPr>
                  <w:tcW w:w="926" w:type="pct"/>
                  <w:tcBorders>
                    <w:tl2br w:val="nil"/>
                    <w:tr2bl w:val="nil"/>
                  </w:tcBorders>
                  <w:vAlign w:val="center"/>
                </w:tcPr>
                <w:p>
                  <w:pPr>
                    <w:adjustRightInd w:val="0"/>
                    <w:snapToGrid w:val="0"/>
                    <w:spacing w:line="360" w:lineRule="exact"/>
                    <w:jc w:val="center"/>
                    <w:rPr>
                      <w:rFonts w:hint="default" w:cs="Times New Roman"/>
                      <w:szCs w:val="21"/>
                      <w:lang w:val="en-US" w:eastAsia="zh-CN"/>
                    </w:rPr>
                  </w:pPr>
                  <w:r>
                    <w:rPr>
                      <w:rFonts w:hint="eastAsia" w:cs="Times New Roman"/>
                      <w:szCs w:val="21"/>
                      <w:lang w:val="en-US" w:eastAsia="zh-CN"/>
                    </w:rPr>
                    <w:t>0.8</w:t>
                  </w:r>
                </w:p>
              </w:tc>
              <w:tc>
                <w:tcPr>
                  <w:tcW w:w="749" w:type="pct"/>
                  <w:tcBorders>
                    <w:tl2br w:val="nil"/>
                    <w:tr2bl w:val="nil"/>
                  </w:tcBorders>
                  <w:vAlign w:val="center"/>
                </w:tcPr>
                <w:p>
                  <w:pPr>
                    <w:widowControl/>
                    <w:adjustRightInd w:val="0"/>
                    <w:snapToGrid w:val="0"/>
                    <w:spacing w:line="360" w:lineRule="exact"/>
                    <w:jc w:val="center"/>
                    <w:rPr>
                      <w:rFonts w:hint="default" w:cs="Times New Roman"/>
                      <w:kern w:val="0"/>
                      <w:szCs w:val="21"/>
                      <w:lang w:val="en-US" w:eastAsia="zh-CN"/>
                    </w:rPr>
                  </w:pPr>
                  <w:r>
                    <w:rPr>
                      <w:rFonts w:hint="eastAsia" w:cs="Times New Roman"/>
                      <w:kern w:val="0"/>
                      <w:szCs w:val="21"/>
                      <w:lang w:val="en-US" w:eastAsia="zh-CN"/>
                    </w:rPr>
                    <w:t>200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0.004</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14</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导轨油</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0.2</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2500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0.00008</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Cs w:val="21"/>
                      <w:lang w:val="en-US" w:eastAsia="zh-CN"/>
                    </w:rPr>
                    <w:t>15</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防锈油</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0.2</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2500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0.00008</w:t>
                  </w:r>
                </w:p>
              </w:tc>
              <w:tc>
                <w:tcPr>
                  <w:tcW w:w="758" w:type="pct"/>
                  <w:vMerge w:val="continue"/>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cs="Times New Roman"/>
                      <w:kern w:val="24"/>
                      <w:szCs w:val="21"/>
                      <w:lang w:val="en-US" w:eastAsia="zh-CN"/>
                    </w:rPr>
                  </w:pPr>
                  <w:r>
                    <w:rPr>
                      <w:rFonts w:hint="eastAsia" w:cs="Times New Roman"/>
                      <w:kern w:val="24"/>
                      <w:szCs w:val="21"/>
                      <w:lang w:val="en-US" w:eastAsia="zh-CN"/>
                    </w:rPr>
                    <w:t>16</w:t>
                  </w:r>
                </w:p>
              </w:tc>
              <w:tc>
                <w:tcPr>
                  <w:tcW w:w="1440" w:type="pct"/>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cs="Times New Roman"/>
                      <w:szCs w:val="21"/>
                      <w:lang w:val="en-US" w:eastAsia="zh-CN"/>
                    </w:rPr>
                    <w:t>甲苯</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0.000016</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10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cs="Times New Roman"/>
                      <w:kern w:val="0"/>
                      <w:szCs w:val="21"/>
                      <w:lang w:val="en-US" w:eastAsia="zh-CN"/>
                    </w:rPr>
                    <w:t>0.0000016</w:t>
                  </w:r>
                </w:p>
              </w:tc>
              <w:tc>
                <w:tcPr>
                  <w:tcW w:w="758"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车间一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eastAsia" w:cs="Times New Roman"/>
                      <w:kern w:val="24"/>
                      <w:sz w:val="21"/>
                      <w:szCs w:val="21"/>
                      <w:lang w:val="en-US" w:eastAsia="zh-CN" w:bidi="ar-SA"/>
                    </w:rPr>
                    <w:t>17</w:t>
                  </w:r>
                </w:p>
              </w:tc>
              <w:tc>
                <w:tcPr>
                  <w:tcW w:w="1440" w:type="pct"/>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szCs w:val="21"/>
                      <w:lang w:val="en-US" w:eastAsia="zh-CN"/>
                    </w:rPr>
                  </w:pPr>
                  <w:r>
                    <w:rPr>
                      <w:rFonts w:hint="eastAsia" w:cs="Times New Roman"/>
                      <w:szCs w:val="21"/>
                      <w:lang w:val="en-US" w:eastAsia="zh-CN"/>
                    </w:rPr>
                    <w:t>磷酸</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3.44*4%=0.1376</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10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0.01376</w:t>
                  </w:r>
                </w:p>
              </w:tc>
              <w:tc>
                <w:tcPr>
                  <w:tcW w:w="758" w:type="pct"/>
                  <w:tcBorders>
                    <w:tl2br w:val="nil"/>
                    <w:tr2bl w:val="nil"/>
                  </w:tcBorders>
                  <w:vAlign w:val="center"/>
                </w:tcPr>
                <w:p>
                  <w:pPr>
                    <w:adjustRightInd w:val="0"/>
                    <w:snapToGrid w:val="0"/>
                    <w:spacing w:line="360" w:lineRule="exact"/>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喷淋塔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4" w:type="pct"/>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kern w:val="24"/>
                      <w:sz w:val="21"/>
                      <w:szCs w:val="21"/>
                      <w:lang w:val="en-US" w:eastAsia="zh-CN" w:bidi="ar-SA"/>
                    </w:rPr>
                  </w:pPr>
                  <w:r>
                    <w:rPr>
                      <w:rFonts w:hint="default" w:ascii="Times New Roman" w:hAnsi="Times New Roman" w:cs="Times New Roman"/>
                      <w:kern w:val="24"/>
                      <w:szCs w:val="21"/>
                      <w:lang w:val="en-US" w:eastAsia="zh-CN"/>
                    </w:rPr>
                    <w:t>1</w:t>
                  </w:r>
                  <w:r>
                    <w:rPr>
                      <w:rFonts w:hint="eastAsia" w:cs="Times New Roman"/>
                      <w:kern w:val="24"/>
                      <w:szCs w:val="21"/>
                      <w:lang w:val="en-US" w:eastAsia="zh-CN"/>
                    </w:rPr>
                    <w:t>8</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危险废物</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cs="Times New Roman"/>
                      <w:kern w:val="0"/>
                      <w:szCs w:val="21"/>
                      <w:lang w:val="en-US" w:eastAsia="zh-CN"/>
                    </w:rPr>
                    <w:t>22.08735</w:t>
                  </w:r>
                  <w:r>
                    <w:rPr>
                      <w:rFonts w:hint="default" w:ascii="Times New Roman" w:hAnsi="Times New Roman" w:cs="Times New Roman"/>
                      <w:kern w:val="0"/>
                      <w:szCs w:val="21"/>
                      <w:vertAlign w:val="superscript"/>
                    </w:rPr>
                    <w:t>②</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50</w:t>
                  </w:r>
                  <w:r>
                    <w:rPr>
                      <w:rFonts w:hint="default" w:ascii="Times New Roman" w:hAnsi="Times New Roman" w:cs="Times New Roman"/>
                      <w:kern w:val="0"/>
                      <w:szCs w:val="21"/>
                      <w:vertAlign w:val="superscript"/>
                    </w:rPr>
                    <w:t>①</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rPr>
                  </w:pPr>
                  <w:r>
                    <w:rPr>
                      <w:rFonts w:hint="eastAsia" w:ascii="Times New Roman" w:hAnsi="Times New Roman" w:cs="Times New Roman"/>
                      <w:kern w:val="0"/>
                      <w:szCs w:val="21"/>
                      <w:lang w:val="en-US" w:eastAsia="zh-CN"/>
                    </w:rPr>
                    <w:t>0.441747</w:t>
                  </w:r>
                </w:p>
              </w:tc>
              <w:tc>
                <w:tcPr>
                  <w:tcW w:w="758"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危废库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4"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kern w:val="24"/>
                      <w:szCs w:val="21"/>
                      <w:lang w:val="en-US" w:eastAsia="zh-CN"/>
                    </w:rPr>
                  </w:pPr>
                  <w:r>
                    <w:rPr>
                      <w:rFonts w:hint="eastAsia"/>
                      <w:lang w:val="en-US" w:eastAsia="zh-CN"/>
                    </w:rPr>
                    <w:t>19</w:t>
                  </w:r>
                </w:p>
              </w:tc>
              <w:tc>
                <w:tcPr>
                  <w:tcW w:w="1440" w:type="pct"/>
                  <w:tcBorders>
                    <w:tl2br w:val="nil"/>
                    <w:tr2bl w:val="nil"/>
                  </w:tcBorders>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天然气</w:t>
                  </w:r>
                </w:p>
              </w:tc>
              <w:tc>
                <w:tcPr>
                  <w:tcW w:w="926"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0.002</w:t>
                  </w:r>
                </w:p>
              </w:tc>
              <w:tc>
                <w:tcPr>
                  <w:tcW w:w="749" w:type="pct"/>
                  <w:tcBorders>
                    <w:tl2br w:val="nil"/>
                    <w:tr2bl w:val="nil"/>
                  </w:tcBorders>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0.0002</w:t>
                  </w:r>
                </w:p>
              </w:tc>
              <w:tc>
                <w:tcPr>
                  <w:tcW w:w="758"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天然气管道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32" w:type="pct"/>
                  <w:gridSpan w:val="4"/>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24"/>
                      <w:szCs w:val="21"/>
                    </w:rPr>
                    <w:t>合计</w:t>
                  </w:r>
                </w:p>
              </w:tc>
              <w:tc>
                <w:tcPr>
                  <w:tcW w:w="709"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0.5</w:t>
                  </w:r>
                  <w:r>
                    <w:rPr>
                      <w:rFonts w:hint="eastAsia" w:cs="Times New Roman"/>
                      <w:kern w:val="0"/>
                      <w:szCs w:val="21"/>
                      <w:lang w:val="en-US" w:eastAsia="zh-CN"/>
                    </w:rPr>
                    <w:t>488186</w:t>
                  </w:r>
                </w:p>
              </w:tc>
              <w:tc>
                <w:tcPr>
                  <w:tcW w:w="758" w:type="pct"/>
                  <w:tcBorders>
                    <w:tl2br w:val="nil"/>
                    <w:tr2bl w:val="nil"/>
                  </w:tcBorders>
                  <w:vAlign w:val="center"/>
                </w:tcPr>
                <w:p>
                  <w:pPr>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bl>
          <w:p>
            <w:pPr>
              <w:widowControl/>
              <w:adjustRightInd w:val="0"/>
              <w:snapToGrid w:val="0"/>
              <w:jc w:val="left"/>
              <w:rPr>
                <w:rFonts w:hint="default" w:ascii="Times New Roman" w:hAnsi="Times New Roman" w:cs="Times New Roman"/>
                <w:szCs w:val="21"/>
              </w:rPr>
            </w:pPr>
            <w:r>
              <w:rPr>
                <w:rFonts w:hint="default" w:ascii="Times New Roman" w:hAnsi="Times New Roman" w:cs="Times New Roman"/>
                <w:szCs w:val="21"/>
              </w:rPr>
              <w:t>注：①</w:t>
            </w:r>
            <w:r>
              <w:rPr>
                <w:rFonts w:hint="default" w:ascii="Times New Roman" w:hAnsi="Times New Roman" w:cs="Times New Roman"/>
                <w:szCs w:val="21"/>
                <w:lang w:val="en-US" w:eastAsia="zh-CN"/>
              </w:rPr>
              <w:t>油漆、稀释剂</w:t>
            </w:r>
            <w:r>
              <w:rPr>
                <w:rFonts w:hint="default" w:ascii="Times New Roman" w:hAnsi="Times New Roman" w:cs="Times New Roman"/>
                <w:szCs w:val="21"/>
                <w:lang w:eastAsia="zh-CN"/>
              </w:rPr>
              <w:t>、</w:t>
            </w:r>
            <w:r>
              <w:rPr>
                <w:rFonts w:hint="default" w:ascii="Times New Roman" w:hAnsi="Times New Roman" w:cs="Times New Roman"/>
                <w:szCs w:val="21"/>
              </w:rPr>
              <w:t>危险废物</w:t>
            </w:r>
            <w:r>
              <w:rPr>
                <w:rFonts w:hint="eastAsia" w:cs="Times New Roman"/>
                <w:szCs w:val="21"/>
                <w:lang w:eastAsia="zh-CN"/>
              </w:rPr>
              <w:t>、</w:t>
            </w:r>
            <w:r>
              <w:rPr>
                <w:rFonts w:hint="eastAsia" w:cs="Times New Roman"/>
                <w:szCs w:val="21"/>
                <w:lang w:val="en-US" w:eastAsia="zh-CN"/>
              </w:rPr>
              <w:t>酚醛树脂、聚异氰酸酯、</w:t>
            </w:r>
            <w:r>
              <w:rPr>
                <w:rFonts w:hint="default" w:ascii="Times New Roman" w:hAnsi="Times New Roman" w:cs="Times New Roman"/>
                <w:szCs w:val="21"/>
              </w:rPr>
              <w:t>三乙胺、</w:t>
            </w:r>
            <w:r>
              <w:rPr>
                <w:rFonts w:hint="default" w:ascii="Times New Roman" w:hAnsi="Times New Roman" w:cs="Times New Roman"/>
                <w:szCs w:val="21"/>
                <w:lang w:val="en-US" w:eastAsia="zh-CN"/>
              </w:rPr>
              <w:t>腻子</w:t>
            </w:r>
            <w:r>
              <w:rPr>
                <w:rFonts w:hint="default" w:ascii="Times New Roman" w:hAnsi="Times New Roman" w:cs="Times New Roman"/>
                <w:szCs w:val="21"/>
              </w:rPr>
              <w:t>按照健康危害急性毒性物质（类别2、类别3），临界量为50t。</w:t>
            </w:r>
          </w:p>
          <w:p>
            <w:pPr>
              <w:widowControl/>
              <w:adjustRightInd w:val="0"/>
              <w:snapToGrid w:val="0"/>
              <w:jc w:val="left"/>
              <w:rPr>
                <w:rFonts w:hint="eastAsia" w:ascii="Times New Roman" w:hAnsi="Times New Roman" w:eastAsia="宋体" w:cs="Times New Roman"/>
                <w:szCs w:val="21"/>
                <w:lang w:val="en-US" w:eastAsia="zh-CN"/>
              </w:rPr>
            </w:pPr>
            <w:r>
              <w:rPr>
                <w:rFonts w:hint="eastAsia" w:cs="Times New Roman"/>
                <w:szCs w:val="21"/>
                <w:lang w:val="en-US" w:eastAsia="zh-CN"/>
              </w:rPr>
              <w:t>②</w:t>
            </w:r>
            <w:r>
              <w:rPr>
                <w:rFonts w:hint="eastAsia"/>
                <w:szCs w:val="21"/>
              </w:rPr>
              <w:t>从最不利角度考虑，以甲苯年产生量计算</w:t>
            </w:r>
            <w:r>
              <w:rPr>
                <w:rFonts w:hint="eastAsia"/>
                <w:szCs w:val="21"/>
                <w:lang w:eastAsia="zh-CN"/>
              </w:rPr>
              <w:t>。</w:t>
            </w:r>
          </w:p>
          <w:p>
            <w:pPr>
              <w:widowControl/>
              <w:adjustRightInd w:val="0"/>
              <w:snapToGrid w:val="0"/>
              <w:jc w:val="left"/>
              <w:rPr>
                <w:rFonts w:hint="default" w:ascii="Times New Roman" w:hAnsi="Times New Roman" w:cs="Times New Roman"/>
                <w:szCs w:val="21"/>
              </w:rPr>
            </w:pPr>
            <w:r>
              <w:rPr>
                <w:rFonts w:hint="eastAsia" w:cs="Times New Roman"/>
                <w:szCs w:val="21"/>
                <w:lang w:val="en-US" w:eastAsia="zh-CN"/>
              </w:rPr>
              <w:t>③</w:t>
            </w:r>
            <w:r>
              <w:rPr>
                <w:rFonts w:hint="default" w:ascii="Times New Roman" w:hAnsi="Times New Roman" w:cs="Times New Roman"/>
                <w:szCs w:val="21"/>
              </w:rPr>
              <w:t>根据贮存周期折算最大存在量。</w:t>
            </w:r>
          </w:p>
          <w:p>
            <w:pPr>
              <w:widowControl/>
              <w:adjustRightInd w:val="0"/>
              <w:snapToGrid w:val="0"/>
              <w:jc w:val="left"/>
              <w:rPr>
                <w:rFonts w:hint="default" w:ascii="Times New Roman" w:hAnsi="Times New Roman" w:cs="Times New Roman"/>
                <w:sz w:val="24"/>
                <w:lang w:bidi="ar"/>
              </w:rPr>
            </w:pPr>
            <w:r>
              <w:rPr>
                <w:rFonts w:hint="eastAsia" w:cs="Times New Roman"/>
                <w:szCs w:val="21"/>
                <w:lang w:val="en-US" w:eastAsia="zh-CN"/>
              </w:rPr>
              <w:t>④</w:t>
            </w:r>
            <w:r>
              <w:rPr>
                <w:rFonts w:hint="default" w:ascii="Times New Roman" w:hAnsi="Times New Roman" w:cs="Times New Roman"/>
                <w:szCs w:val="21"/>
              </w:rPr>
              <w:t>厂区天然气管径为80mm，厂区西南角调压站到燃烧器入口，天然气管道长度约250米，经过调压站后，管道内天然气压力为30KPa，在此压力下，管道天然气的密度约为1.96 kg/m</w:t>
            </w:r>
            <w:r>
              <w:rPr>
                <w:rFonts w:hint="default" w:ascii="Times New Roman" w:hAnsi="Times New Roman" w:cs="Times New Roman"/>
                <w:szCs w:val="21"/>
                <w:vertAlign w:val="superscript"/>
              </w:rPr>
              <w:t>3</w:t>
            </w:r>
            <w:r>
              <w:rPr>
                <w:rFonts w:hint="default" w:ascii="Times New Roman" w:hAnsi="Times New Roman" w:cs="Times New Roman"/>
                <w:szCs w:val="21"/>
              </w:rPr>
              <w:t>。</w:t>
            </w:r>
          </w:p>
          <w:p>
            <w:pPr>
              <w:spacing w:line="360" w:lineRule="auto"/>
              <w:ind w:firstLine="480" w:firstLineChars="200"/>
              <w:rPr>
                <w:rFonts w:hint="default" w:ascii="Times New Roman" w:hAnsi="Times New Roman" w:cs="Times New Roman"/>
                <w:sz w:val="24"/>
                <w:lang w:bidi="ar"/>
              </w:rPr>
            </w:pPr>
            <w:r>
              <w:rPr>
                <w:rFonts w:hint="default" w:ascii="Times New Roman" w:hAnsi="Times New Roman" w:cs="Times New Roman"/>
                <w:sz w:val="24"/>
                <w:lang w:bidi="ar"/>
              </w:rPr>
              <w:t>综上，本项目Q＜1，不需要进行环境风险专项评价。</w:t>
            </w:r>
          </w:p>
          <w:p>
            <w:pPr>
              <w:pStyle w:val="2"/>
              <w:spacing w:before="0" w:after="0" w:line="360" w:lineRule="auto"/>
              <w:ind w:firstLine="482" w:firstLineChars="200"/>
              <w:rPr>
                <w:rFonts w:hint="default" w:ascii="Times New Roman" w:hAnsi="Times New Roman" w:cs="Times New Roman"/>
                <w:b w:val="0"/>
                <w:bCs w:val="0"/>
                <w:sz w:val="24"/>
                <w:szCs w:val="24"/>
                <w:lang w:bidi="ar"/>
              </w:rPr>
            </w:pPr>
            <w:r>
              <w:rPr>
                <w:rFonts w:hint="default" w:ascii="Times New Roman" w:hAnsi="Times New Roman" w:cs="Times New Roman"/>
                <w:sz w:val="24"/>
                <w:szCs w:val="24"/>
                <w:lang w:bidi="ar"/>
              </w:rPr>
              <w:t>环境风险识别及典型事故情形</w:t>
            </w:r>
          </w:p>
          <w:p>
            <w:pPr>
              <w:pStyle w:val="2"/>
              <w:spacing w:before="0" w:after="0" w:line="360" w:lineRule="auto"/>
              <w:ind w:firstLine="480" w:firstLineChars="200"/>
              <w:rPr>
                <w:rFonts w:hint="default" w:ascii="Times New Roman" w:hAnsi="Times New Roman" w:cs="Times New Roman"/>
                <w:b w:val="0"/>
                <w:bCs w:val="0"/>
                <w:sz w:val="24"/>
                <w:szCs w:val="24"/>
                <w:lang w:bidi="ar"/>
              </w:rPr>
            </w:pPr>
            <w:r>
              <w:rPr>
                <w:rFonts w:hint="default" w:ascii="Times New Roman" w:hAnsi="Times New Roman" w:cs="Times New Roman"/>
                <w:b w:val="0"/>
                <w:bCs w:val="0"/>
                <w:sz w:val="24"/>
                <w:szCs w:val="24"/>
                <w:lang w:bidi="ar"/>
              </w:rPr>
              <w:t>项目主要环境风险识别及典型事故情形如下。</w:t>
            </w:r>
          </w:p>
          <w:p>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表4-</w:t>
            </w:r>
            <w:r>
              <w:rPr>
                <w:rFonts w:hint="default" w:ascii="Times New Roman" w:hAnsi="Times New Roman" w:cs="Times New Roman"/>
                <w:b/>
                <w:sz w:val="24"/>
                <w:lang w:val="en-US" w:eastAsia="zh-CN"/>
              </w:rPr>
              <w:t>20</w:t>
            </w:r>
            <w:r>
              <w:rPr>
                <w:rFonts w:hint="default" w:ascii="Times New Roman" w:hAnsi="Times New Roman" w:cs="Times New Roman"/>
                <w:b/>
                <w:sz w:val="24"/>
              </w:rPr>
              <w:t xml:space="preserve"> 项目涉及的危险物质环境风险识别及典型事故情形一览表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6"/>
              <w:gridCol w:w="1436"/>
              <w:gridCol w:w="1592"/>
              <w:gridCol w:w="1440"/>
              <w:gridCol w:w="25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7"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风险单元</w:t>
                  </w:r>
                </w:p>
              </w:tc>
              <w:tc>
                <w:tcPr>
                  <w:tcW w:w="1436"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涉及风险物质</w:t>
                  </w:r>
                </w:p>
              </w:tc>
              <w:tc>
                <w:tcPr>
                  <w:tcW w:w="1592"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事故引发可能原因</w:t>
                  </w:r>
                </w:p>
              </w:tc>
              <w:tc>
                <w:tcPr>
                  <w:tcW w:w="1440"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可能影响的环境途径及后果</w:t>
                  </w:r>
                </w:p>
              </w:tc>
              <w:tc>
                <w:tcPr>
                  <w:tcW w:w="2523" w:type="dxa"/>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车间一</w:t>
                  </w:r>
                </w:p>
              </w:tc>
              <w:tc>
                <w:tcPr>
                  <w:tcW w:w="1436"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塑粉粉尘</w:t>
                  </w:r>
                </w:p>
              </w:tc>
              <w:tc>
                <w:tcPr>
                  <w:tcW w:w="1592"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粉尘积聚，遇到点火源</w:t>
                  </w:r>
                </w:p>
              </w:tc>
              <w:tc>
                <w:tcPr>
                  <w:tcW w:w="144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粉尘爆炸</w:t>
                  </w:r>
                </w:p>
              </w:tc>
              <w:tc>
                <w:tcPr>
                  <w:tcW w:w="2523"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粉末回收装置增设防爆装置，安装报警装置，加强通排风，喷粉房制定清扫制度，喷粉房底部不能堆积有粉尘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原料仓库</w:t>
                  </w:r>
                </w:p>
              </w:tc>
              <w:tc>
                <w:tcPr>
                  <w:tcW w:w="1436"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可发性聚苯乙烯、</w:t>
                  </w:r>
                  <w:r>
                    <w:rPr>
                      <w:rFonts w:hint="eastAsia" w:cs="Times New Roman"/>
                      <w:szCs w:val="21"/>
                      <w:lang w:val="en-US" w:eastAsia="zh-CN"/>
                    </w:rPr>
                    <w:t>酚醛树脂、聚异氰酸酯、</w:t>
                  </w:r>
                  <w:r>
                    <w:rPr>
                      <w:rFonts w:hint="default" w:ascii="Times New Roman" w:hAnsi="Times New Roman" w:cs="Times New Roman"/>
                      <w:szCs w:val="21"/>
                      <w:lang w:val="en-US" w:eastAsia="zh-CN"/>
                    </w:rPr>
                    <w:t>油漆、稀释剂</w:t>
                  </w:r>
                  <w:r>
                    <w:rPr>
                      <w:rFonts w:hint="default" w:ascii="Times New Roman" w:hAnsi="Times New Roman" w:cs="Times New Roman"/>
                      <w:szCs w:val="21"/>
                    </w:rPr>
                    <w:t>、三乙胺</w:t>
                  </w:r>
                  <w:r>
                    <w:rPr>
                      <w:rFonts w:hint="eastAsia" w:cs="Times New Roman"/>
                      <w:szCs w:val="21"/>
                      <w:lang w:eastAsia="zh-CN"/>
                    </w:rPr>
                    <w:t>、</w:t>
                  </w:r>
                  <w:r>
                    <w:rPr>
                      <w:rFonts w:hint="eastAsia" w:cs="Times New Roman"/>
                      <w:szCs w:val="21"/>
                      <w:lang w:val="en-US" w:eastAsia="zh-CN"/>
                    </w:rPr>
                    <w:t>腻子</w:t>
                  </w:r>
                  <w:r>
                    <w:rPr>
                      <w:rFonts w:hint="default" w:ascii="Times New Roman" w:hAnsi="Times New Roman" w:cs="Times New Roman"/>
                      <w:szCs w:val="21"/>
                    </w:rPr>
                    <w:t>等</w:t>
                  </w:r>
                </w:p>
              </w:tc>
              <w:tc>
                <w:tcPr>
                  <w:tcW w:w="15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包装桶破损；操作不规范</w:t>
                  </w:r>
                </w:p>
              </w:tc>
              <w:tc>
                <w:tcPr>
                  <w:tcW w:w="144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泄漏、火灾、爆炸</w:t>
                  </w:r>
                </w:p>
              </w:tc>
              <w:tc>
                <w:tcPr>
                  <w:tcW w:w="25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设置防渗漏托盘，防止物料跑、冒、滴、漏污染环境；车间地面采取环氧地坪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7"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气站及燃气管道</w:t>
                  </w:r>
                </w:p>
              </w:tc>
              <w:tc>
                <w:tcPr>
                  <w:tcW w:w="1436"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天然气</w:t>
                  </w:r>
                </w:p>
              </w:tc>
              <w:tc>
                <w:tcPr>
                  <w:tcW w:w="1592"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管道泄漏</w:t>
                  </w:r>
                </w:p>
              </w:tc>
              <w:tc>
                <w:tcPr>
                  <w:tcW w:w="1440"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泄漏、火灾、爆炸</w:t>
                  </w:r>
                </w:p>
              </w:tc>
              <w:tc>
                <w:tcPr>
                  <w:tcW w:w="2523" w:type="dxa"/>
                  <w:tcBorders>
                    <w:tl2br w:val="nil"/>
                    <w:tr2bl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安装可燃气体报警装置，若泄漏及时关闭燃气阀门，日常使用过程禁明火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废气处理设施</w:t>
                  </w:r>
                </w:p>
              </w:tc>
              <w:tc>
                <w:tcPr>
                  <w:tcW w:w="143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颗粒物、VOCs</w:t>
                  </w:r>
                </w:p>
              </w:tc>
              <w:tc>
                <w:tcPr>
                  <w:tcW w:w="15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设备故障；工作责任心不强；处理能力不达标</w:t>
                  </w:r>
                </w:p>
              </w:tc>
              <w:tc>
                <w:tcPr>
                  <w:tcW w:w="144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事故排放</w:t>
                  </w:r>
                </w:p>
              </w:tc>
              <w:tc>
                <w:tcPr>
                  <w:tcW w:w="25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加强设备维护；及时更换活性炭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危废仓库</w:t>
                  </w:r>
                </w:p>
              </w:tc>
              <w:tc>
                <w:tcPr>
                  <w:tcW w:w="143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w:t>
                  </w:r>
                </w:p>
              </w:tc>
              <w:tc>
                <w:tcPr>
                  <w:tcW w:w="15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包装桶、包装袋破损；操作不规范</w:t>
                  </w:r>
                </w:p>
              </w:tc>
              <w:tc>
                <w:tcPr>
                  <w:tcW w:w="144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泄漏、火灾、爆炸</w:t>
                  </w:r>
                </w:p>
              </w:tc>
              <w:tc>
                <w:tcPr>
                  <w:tcW w:w="252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设置导流沟及收集槽，防止危险废物跑、冒、滴、漏污染环境；危废仓库地面采取防渗漏措施</w:t>
                  </w:r>
                </w:p>
              </w:tc>
            </w:tr>
          </w:tbl>
          <w:p>
            <w:pPr>
              <w:pStyle w:val="22"/>
              <w:widowControl w:val="0"/>
              <w:spacing w:before="0" w:beforeAutospacing="0" w:after="0" w:afterAutospacing="0" w:line="360" w:lineRule="auto"/>
              <w:ind w:firstLine="482" w:firstLineChars="200"/>
              <w:jc w:val="both"/>
              <w:rPr>
                <w:rFonts w:hint="default" w:ascii="Times New Roman" w:hAnsi="Times New Roman" w:cs="Times New Roman"/>
                <w:kern w:val="2"/>
                <w:szCs w:val="24"/>
                <w:lang w:bidi="ar"/>
              </w:rPr>
            </w:pPr>
            <w:r>
              <w:rPr>
                <w:rFonts w:hint="default" w:ascii="Times New Roman" w:hAnsi="Times New Roman" w:cs="Times New Roman"/>
                <w:b/>
                <w:bCs/>
                <w:kern w:val="2"/>
                <w:szCs w:val="24"/>
                <w:lang w:bidi="ar"/>
              </w:rPr>
              <w:t>环境风险防范应急措施</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企业在营运过程中需做好如下防范措施：</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①加强工厂、车间的安全环保管理，对全厂职工进行环保的教育和培训，做到持证上岗，减少人为风险事故（如误操作）的发生。对项目原辅料、成品的运输、贮存、使用及处置的整个过程应进行全面的监督与管理。建立健全的规章制度，严禁烟火，以免发生意外；生产现场设置各种安全标志。按照规范对凡需要迅速发现并引起注意以防发生事故的场所、部位均按要求涂安全色。</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②加强设备的维修、保养，定期检查各种设备，杜绝事故隐患，降低事故发生的概率。一旦设备出现故障不能及时处理的，应立即上报主管，并通知相应车间停产。</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③火灾事故防范措施</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在生产区张贴禁火警示标志。</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生产单元、仓库内应设火灾报警信号系统，发生明火，立即启动报警装置。避免电气和静电火花。设备管道等都采用工业静电接地措施；建筑物、构筑物均设防雷措施；所有的电缆及电缆桥架选用阻燃型。配备专用的消防灭火器，消防设计执行《建筑设计防火规范》、《建筑灭火器配置设计规范》等；消防用电设备应采用专用的供电回路，当发生火灾切断生产、生活用电时，应仍能保证消防用电，其配电设备应有明显的标志：消防设施和消防管线设计、选材上应具有相应的防腐功能。</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 xml:space="preserve">④废气事故排放风险防范措施 </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 xml:space="preserve">a、平时加强废气处理设施的维护保养，及时发现处理设备的隐患，并及时进行维修，确保废气处理系统正常运行； </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b、建立健全的环保机构，配置必要的监测仪器，对管理人员和技术人员进行岗位培训，对废气处理实行全过程跟踪控制；</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c、若废气设施发生故障，造成废气未经处理直接排放，将会对周围环境造成较大的影响。事故状态下，企业将立即停产，对废气处理装置进行维修，在确保废气处理装置有效运行的情况下方可继续投产。</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⑤事故废水环境风险防范措施</w:t>
            </w:r>
          </w:p>
          <w:p>
            <w:pPr>
              <w:widowControl/>
              <w:autoSpaceDE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bidi="ar"/>
              </w:rPr>
              <w:t>本项目实行雨污分流，项目所在车间的四周雨水管网与拟设置的事故废水收集池相连，事故应急池前将设置1个控制闸阀；雨水总排口将设置1个控制闸阀。平时关闭总排口和事故废水收集池控制闸阀，发生事故时，关闭雨水总排闸阀，打开事故废水收集池闸阀，杜绝事故情况下泄漏物料或事故废水经雨水管外排</w:t>
            </w:r>
            <w:r>
              <w:rPr>
                <w:rFonts w:hint="default" w:ascii="Times New Roman" w:hAnsi="Times New Roman" w:cs="Times New Roman"/>
                <w:sz w:val="24"/>
                <w:lang w:val="zh-CN"/>
              </w:rPr>
              <w:t>。</w:t>
            </w:r>
          </w:p>
          <w:p>
            <w:pPr>
              <w:widowControl/>
              <w:spacing w:line="360" w:lineRule="auto"/>
              <w:ind w:firstLine="480"/>
              <w:jc w:val="center"/>
              <w:rPr>
                <w:rFonts w:hint="default" w:ascii="Times New Roman" w:hAnsi="Times New Roman" w:cs="Times New Roman"/>
                <w:kern w:val="0"/>
                <w:szCs w:val="21"/>
                <w:lang w:bidi="ar"/>
              </w:rPr>
            </w:pPr>
            <w:r>
              <w:rPr>
                <w:rFonts w:hint="default" w:ascii="Times New Roman" w:hAnsi="Times New Roman" w:cs="Times New Roman"/>
              </w:rPr>
              <w:drawing>
                <wp:inline distT="0" distB="0" distL="114300" distR="114300">
                  <wp:extent cx="3191510" cy="1729740"/>
                  <wp:effectExtent l="0" t="0" r="8890" b="38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3191510" cy="1729740"/>
                          </a:xfrm>
                          <a:prstGeom prst="rect">
                            <a:avLst/>
                          </a:prstGeom>
                          <a:noFill/>
                          <a:ln>
                            <a:noFill/>
                          </a:ln>
                        </pic:spPr>
                      </pic:pic>
                    </a:graphicData>
                  </a:graphic>
                </wp:inline>
              </w:drawing>
            </w:r>
          </w:p>
          <w:p>
            <w:pPr>
              <w:widowControl/>
              <w:adjustRightInd w:val="0"/>
              <w:snapToGrid w:val="0"/>
              <w:spacing w:line="360" w:lineRule="auto"/>
              <w:ind w:firstLine="480"/>
              <w:jc w:val="center"/>
              <w:rPr>
                <w:rFonts w:hint="default" w:ascii="Times New Roman" w:hAnsi="Times New Roman" w:cs="Times New Roman"/>
                <w:kern w:val="0"/>
                <w:sz w:val="24"/>
                <w:lang w:bidi="ar"/>
              </w:rPr>
            </w:pPr>
            <w:r>
              <w:rPr>
                <w:rFonts w:hint="default" w:ascii="Times New Roman" w:hAnsi="Times New Roman" w:cs="Times New Roman"/>
                <w:b/>
                <w:bCs/>
                <w:kern w:val="0"/>
                <w:sz w:val="24"/>
                <w:lang w:bidi="ar"/>
              </w:rPr>
              <w:t>图4-</w:t>
            </w:r>
            <w:r>
              <w:rPr>
                <w:rFonts w:hint="default" w:ascii="Times New Roman" w:hAnsi="Times New Roman" w:cs="Times New Roman"/>
                <w:b/>
                <w:bCs/>
                <w:kern w:val="0"/>
                <w:sz w:val="24"/>
                <w:lang w:val="en-US" w:eastAsia="zh-CN" w:bidi="ar"/>
              </w:rPr>
              <w:t>1</w:t>
            </w:r>
            <w:r>
              <w:rPr>
                <w:rFonts w:hint="default" w:ascii="Times New Roman" w:hAnsi="Times New Roman" w:cs="Times New Roman"/>
                <w:b/>
                <w:bCs/>
                <w:kern w:val="0"/>
                <w:sz w:val="24"/>
                <w:lang w:bidi="ar"/>
              </w:rPr>
              <w:t xml:space="preserve"> 防止事故废水进入外环境控制/封堵系统示意图</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a、正常生产情况下，阀门1打开，阀门2常闭；</w:t>
            </w:r>
          </w:p>
          <w:p>
            <w:pPr>
              <w:adjustRightInd w:val="0"/>
              <w:snapToGrid w:val="0"/>
              <w:spacing w:line="360" w:lineRule="auto"/>
              <w:ind w:firstLine="480" w:firstLineChars="200"/>
              <w:rPr>
                <w:rFonts w:hint="default" w:ascii="Times New Roman" w:hAnsi="Times New Roman" w:cs="Times New Roman"/>
                <w:kern w:val="0"/>
                <w:sz w:val="24"/>
                <w:lang w:bidi="ar"/>
              </w:rPr>
            </w:pPr>
            <w:r>
              <w:rPr>
                <w:rFonts w:hint="default" w:ascii="Times New Roman" w:hAnsi="Times New Roman" w:cs="Times New Roman"/>
                <w:bCs/>
                <w:sz w:val="24"/>
              </w:rPr>
              <w:t>b、发生物料泄漏及火灾、爆炸等事故时，阀门1关闭，阀门2开启，消防尾水等事故废水通过雨水管网收集进入事故池后委托处置。</w:t>
            </w:r>
          </w:p>
          <w:p>
            <w:pPr>
              <w:widowControl/>
              <w:spacing w:line="360" w:lineRule="auto"/>
              <w:ind w:firstLine="480"/>
              <w:jc w:val="left"/>
              <w:rPr>
                <w:rFonts w:hint="default" w:ascii="Times New Roman" w:hAnsi="Times New Roman" w:cs="Times New Roman"/>
                <w:sz w:val="24"/>
              </w:rPr>
            </w:pPr>
            <w:r>
              <w:rPr>
                <w:rFonts w:hint="default" w:ascii="Times New Roman" w:hAnsi="Times New Roman" w:cs="Times New Roman"/>
                <w:kern w:val="0"/>
                <w:sz w:val="24"/>
                <w:lang w:bidi="ar"/>
              </w:rPr>
              <w:t>⑥</w:t>
            </w:r>
            <w:r>
              <w:rPr>
                <w:rFonts w:hint="default" w:ascii="Times New Roman" w:hAnsi="Times New Roman" w:cs="Times New Roman"/>
                <w:sz w:val="24"/>
              </w:rPr>
              <w:t>危废仓库防范措施</w:t>
            </w:r>
          </w:p>
          <w:p>
            <w:pPr>
              <w:spacing w:line="360" w:lineRule="auto"/>
              <w:ind w:firstLine="480" w:firstLineChars="200"/>
              <w:rPr>
                <w:rFonts w:hint="default" w:ascii="Times New Roman" w:hAnsi="Times New Roman" w:cs="Times New Roman"/>
                <w:kern w:val="0"/>
                <w:sz w:val="24"/>
                <w:lang w:bidi="ar"/>
              </w:rPr>
            </w:pPr>
            <w:r>
              <w:rPr>
                <w:rFonts w:hint="default" w:ascii="Times New Roman" w:hAnsi="Times New Roman" w:cs="Times New Roman"/>
                <w:sz w:val="24"/>
              </w:rPr>
              <w:t>严格按照</w:t>
            </w:r>
            <w:r>
              <w:rPr>
                <w:rFonts w:hint="default" w:ascii="Times New Roman" w:hAnsi="Times New Roman" w:cs="Times New Roman"/>
                <w:bCs/>
                <w:sz w:val="24"/>
              </w:rPr>
              <w:t>《危险废物贮存污染控制标准》（GB18597-2023）</w:t>
            </w:r>
            <w:r>
              <w:rPr>
                <w:rFonts w:hint="default" w:ascii="Times New Roman" w:hAnsi="Times New Roman" w:cs="Times New Roman"/>
                <w:sz w:val="24"/>
              </w:rPr>
              <w:t>对危险仓库进行设计和建设，同时按相关法律法规将危险废物相关交有资质单位处置，</w:t>
            </w:r>
            <w:r>
              <w:rPr>
                <w:rFonts w:hint="default" w:ascii="Times New Roman" w:hAnsi="Times New Roman" w:cs="Times New Roman"/>
                <w:kern w:val="0"/>
                <w:sz w:val="24"/>
                <w:lang w:bidi="ar"/>
              </w:rPr>
              <w:t>建立台账制度，对危废进出库进行登记管理，</w:t>
            </w:r>
            <w:r>
              <w:rPr>
                <w:rFonts w:hint="default" w:ascii="Times New Roman" w:hAnsi="Times New Roman" w:cs="Times New Roman"/>
                <w:sz w:val="24"/>
              </w:rPr>
              <w:t>并按《危险废物转移联单管理办法》做好转移记录。</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⑦应急事故池及截流系统设置：</w:t>
            </w:r>
          </w:p>
          <w:p>
            <w:pPr>
              <w:adjustRightInd w:val="0"/>
              <w:snapToGrid w:val="0"/>
              <w:spacing w:line="360" w:lineRule="auto"/>
              <w:ind w:firstLine="480" w:firstLineChars="200"/>
              <w:jc w:val="left"/>
              <w:rPr>
                <w:rFonts w:hint="default" w:ascii="Times New Roman" w:hAnsi="Times New Roman" w:cs="Times New Roman"/>
                <w:kern w:val="0"/>
                <w:sz w:val="24"/>
                <w:vertAlign w:val="subscript"/>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总</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1</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）max+V</w:t>
            </w:r>
            <w:r>
              <w:rPr>
                <w:rFonts w:hint="default" w:ascii="Times New Roman" w:hAnsi="Times New Roman" w:cs="Times New Roman"/>
                <w:kern w:val="0"/>
                <w:sz w:val="24"/>
                <w:vertAlign w:val="subscript"/>
              </w:rPr>
              <w:t>4</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5</w:t>
            </w:r>
          </w:p>
          <w:p>
            <w:pPr>
              <w:adjustRightInd w:val="0"/>
              <w:snapToGrid w:val="0"/>
              <w:spacing w:line="360" w:lineRule="auto"/>
              <w:ind w:firstLine="480"/>
              <w:jc w:val="left"/>
              <w:rPr>
                <w:rFonts w:hint="default" w:ascii="Times New Roman" w:hAnsi="Times New Roman" w:cs="Times New Roman"/>
                <w:kern w:val="0"/>
                <w:sz w:val="24"/>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1</w:t>
            </w:r>
            <w:r>
              <w:rPr>
                <w:rFonts w:hint="default" w:ascii="Times New Roman" w:hAnsi="Times New Roman" w:cs="Times New Roman"/>
                <w:kern w:val="0"/>
                <w:sz w:val="24"/>
              </w:rPr>
              <w:t>—最大一个容器的设备（装置）或贮罐的物料贮存量，m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（本项目喷淋塔水箱3.44m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1</w:t>
            </w:r>
            <w:r>
              <w:rPr>
                <w:rFonts w:hint="default" w:ascii="Times New Roman" w:hAnsi="Times New Roman" w:cs="Times New Roman"/>
                <w:kern w:val="0"/>
                <w:sz w:val="24"/>
              </w:rPr>
              <w:t>取3.44m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w:t>
            </w:r>
          </w:p>
          <w:p>
            <w:pPr>
              <w:adjustRightInd w:val="0"/>
              <w:snapToGrid w:val="0"/>
              <w:spacing w:line="360" w:lineRule="auto"/>
              <w:ind w:firstLine="480"/>
              <w:jc w:val="left"/>
              <w:rPr>
                <w:rFonts w:hint="default" w:ascii="Times New Roman" w:hAnsi="Times New Roman" w:cs="Times New Roman"/>
                <w:kern w:val="0"/>
                <w:sz w:val="24"/>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—发生事故的储罐或装置的消防水量，m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w:t>
            </w:r>
          </w:p>
          <w:p>
            <w:pPr>
              <w:adjustRightInd w:val="0"/>
              <w:snapToGrid w:val="0"/>
              <w:spacing w:line="360" w:lineRule="auto"/>
              <w:ind w:firstLine="480"/>
              <w:jc w:val="left"/>
              <w:rPr>
                <w:rFonts w:hint="default" w:ascii="Times New Roman" w:hAnsi="Times New Roman" w:cs="Times New Roman"/>
                <w:sz w:val="24"/>
              </w:rPr>
            </w:pPr>
            <w:r>
              <w:rPr>
                <w:rFonts w:hint="default" w:ascii="Times New Roman" w:hAnsi="Times New Roman" w:cs="Times New Roman"/>
                <w:kern w:val="0"/>
                <w:sz w:val="24"/>
              </w:rPr>
              <w:t>本项目车间耐火等级为二级，火灾危险性类别为丁类，</w:t>
            </w:r>
            <w:r>
              <w:rPr>
                <w:rFonts w:hint="default" w:ascii="Times New Roman" w:hAnsi="Times New Roman" w:cs="Times New Roman"/>
                <w:spacing w:val="-3"/>
                <w:sz w:val="24"/>
              </w:rPr>
              <w:t>建筑体积V≤50000m</w:t>
            </w:r>
            <w:r>
              <w:rPr>
                <w:rFonts w:hint="default" w:ascii="Times New Roman" w:hAnsi="Times New Roman" w:cs="Times New Roman"/>
                <w:spacing w:val="-3"/>
                <w:sz w:val="24"/>
                <w:vertAlign w:val="superscript"/>
              </w:rPr>
              <w:t>3</w:t>
            </w:r>
            <w:bookmarkStart w:id="7" w:name="OLE_LINK2"/>
            <w:r>
              <w:rPr>
                <w:rFonts w:hint="default" w:ascii="Times New Roman" w:hAnsi="Times New Roman" w:cs="Times New Roman"/>
                <w:spacing w:val="-3"/>
                <w:sz w:val="24"/>
              </w:rPr>
              <w:t>，厂房高度h≤24m</w:t>
            </w:r>
            <w:bookmarkEnd w:id="7"/>
            <w:r>
              <w:rPr>
                <w:rFonts w:hint="default" w:ascii="Times New Roman" w:hAnsi="Times New Roman" w:cs="Times New Roman"/>
                <w:spacing w:val="-3"/>
                <w:sz w:val="24"/>
              </w:rPr>
              <w:t>；</w:t>
            </w:r>
            <w:r>
              <w:rPr>
                <w:rFonts w:hint="default" w:ascii="Times New Roman" w:hAnsi="Times New Roman" w:cs="Times New Roman"/>
                <w:kern w:val="0"/>
                <w:sz w:val="24"/>
              </w:rPr>
              <w:t>根据《消防给水及消火栓系统技术规范》（GB50974-2014）中表3.3.2厂房和仓库室外消火栓设计流量均为15</w:t>
            </w:r>
            <w:r>
              <w:rPr>
                <w:rFonts w:hint="default" w:ascii="Times New Roman" w:hAnsi="Times New Roman" w:cs="Times New Roman"/>
                <w:kern w:val="0"/>
                <w:sz w:val="24"/>
                <w:lang w:val="zh-CN"/>
              </w:rPr>
              <w:t>L</w:t>
            </w:r>
            <w:r>
              <w:rPr>
                <w:rFonts w:hint="default" w:ascii="Times New Roman" w:hAnsi="Times New Roman" w:cs="Times New Roman"/>
                <w:kern w:val="0"/>
                <w:sz w:val="24"/>
              </w:rPr>
              <w:t>/s；</w:t>
            </w:r>
            <w:r>
              <w:rPr>
                <w:rFonts w:hint="default" w:ascii="Times New Roman" w:hAnsi="Times New Roman" w:cs="Times New Roman"/>
                <w:sz w:val="24"/>
              </w:rPr>
              <w:t>表3.5.2丁类厂房室内消火栓设计流量为10L/s；表3.6.2丁类厂房火灾延续时间为2h；则本项目最大消防用水量为</w:t>
            </w:r>
          </w:p>
          <w:p>
            <w:pPr>
              <w:adjustRightInd w:val="0"/>
              <w:snapToGrid w:val="0"/>
              <w:spacing w:line="360" w:lineRule="auto"/>
              <w:ind w:firstLine="480"/>
              <w:jc w:val="left"/>
              <w:rPr>
                <w:rFonts w:hint="default" w:ascii="Times New Roman" w:hAnsi="Times New Roman" w:cs="Times New Roman"/>
                <w:kern w:val="0"/>
                <w:sz w:val="24"/>
              </w:rPr>
            </w:pPr>
            <w:r>
              <w:rPr>
                <w:rFonts w:hint="default" w:ascii="Times New Roman" w:hAnsi="Times New Roman" w:cs="Times New Roman"/>
                <w:sz w:val="24"/>
              </w:rPr>
              <w:t>V</w:t>
            </w:r>
            <w:r>
              <w:rPr>
                <w:rFonts w:hint="default" w:ascii="Times New Roman" w:hAnsi="Times New Roman" w:cs="Times New Roman"/>
                <w:sz w:val="24"/>
                <w:vertAlign w:val="subscript"/>
              </w:rPr>
              <w:t>2</w:t>
            </w:r>
            <w:r>
              <w:rPr>
                <w:rFonts w:hint="default" w:ascii="Times New Roman" w:hAnsi="Times New Roman" w:cs="Times New Roman"/>
                <w:sz w:val="24"/>
              </w:rPr>
              <w:t>=（15×2×60×60+10×2×60×60）/1000=180m</w:t>
            </w:r>
            <w:r>
              <w:rPr>
                <w:rFonts w:hint="default" w:ascii="Times New Roman" w:hAnsi="Times New Roman" w:cs="Times New Roman"/>
                <w:sz w:val="24"/>
                <w:vertAlign w:val="superscript"/>
              </w:rPr>
              <w:t>3</w:t>
            </w:r>
            <w:r>
              <w:rPr>
                <w:rFonts w:hint="default" w:ascii="Times New Roman" w:hAnsi="Times New Roman" w:cs="Times New Roman"/>
                <w:sz w:val="24"/>
              </w:rPr>
              <w:t>。</w:t>
            </w:r>
          </w:p>
          <w:p>
            <w:pPr>
              <w:adjustRightInd w:val="0"/>
              <w:snapToGrid w:val="0"/>
              <w:spacing w:line="360" w:lineRule="auto"/>
              <w:ind w:firstLine="480"/>
              <w:jc w:val="left"/>
              <w:rPr>
                <w:rFonts w:hint="default" w:ascii="Times New Roman" w:hAnsi="Times New Roman" w:cs="Times New Roman"/>
                <w:kern w:val="0"/>
                <w:sz w:val="24"/>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—发生事故时可以传输到其他储存或处理设施的物料量，m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w:t>
            </w:r>
            <w:r>
              <w:rPr>
                <w:rFonts w:hint="default" w:ascii="Times New Roman" w:hAnsi="Times New Roman" w:cs="Times New Roman"/>
                <w:sz w:val="24"/>
                <w:lang w:bidi="ar"/>
              </w:rPr>
              <w:t>按最坏情况计，项目内未设置围堰，则 V3=0 m</w:t>
            </w:r>
            <w:r>
              <w:rPr>
                <w:rFonts w:hint="default" w:ascii="Times New Roman" w:hAnsi="Times New Roman" w:cs="Times New Roman"/>
                <w:sz w:val="24"/>
                <w:vertAlign w:val="superscript"/>
                <w:lang w:bidi="ar"/>
              </w:rPr>
              <w:t>3</w:t>
            </w:r>
            <w:r>
              <w:rPr>
                <w:rFonts w:hint="default" w:ascii="Times New Roman" w:hAnsi="Times New Roman" w:cs="Times New Roman"/>
                <w:kern w:val="0"/>
                <w:sz w:val="24"/>
              </w:rPr>
              <w:t>）；</w:t>
            </w:r>
          </w:p>
          <w:p>
            <w:pPr>
              <w:adjustRightInd w:val="0"/>
              <w:snapToGrid w:val="0"/>
              <w:spacing w:line="360" w:lineRule="auto"/>
              <w:ind w:firstLine="480"/>
              <w:jc w:val="left"/>
              <w:rPr>
                <w:rFonts w:hint="default" w:ascii="Times New Roman" w:hAnsi="Times New Roman" w:cs="Times New Roman"/>
                <w:kern w:val="0"/>
                <w:sz w:val="24"/>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4</w:t>
            </w:r>
            <w:r>
              <w:rPr>
                <w:rFonts w:hint="default" w:ascii="Times New Roman" w:hAnsi="Times New Roman" w:cs="Times New Roman"/>
                <w:kern w:val="0"/>
                <w:sz w:val="24"/>
              </w:rPr>
              <w:t>—发生事故时仍必须进入该收集系统的生产废水量，m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；（本项目V</w:t>
            </w:r>
            <w:r>
              <w:rPr>
                <w:rFonts w:hint="default" w:ascii="Times New Roman" w:hAnsi="Times New Roman" w:cs="Times New Roman"/>
                <w:kern w:val="0"/>
                <w:sz w:val="24"/>
                <w:vertAlign w:val="subscript"/>
              </w:rPr>
              <w:t>4</w:t>
            </w:r>
            <w:r>
              <w:rPr>
                <w:rFonts w:hint="default" w:ascii="Times New Roman" w:hAnsi="Times New Roman" w:cs="Times New Roman"/>
                <w:kern w:val="0"/>
                <w:sz w:val="24"/>
              </w:rPr>
              <w:t>取0 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w:t>
            </w:r>
          </w:p>
          <w:p>
            <w:pPr>
              <w:adjustRightInd w:val="0"/>
              <w:snapToGrid w:val="0"/>
              <w:spacing w:line="360" w:lineRule="auto"/>
              <w:ind w:firstLine="480"/>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5</w:t>
            </w:r>
            <w:r>
              <w:rPr>
                <w:rFonts w:hint="default" w:ascii="Times New Roman" w:hAnsi="Times New Roman" w:cs="Times New Roman"/>
                <w:kern w:val="0"/>
                <w:sz w:val="24"/>
              </w:rPr>
              <w:t>—发生事故时可能进入该收集系统的降雨量，m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 xml:space="preserve"> </w:t>
            </w:r>
          </w:p>
          <w:p>
            <w:pPr>
              <w:adjustRightInd w:val="0"/>
              <w:snapToGrid w:val="0"/>
              <w:spacing w:line="360" w:lineRule="auto"/>
              <w:ind w:firstLine="480" w:firstLineChars="200"/>
              <w:jc w:val="center"/>
              <w:rPr>
                <w:rFonts w:hint="default" w:ascii="Times New Roman" w:hAnsi="Times New Roman" w:cs="Times New Roman"/>
                <w:kern w:val="0"/>
                <w:sz w:val="24"/>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5</w:t>
            </w:r>
            <w:r>
              <w:rPr>
                <w:rFonts w:hint="default" w:ascii="Times New Roman" w:hAnsi="Times New Roman" w:cs="Times New Roman"/>
                <w:kern w:val="0"/>
                <w:sz w:val="24"/>
              </w:rPr>
              <w:t>=10qF</w:t>
            </w:r>
          </w:p>
          <w:p>
            <w:pPr>
              <w:adjustRightInd w:val="0"/>
              <w:snapToGrid w:val="0"/>
              <w:spacing w:line="360" w:lineRule="auto"/>
              <w:ind w:firstLine="960" w:firstLineChars="400"/>
              <w:rPr>
                <w:rFonts w:hint="default" w:ascii="Times New Roman" w:hAnsi="Times New Roman" w:cs="Times New Roman"/>
                <w:kern w:val="0"/>
                <w:sz w:val="24"/>
              </w:rPr>
            </w:pPr>
            <w:r>
              <w:rPr>
                <w:rFonts w:hint="default" w:ascii="Times New Roman" w:hAnsi="Times New Roman" w:cs="Times New Roman"/>
                <w:kern w:val="0"/>
                <w:sz w:val="24"/>
              </w:rPr>
              <w:t>q——降雨强度，mm。如皋市年平均降雨量1000 mm，年平均降雨日数为150天，平均日降雨量为6.67 mm；</w:t>
            </w:r>
          </w:p>
          <w:p>
            <w:pPr>
              <w:adjustRightInd w:val="0"/>
              <w:snapToGrid w:val="0"/>
              <w:spacing w:line="360" w:lineRule="auto"/>
              <w:ind w:firstLine="960" w:firstLineChars="400"/>
              <w:rPr>
                <w:rFonts w:hint="default" w:ascii="Times New Roman" w:hAnsi="Times New Roman" w:cs="Times New Roman"/>
                <w:kern w:val="0"/>
                <w:sz w:val="24"/>
              </w:rPr>
            </w:pPr>
            <w:r>
              <w:rPr>
                <w:rFonts w:hint="default" w:ascii="Times New Roman" w:hAnsi="Times New Roman" w:cs="Times New Roman"/>
                <w:kern w:val="0"/>
                <w:sz w:val="24"/>
              </w:rPr>
              <w:t>F——汇水面积hm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，本项目涉及污染物的汇水面积</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车间一</w:t>
            </w:r>
            <w:r>
              <w:rPr>
                <w:rFonts w:hint="default" w:ascii="Times New Roman" w:hAnsi="Times New Roman" w:cs="Times New Roman"/>
                <w:kern w:val="0"/>
                <w:sz w:val="24"/>
                <w:lang w:eastAsia="zh-CN"/>
              </w:rPr>
              <w:t>）</w:t>
            </w:r>
            <w:r>
              <w:rPr>
                <w:rFonts w:hint="default" w:ascii="Times New Roman" w:hAnsi="Times New Roman" w:cs="Times New Roman"/>
                <w:kern w:val="0"/>
                <w:sz w:val="24"/>
              </w:rPr>
              <w:t>约2.1公顷；</w:t>
            </w:r>
          </w:p>
          <w:p>
            <w:pPr>
              <w:adjustRightInd w:val="0"/>
              <w:snapToGrid w:val="0"/>
              <w:spacing w:line="360" w:lineRule="auto"/>
              <w:ind w:firstLine="480"/>
              <w:rPr>
                <w:rFonts w:hint="default" w:ascii="Times New Roman" w:hAnsi="Times New Roman" w:cs="Times New Roman"/>
                <w:sz w:val="24"/>
                <w:lang w:val="zh-CN"/>
              </w:rPr>
            </w:pPr>
            <w:r>
              <w:rPr>
                <w:rFonts w:hint="default" w:ascii="Times New Roman" w:hAnsi="Times New Roman" w:cs="Times New Roman"/>
                <w:kern w:val="0"/>
                <w:sz w:val="24"/>
              </w:rPr>
              <w:t>则V</w:t>
            </w:r>
            <w:r>
              <w:rPr>
                <w:rFonts w:hint="default" w:ascii="Times New Roman" w:hAnsi="Times New Roman" w:cs="Times New Roman"/>
                <w:kern w:val="0"/>
                <w:sz w:val="24"/>
                <w:vertAlign w:val="subscript"/>
              </w:rPr>
              <w:t>5</w:t>
            </w:r>
            <w:r>
              <w:rPr>
                <w:rFonts w:hint="default" w:ascii="Times New Roman" w:hAnsi="Times New Roman" w:cs="Times New Roman"/>
                <w:kern w:val="0"/>
                <w:sz w:val="24"/>
              </w:rPr>
              <w:t>=10×6.67×2.1=140.07m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w:t>
            </w:r>
            <w:r>
              <w:rPr>
                <w:rFonts w:hint="default" w:ascii="Times New Roman" w:hAnsi="Times New Roman" w:cs="Times New Roman"/>
                <w:sz w:val="24"/>
              </w:rPr>
              <w:t>厂内未建设初期雨水池，因此V</w:t>
            </w:r>
            <w:r>
              <w:rPr>
                <w:rFonts w:hint="default" w:ascii="Times New Roman" w:hAnsi="Times New Roman" w:cs="Times New Roman"/>
                <w:sz w:val="24"/>
                <w:vertAlign w:val="subscript"/>
              </w:rPr>
              <w:t>5</w:t>
            </w:r>
            <w:r>
              <w:rPr>
                <w:rFonts w:hint="default" w:ascii="Times New Roman" w:hAnsi="Times New Roman" w:cs="Times New Roman"/>
                <w:sz w:val="24"/>
              </w:rPr>
              <w:t>取140.07</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sz w:val="24"/>
              </w:rPr>
              <w:t>。</w:t>
            </w:r>
          </w:p>
          <w:p>
            <w:pPr>
              <w:adjustRightInd w:val="0"/>
              <w:snapToGrid w:val="0"/>
              <w:spacing w:line="360" w:lineRule="auto"/>
              <w:ind w:firstLine="480"/>
              <w:jc w:val="left"/>
              <w:rPr>
                <w:rFonts w:hint="default" w:ascii="Times New Roman" w:hAnsi="Times New Roman" w:cs="Times New Roman"/>
                <w:sz w:val="24"/>
              </w:rPr>
            </w:pPr>
            <w:r>
              <w:rPr>
                <w:rFonts w:hint="default" w:ascii="Times New Roman" w:hAnsi="Times New Roman" w:cs="Times New Roman"/>
                <w:kern w:val="0"/>
                <w:sz w:val="24"/>
              </w:rPr>
              <w:t>V</w:t>
            </w:r>
            <w:r>
              <w:rPr>
                <w:rFonts w:hint="default" w:ascii="Times New Roman" w:hAnsi="Times New Roman" w:cs="Times New Roman"/>
                <w:kern w:val="0"/>
                <w:sz w:val="24"/>
                <w:vertAlign w:val="subscript"/>
              </w:rPr>
              <w:t>总</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1</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2</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）max＋V</w:t>
            </w:r>
            <w:r>
              <w:rPr>
                <w:rFonts w:hint="default" w:ascii="Times New Roman" w:hAnsi="Times New Roman" w:cs="Times New Roman"/>
                <w:kern w:val="0"/>
                <w:sz w:val="24"/>
                <w:vertAlign w:val="subscript"/>
              </w:rPr>
              <w:t>4</w:t>
            </w:r>
            <w:r>
              <w:rPr>
                <w:rFonts w:hint="default" w:ascii="Times New Roman" w:hAnsi="Times New Roman" w:cs="Times New Roman"/>
                <w:kern w:val="0"/>
                <w:sz w:val="24"/>
              </w:rPr>
              <w:t>+V</w:t>
            </w:r>
            <w:r>
              <w:rPr>
                <w:rFonts w:hint="default" w:ascii="Times New Roman" w:hAnsi="Times New Roman" w:cs="Times New Roman"/>
                <w:kern w:val="0"/>
                <w:sz w:val="24"/>
                <w:vertAlign w:val="subscript"/>
              </w:rPr>
              <w:t>5</w:t>
            </w:r>
            <w:r>
              <w:rPr>
                <w:rFonts w:hint="default" w:ascii="Times New Roman" w:hAnsi="Times New Roman" w:cs="Times New Roman"/>
                <w:kern w:val="0"/>
                <w:sz w:val="24"/>
              </w:rPr>
              <w:t>=（3.44+180-0）+0+140.07=323.51m</w:t>
            </w:r>
            <w:r>
              <w:rPr>
                <w:rFonts w:hint="default" w:ascii="Times New Roman" w:hAnsi="Times New Roman" w:cs="Times New Roman"/>
                <w:kern w:val="0"/>
                <w:sz w:val="24"/>
                <w:vertAlign w:val="superscript"/>
              </w:rPr>
              <w:t>3</w:t>
            </w:r>
          </w:p>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因此，本项目拟设置330m</w:t>
            </w:r>
            <w:r>
              <w:rPr>
                <w:rFonts w:hint="default" w:ascii="Times New Roman" w:hAnsi="Times New Roman" w:cs="Times New Roman"/>
                <w:sz w:val="24"/>
                <w:vertAlign w:val="superscript"/>
              </w:rPr>
              <w:t>3</w:t>
            </w:r>
            <w:r>
              <w:rPr>
                <w:rFonts w:hint="default" w:ascii="Times New Roman" w:hAnsi="Times New Roman" w:cs="Times New Roman"/>
                <w:sz w:val="24"/>
              </w:rPr>
              <w:t>事故应急池，能满足事故状态下废水的收集。</w:t>
            </w:r>
          </w:p>
          <w:p>
            <w:pPr>
              <w:snapToGrid w:val="0"/>
              <w:spacing w:line="360" w:lineRule="auto"/>
              <w:jc w:val="left"/>
              <w:rPr>
                <w:rFonts w:hint="default" w:ascii="Times New Roman" w:hAnsi="Times New Roman" w:cs="Times New Roman"/>
                <w:kern w:val="0"/>
                <w:sz w:val="24"/>
              </w:rPr>
            </w:pPr>
            <w:r>
              <w:rPr>
                <w:rFonts w:hint="default" w:ascii="Times New Roman" w:hAnsi="Times New Roman" w:cs="Times New Roman"/>
                <w:bCs/>
                <w:sz w:val="24"/>
              </w:rPr>
              <w:t>事故应急池需采取钢筋混凝土结构，采用相应的防渗措施，且事故池地下设计，满足自流要求，发生事故时废水可自流进入事故池，收集的事故废水委外处理。</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⑧原料储存环境风险防范措施</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a、原料桶不得露天堆放，储存于阴凉通风仓间内，远离火种、热源，防止阳光直射，应与易燃或可燃物分开存放。搬运时轻装轻卸，防止原料桶破损或倾倒。</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b、划定禁火区，在明显地点设有警示标志，输配电线、灯具、火灾事故照明和疏散指示标志均应符合安全要求；严禁未安装灭火装置的车辆出入生产装置区。</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c、在液体原料贮存仓库设环形沟，并进行地面防渗；发生大量泄漏：引流入环形沟收容；用泡沫覆盖，抑制蒸发；小量泄漏时应用活性炭或其它惰性材料吸收。</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d、合理规划运输路线及时间，加强危险化学物品运输车辆的管理，严格遵守危 险品运输管理规定，避免运输过程事故的发生。</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e、在装卸化学危险物品前，要预先做好准备工作，了解物品性质，检查装卸搬运的工具是否牢固，不牢固的应予以更换或修理。操作人员应根据不同物资的危险特性，分别穿戴相应的防护用具。操作前应由专人检查用具是否妥善，穿戴是否合适。操作后应进行清洗或消毒，放在专用的箱柜中保管。化学危险物品撒落在地面、车板上时，应及时扫除。在装卸化学危险物品时，不得饮酒、吸烟。工作完毕后根据工作情况和危险品的性质，及时清洗手、脸、漱口或淋浴。必须保持现场空气流通，如果发现中毒现象，立即到新鲜空气处休息，脱去工作服和防护用具，清洗皮肤沾染部分，重者送医院诊治。危险化学品贮存须符合《危险化学品仓库储存通则》（GB 15603-2022）的规定。危险化学品入库前必须进行入库验收，包装物破损、有泄漏的严禁入库。</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⑨粉尘爆炸环境风险防范措施</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车间塑粉</w:t>
            </w:r>
            <w:r>
              <w:rPr>
                <w:rFonts w:hint="default" w:ascii="Times New Roman" w:hAnsi="Times New Roman" w:cs="Times New Roman"/>
                <w:szCs w:val="24"/>
                <w:lang w:eastAsia="zh-CN" w:bidi="ar"/>
              </w:rPr>
              <w:t>、</w:t>
            </w:r>
            <w:r>
              <w:rPr>
                <w:rFonts w:hint="default" w:ascii="Times New Roman" w:hAnsi="Times New Roman" w:cs="Times New Roman"/>
                <w:szCs w:val="24"/>
                <w:lang w:val="en-US" w:eastAsia="zh-CN" w:bidi="ar"/>
              </w:rPr>
              <w:t>抛丸</w:t>
            </w:r>
            <w:r>
              <w:rPr>
                <w:rFonts w:hint="default" w:ascii="Times New Roman" w:hAnsi="Times New Roman" w:cs="Times New Roman"/>
                <w:szCs w:val="24"/>
                <w:lang w:bidi="ar"/>
              </w:rPr>
              <w:t>粉尘浓度过高，与空气混合形成的粉尘云，在点火源作用下，引发的化学反应。</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防治措施：1、控制粉尘产生：采用自动化、密闭化的生产工艺，减少人工操作带来的粉尘产生；在粉尘产生点喷洒水雾，抑制粉尘飞扬；定期对设备进行维护保养，防止设备故障导致粉尘泄漏。2、加强通风除尘：在粉尘产生点设置局部排风罩，及时将粉尘抽走；将车间内的粉尘集中收集处理，降低车间内的粉尘浓度；定期对车间内的设备表面、角落、通风死角等进行清理，防止粉尘积聚。3、消除点火源：在粉尘爆炸危险区域禁止明火作业，确需动火的，应办理动火审批手续，并采取有效的防火措施； 在粉尘爆炸危险区域使用防爆电气设备，防止电气火花引发爆炸；对设备、管道等进行接地处理，防止静电积聚。</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应急措施：1、制定应急预案：明确应急组织架构、职责分工、处置程序和应急物资储备等内容；定期组织员工进行应急演练，提高员工的应急处置能力。2、配备应急物资：在车间内配备足够的应急物资，例如灭火器、消防栓、消防沙、防护服、防毒面具等；定期检查应急物资，确保其完好有效。3、事故应急处置：</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立即报警：发生粉尘爆炸事故，立即拨打火警电话报警，并通知企业负责人和安全管理人员。</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切断电源：迅速切断车间电源，防止二次事故。</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组织灭火：使用干粉灭火器、二氧化碳灭火器等扑灭火灾，防止火势蔓延。</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疏散人员：组织车间内人员迅速撤离到安全区域，并清点人数。</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4"/>
                <w:lang w:bidi="ar"/>
              </w:rPr>
              <w:t>保护现场：保护好事故现场，等待相关部门调查处理。</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⑩天然气管道环境风险防范措施</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天然气管道因腐蚀、老化、外力破坏或密封失效导致泄漏，与空气混合形成爆炸性气体，遇点火源引发火灾、爆炸事故。</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防治措施：</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1、预防管道泄漏：</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采用符合标准的管材和管件，规范施工安装，确保焊接和密封质量；定期对管道进行防腐检测和维护，对埋地管道设置阴极保护系统；建立管道巡检制度，每日检查管道接口、阀门、法兰等易泄漏部位，及时发现并处理隐患。</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2、加强监测监控：</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在天然气使用区域安装固定式可燃气体检测报警器，实时监测浓度；配备便携式检测仪进行定期人工巡检；设置压力、流量监控系统，异常时自动切断并报警；建立24小时监控值班制度。</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3、消除点火源：</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天然气危险区域严禁明火作业，动火需办理审批手续并气体检测合格；使用防爆型电气设备和工具；对管道、设备进行可靠接地，防止静电积聚；区域内禁止吸烟和使用非防爆通讯设备。</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应急措施：</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1、制定应急预案：</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明确应急指挥体系、职责分工、处置流程和报告程序；定期组织员工开展泄漏、火灾等专项应急演练；对操作人员进行天然气安全知识和应急处置培训。</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2、配备应急物资：</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配置可燃气体检测仪、正压式空气呼吸器、防爆工具、消防沙、灭火器等；设置紧急切断阀和自动喷淋系统；储备堵漏器材如管箍、密封胶等；定期检查维护应急装备。</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3、事故应急处置：</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立即报警：发生泄漏或火灾，立即拨打119、110，并通知企业应急负责人。</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切断气源：迅速关闭上下游阀门，切断事故段天然气供应。</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疏散警戒： 划定警戒范围，组织下风方向人员紧急疏散至上风安全区域，禁止无关人员进入。</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稀释抑爆：开启通风系统，使用雾状水稀释泄漏气体，严禁使用直流水冲击。</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灭火堵漏：发生火灾用干粉或二氧化碳灭火器扑救；在确保安全前提下，使用专用工具进行堵漏。</w:t>
            </w:r>
          </w:p>
          <w:p>
            <w:pPr>
              <w:widowControl/>
              <w:spacing w:line="360" w:lineRule="auto"/>
              <w:ind w:firstLine="480"/>
              <w:jc w:val="left"/>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保护现场：设置警戒标识，保护事故现场，配合相关部门调查。</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val="en-US" w:eastAsia="zh-CN" w:bidi="ar"/>
              </w:rPr>
              <w:t>⑪</w:t>
            </w:r>
            <w:r>
              <w:rPr>
                <w:rFonts w:hint="default" w:ascii="Times New Roman" w:hAnsi="Times New Roman" w:cs="Times New Roman"/>
                <w:sz w:val="24"/>
                <w:lang w:bidi="ar"/>
              </w:rPr>
              <w:t>三级防控措施（风险单元、厂内和周边）</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为了最大程度降低建设项目事故发生时对水环境的影响，对建设项目的事故废水将采取三级防控措施。</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一级防控措施：一级防控体系的功能主要是将事故废水控制在事故风险源所在区域单元，该体系主要是由装置区收集沟和围堰等配套基础设施组成，可防止污染物出单元。各生产车间液体物质底部设有防渗托盘，化学品仓库设置应急沙，少量泄漏时，防渗托盘可及时收集，若少量泄漏到地面，使用应急沙及时收集，确保泄漏物控制在危废仓库/原料仓库内，当企业发生化学品物料泄漏等事故时，启动一级防控措施，防止对土壤、地下水等造成环境污染。</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二级防控措施：第二级防控体系建设在危险单元与厂区其他区域之间设置有效的隔离措施，防止事故扩大，比如雨排口切断装置及其配套设施（如事故导排系统、强排系统），防止生产装置较大事故泄漏物料和消防废水造成的环境污染。厂区发生事故时，切断事故废水与外部的连接通道，导入污水处理系统，将污染控制在厂区内，同时在厂区雨水排口需设置 1 个自动式切换闸门，事故工况下关闭闸阀，防止事故工况下废水外溢至厂区外造成环境污染。</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三级防控体系：第三级水环境风险防控体系是针对企业厂内防范能力有限而导致事故废水可能外溢出厂界的应急处理。可根据实际情况与其他临近企业实现资源共享和救援合作，增强事故废水的防范能力；同时应注意加强与搬经镇及河道水利部门的联系</w:t>
            </w:r>
            <w:r>
              <w:rPr>
                <w:rFonts w:hint="eastAsia" w:cs="Times New Roman"/>
                <w:sz w:val="24"/>
                <w:lang w:eastAsia="zh-CN" w:bidi="ar"/>
              </w:rPr>
              <w:t>，充</w:t>
            </w:r>
            <w:r>
              <w:rPr>
                <w:rFonts w:hint="default" w:ascii="Times New Roman" w:hAnsi="Times New Roman" w:cs="Times New Roman"/>
                <w:sz w:val="24"/>
                <w:lang w:bidi="ar"/>
              </w:rPr>
              <w:t>分利用如皋市搬经镇人民政府资源。若雨水泄漏外溢厂区外，可</w:t>
            </w:r>
            <w:r>
              <w:rPr>
                <w:rFonts w:hint="eastAsia" w:cs="Times New Roman"/>
                <w:sz w:val="24"/>
                <w:lang w:eastAsia="zh-CN" w:bidi="ar"/>
              </w:rPr>
              <w:t>采用</w:t>
            </w:r>
            <w:r>
              <w:rPr>
                <w:rFonts w:hint="default" w:ascii="Times New Roman" w:hAnsi="Times New Roman" w:cs="Times New Roman"/>
                <w:sz w:val="24"/>
                <w:lang w:bidi="ar"/>
              </w:rPr>
              <w:t>封堵气囊封堵外部雨水管道，防止事故废水排入周边河流。</w:t>
            </w:r>
          </w:p>
          <w:p>
            <w:pPr>
              <w:widowControl/>
              <w:spacing w:line="360" w:lineRule="auto"/>
              <w:ind w:firstLine="480"/>
              <w:jc w:val="left"/>
              <w:rPr>
                <w:rFonts w:hint="eastAsia" w:ascii="Times New Roman" w:hAnsi="Times New Roman" w:eastAsia="宋体" w:cs="Times New Roman"/>
                <w:sz w:val="24"/>
                <w:lang w:val="en-US" w:eastAsia="zh-CN" w:bidi="ar"/>
              </w:rPr>
            </w:pPr>
            <w:r>
              <w:rPr>
                <w:rFonts w:hint="eastAsia" w:cs="Times New Roman"/>
                <w:sz w:val="24"/>
                <w:lang w:val="en-US" w:eastAsia="zh-CN" w:bidi="ar"/>
              </w:rPr>
              <w:t>⑫针对</w:t>
            </w:r>
            <w:r>
              <w:rPr>
                <w:rFonts w:hint="eastAsia"/>
                <w:sz w:val="24"/>
                <w:lang w:bidi="ar"/>
              </w:rPr>
              <w:t>焦港河（如皋市）清水通道维护区</w:t>
            </w:r>
            <w:r>
              <w:rPr>
                <w:rFonts w:hint="eastAsia"/>
                <w:sz w:val="24"/>
                <w:lang w:val="en-US" w:eastAsia="zh-CN" w:bidi="ar"/>
              </w:rPr>
              <w:t>风险防控措施</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清水通道维护区敏感性说明：根据《江苏省生态空间管控区域规划》《江苏省国家级生态保护红线规划》，清水通道维护区具有水源涵养、水质净化等重要生态功能，属于环境敏感目标。本项目距离</w:t>
            </w:r>
            <w:r>
              <w:rPr>
                <w:rFonts w:hint="eastAsia"/>
                <w:sz w:val="24"/>
                <w:lang w:bidi="ar"/>
              </w:rPr>
              <w:t>焦港河（如皋市）清水通道维护区</w:t>
            </w:r>
            <w:r>
              <w:rPr>
                <w:rFonts w:hint="default" w:ascii="Times New Roman" w:hAnsi="Times New Roman" w:cs="Times New Roman"/>
                <w:sz w:val="24"/>
                <w:lang w:val="en-US" w:eastAsia="zh-CN" w:bidi="ar"/>
              </w:rPr>
              <w:t>边界最近约</w:t>
            </w:r>
            <w:r>
              <w:rPr>
                <w:rFonts w:hint="eastAsia" w:cs="Times New Roman"/>
                <w:sz w:val="24"/>
                <w:lang w:val="en-US" w:eastAsia="zh-CN" w:bidi="ar"/>
              </w:rPr>
              <w:t>100m</w:t>
            </w:r>
            <w:r>
              <w:rPr>
                <w:rFonts w:hint="default" w:ascii="Times New Roman" w:hAnsi="Times New Roman" w:cs="Times New Roman"/>
                <w:sz w:val="24"/>
                <w:lang w:val="en-US" w:eastAsia="zh-CN" w:bidi="ar"/>
              </w:rPr>
              <w:t>，一旦发生风险事故，泄漏物料或消防废水可能通过地表径流、地下渗流等途径进入维护区，对水生态环境造成不利影响，需重点防范。</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清水通道维护区专项防护措施</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空间隔离：在靠近清水通道维护区一侧的厂界设置实体围墙（高度≥2.5m）及绿化隔离带（宽度≥10m，选用吸附性强的乔灌木），兼具防渗、拦截、吸附功能。</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排水系统管控：厂区实行雨污分流、清污分流，雨水排放口设置切断阀，发现异常立即切断排放，雨水管网与事故应急池连通。禁止在暴雨期间进行物料装卸作业，防止初期雨水携带污染物进入清水通道维护区。</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应急预案与联动机制</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（1）企业编制突发环境事件应急预案，针对清水通道维护区制定专项应急处置卡，明确泄漏拦截、吸附清理、水质监测等关键步骤，每年至少开展1次实战演练。</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（2）与属地生态环境部门、水利部门、清水通道管理机构建立应急联动机制，事故状态下第一时间通报，共享应急物资与监测资源，协同开展维护区水质应急监测与污染控制。</w:t>
            </w:r>
          </w:p>
          <w:p>
            <w:pPr>
              <w:widowControl/>
              <w:spacing w:line="360" w:lineRule="auto"/>
              <w:ind w:firstLine="480"/>
              <w:jc w:val="left"/>
              <w:rPr>
                <w:rFonts w:hint="default" w:ascii="Times New Roman" w:hAnsi="Times New Roman" w:cs="Times New Roman"/>
                <w:sz w:val="24"/>
                <w:lang w:val="en-US" w:eastAsia="zh-CN" w:bidi="ar"/>
              </w:rPr>
            </w:pPr>
            <w:r>
              <w:rPr>
                <w:rFonts w:hint="default" w:ascii="Times New Roman" w:hAnsi="Times New Roman" w:cs="Times New Roman"/>
                <w:sz w:val="24"/>
                <w:lang w:val="en-US" w:eastAsia="zh-CN" w:bidi="ar"/>
              </w:rPr>
              <w:t>（3）配备必要的应急物资，包括围油栏、吸油毡、活性炭、便携式水质检测仪等，定期检查更新，确保处于可用状态。</w:t>
            </w:r>
          </w:p>
          <w:p>
            <w:pPr>
              <w:widowControl/>
              <w:spacing w:line="360" w:lineRule="auto"/>
              <w:ind w:firstLine="480"/>
              <w:jc w:val="left"/>
              <w:rPr>
                <w:rFonts w:hint="default" w:ascii="Times New Roman" w:hAnsi="Times New Roman" w:cs="Times New Roman"/>
                <w:sz w:val="24"/>
                <w:lang w:bidi="ar"/>
              </w:rPr>
            </w:pPr>
            <w:r>
              <w:rPr>
                <w:rFonts w:hint="eastAsia" w:cs="Times New Roman"/>
                <w:sz w:val="24"/>
                <w:lang w:val="en-US" w:eastAsia="zh-CN" w:bidi="ar"/>
              </w:rPr>
              <w:t>⑬</w:t>
            </w:r>
            <w:r>
              <w:rPr>
                <w:rFonts w:hint="default" w:ascii="Times New Roman" w:hAnsi="Times New Roman" w:cs="Times New Roman"/>
                <w:sz w:val="24"/>
                <w:lang w:bidi="ar"/>
              </w:rPr>
              <w:t>环境风险监控措施</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公司目前对环境风险源的监控主要采用人工监控与自动监控相结合的方式，公司安排专职人员进行24小时值班，并在厂区内部安装24小时自动监控系统。</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a.火灾报警系统：本公司厂房设有火灾手动报警按钮，人员巡查时发现泄漏引起火灾后，立即击碎附近报警按钮玻璃，其报警信号立即传送到消防泵房，消防泵立即自动启动，确保消防管网水源、压力用于紧急灭火。</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b.消防灭火系统：在厂房、仓库配备灭火器材、消防器材，并定期检查，确保各器材正常使用。公司消防员专门建立消防台账，定期组织人员对重点区域进行消防检查。</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c.视频监控系统：本公司在仓库、车间设置了视频监控系统，可在控制室进行实时监视。警卫室视频显示器可对整个厂区重点部位进行24小时监视。</w:t>
            </w:r>
          </w:p>
          <w:p>
            <w:pPr>
              <w:widowControl/>
              <w:spacing w:line="360" w:lineRule="auto"/>
              <w:ind w:firstLine="48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d.可燃气体泄漏检测系统：在天然气管道沿线、阀门组、调压站等关键部位设置固定式可燃气体检测报警器，实时监测泄漏浓度，报警信号接入消防控制室；配备便携式可燃气体检测仪，由专职人员每日巡检，检测数据记录在案。</w:t>
            </w:r>
          </w:p>
          <w:p>
            <w:pPr>
              <w:widowControl/>
              <w:spacing w:line="360" w:lineRule="auto"/>
              <w:ind w:firstLine="48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e.压力与流量在线监测系统：对天然气管道压力、温度、流量进行24小时在线监控，设置高低压报警和自动紧急切断联锁装置，超压或异常波动时自动切断气源并报警，数据实时上传至中控室。</w:t>
            </w:r>
          </w:p>
          <w:p>
            <w:pPr>
              <w:widowControl/>
              <w:spacing w:line="360" w:lineRule="auto"/>
              <w:ind w:firstLine="480"/>
              <w:jc w:val="left"/>
              <w:rPr>
                <w:rFonts w:hint="default" w:ascii="Times New Roman" w:hAnsi="Times New Roman" w:eastAsia="宋体" w:cs="Times New Roman"/>
                <w:color w:val="auto"/>
                <w:sz w:val="24"/>
                <w:lang w:val="en-US" w:eastAsia="zh-CN" w:bidi="ar"/>
              </w:rPr>
            </w:pPr>
            <w:r>
              <w:rPr>
                <w:rFonts w:hint="default" w:ascii="Times New Roman" w:hAnsi="Times New Roman" w:cs="Times New Roman"/>
                <w:color w:val="auto"/>
                <w:sz w:val="24"/>
                <w:lang w:val="en-US" w:eastAsia="zh-CN" w:bidi="ar"/>
              </w:rPr>
              <w:t>f.阴极保护远程监控系统：对埋地天然气管道设置阴极保护系统，并安装远程监测装置，实时监控管道电位，确保防腐层完好性，发现异常立即排查处理。</w:t>
            </w:r>
          </w:p>
          <w:p>
            <w:pPr>
              <w:widowControl/>
              <w:spacing w:line="360" w:lineRule="auto"/>
              <w:ind w:firstLine="480"/>
              <w:jc w:val="left"/>
              <w:rPr>
                <w:rFonts w:hint="default" w:ascii="Times New Roman" w:hAnsi="Times New Roman" w:eastAsia="宋体" w:cs="Times New Roman"/>
                <w:color w:val="auto"/>
                <w:sz w:val="24"/>
                <w:lang w:val="en-US" w:eastAsia="zh-CN" w:bidi="ar"/>
              </w:rPr>
            </w:pPr>
            <w:r>
              <w:rPr>
                <w:rFonts w:hint="default" w:ascii="Times New Roman" w:hAnsi="Times New Roman" w:cs="Times New Roman"/>
                <w:color w:val="auto"/>
                <w:sz w:val="24"/>
                <w:lang w:val="en-US" w:eastAsia="zh-CN" w:bidi="ar"/>
              </w:rPr>
              <w:t>g.系统联动集成：将可燃气体检测报警系统与火灾报警系统、视频监控系统、紧急切断阀联动，一旦报警，自动启动相应区域视频追踪、关闭相关阀门，并在消防控制室显示报警位置。</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val="en-US" w:eastAsia="zh-CN" w:bidi="ar"/>
              </w:rPr>
              <w:t>h.</w:t>
            </w:r>
            <w:r>
              <w:rPr>
                <w:rFonts w:hint="default" w:ascii="Times New Roman" w:hAnsi="Times New Roman" w:cs="Times New Roman"/>
                <w:sz w:val="24"/>
                <w:lang w:bidi="ar"/>
              </w:rPr>
              <w:t>雨水排口设置闸控，一旦发生事故时，紧急关闭雨污排口闸控。</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val="en-US" w:eastAsia="zh-CN" w:bidi="ar"/>
              </w:rPr>
              <w:t>i.</w:t>
            </w:r>
            <w:r>
              <w:rPr>
                <w:rFonts w:hint="default" w:ascii="Times New Roman" w:hAnsi="Times New Roman" w:cs="Times New Roman"/>
                <w:sz w:val="24"/>
                <w:lang w:bidi="ar"/>
              </w:rPr>
              <w:t>厂区需设有应急池，一旦物料泄漏，冲洗废水或消防废水打入事故池，污水收集池失效导致事故废水泄漏，打入废水收集池。</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公司安环部对各环境风险源进行定期检查或不定期的抽查。</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sz w:val="24"/>
                <w:lang w:bidi="ar"/>
              </w:rPr>
              <w:t>针对关键装置、要害部位等可能发生重大突发事件，确定相应的危险目标，如可能发生火灾、爆炸以及有毒有害物品泄漏、大面积急性中毒等危险目标。按照环保要求，认真排查公司所有环境安全风险源，针对不同环境安全风险源，制定切实可行的突发环境事件应急预案；定期开展环境安全教育。</w:t>
            </w:r>
          </w:p>
          <w:p>
            <w:pPr>
              <w:widowControl/>
              <w:spacing w:line="360" w:lineRule="auto"/>
              <w:ind w:firstLine="480"/>
              <w:jc w:val="left"/>
              <w:rPr>
                <w:rFonts w:hint="default" w:ascii="Times New Roman" w:hAnsi="Times New Roman" w:cs="Times New Roman"/>
                <w:sz w:val="24"/>
                <w:lang w:bidi="ar"/>
              </w:rPr>
            </w:pPr>
            <w:r>
              <w:rPr>
                <w:rFonts w:hint="default" w:ascii="Times New Roman" w:hAnsi="Times New Roman" w:cs="Times New Roman"/>
                <w:b/>
                <w:bCs/>
                <w:sz w:val="24"/>
                <w:lang w:bidi="ar"/>
              </w:rPr>
              <w:t>建立与园区对接、联动的风险防范体系</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企业环境风险防范须建立与园区对接、联动的风险防范体系。可从以下几个方面进行建设：</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①风险应急预案的衔接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a.应急组织机构、人员的衔接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当发生风险事故时，项目通信组应及时承担起与当地区域或各职能管理部门的应急指挥机构的联系工作，及时将事故发生情况及最新进展向有关部门汇报，并将上级指挥机构的命令及时向项目应急指挥小组汇报；编制环境污染事故报告，并将报告向上级部门汇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b.预案分级响应的衔接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一般污染事故：在污染事故现场处置妥当后，经应急指挥小组研究确定后，向当地环保部门和如皋市事故应急处理指挥部报告处理结果。</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较大或严重污染事故：应急指挥小组在接到事故报警后，及时向如皋市应急处理指挥部报告，并请求支援；如皋市应急处理指挥部进行紧急动员，适时启动区域的环境污染事故应急预案迅速调集救援力量，指挥工业园成员单位、相关职能部门，根据应急预案组成各个应急行动小组，按照各自的职责和现场救援具体方案开展抢险救援工作，厂内应急小组听从现场指挥部的领导。现场指挥部同时将有关进展情况向如皋市应急处理指挥部汇报；污染事故基本控制稳定后，现场应急指挥部将根据专家意见，迅速调集后援力量展开事故处置工作。现场应急处理结束。当污染事故有进一步扩大、发展趋势，或因事故衍生问题造成重大社会不稳定事态，现场应急指挥部将根据事态发展，及时调整应急响应级别，发布预警信息，同时向如皋市应急处理指挥部和省环境污染事故应急处理指挥部请求援助。</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c.应急救援保障的衔接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单位互助体系：建设单位和周边企业建立良好的应急互助关系，在重大事故发生后，相互支持。</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公共援助力量：厂区还可以联系如皋市公共消防队、医院、公安、交通、应急管理局以及各相关职能部门，请求救援力量、设备的支持。</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专家援助：建设单位建立风险事故救援安全专家库，在紧急情况下，可以联系获取救援支持。</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d.应急培训计划的衔接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建设单位在开展应急培训计划的同时，还应积极配合如皋市开展的应急培训计划，在发生风险事故时，及时与如皋市应急组织取得联系。</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e.公众教育的衔接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建设单位对厂内和附近地区公众开展教育、培训时，应加强与周边公众和如皋市相关单位的交流，如发生事故，可更好地疏散、防护污染。</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②风险防范措施的衔接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a.污染治理措施的衔接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当风险事故废水超过建设单位能够处理范围后，应及时向如皋市相关单位请求援助，帮助收集事故废水，以免风险事故发生扩大。</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b.消防及火灾报警系统的衔接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消防站、消防车辆与如皋市消防站配套建设；厂内采用电话报警，火灾报警信号报送至厂内消防站，必要时报送至消防站。</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③突发环境事件应急预案编制、修订和备案要求</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a.应急预案编制目的</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为了最大限度降低因火灾、爆炸或其他意外的突发或非突发事件导致的危险物质或危险物质组分泄漏到空气、土壤或水体中而产生的对人体健康和环境的危害。</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b.应急预案适用范围</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人为或不可抗力造成的废气、废水、固（危）废、原辅料等环境污染破坏事件；在生产、贮存、使用和处置过程中因化学品的泄漏造成的中毒、火灾爆炸事件；企业生产过程中因生产装置、污染防治设施、设备等因素发生意外事故造成的突发性环境污染事故等。</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c.应急预案文本管理及修订</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在生产车间及办公区域应至少存放一份完整的应急预案副本，在生产、原料区应至少存放一份简洁明确的应急响应程序图或行动表。使用法律法规发生变化时，应急预案应及时修订；事故应急救援预案经演练评估后，对演练中发现的问题应及时进行修订、补充、完善，使预案进一步合理化；应急协调人改变、应急装备改变、应急技术和能力的变化、各个生产班组、生产岗位发生变化时，应急预案应及时修订；应急救援危险目标内的废气处理装置、危险废物暂存场所等有所变化，应对预案及时进行修正。</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d.应急预案备案要求</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建设单位应当在建设项目投入生产或者使用前，制定环境应急预案，在环境应急预案签署发布之日起20个工作日内，向建设项目所在地受理部门备案。建设单位环境应急预案首次备案，应当提交下列文件：</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突发环境事件应急预案备案表；环境应急预案及编制说明的纸质文件和电子文件，环境应急预案包括：环境应急预案的签署发布文件、环境应急预案文本；编制说明包括：编制过程概述、重点内容说明、征求意见及采纳情况说明、评审情况说明；环境风险评估报告的纸质文件和电子文件；环境应急资源调查报告的纸质文件和电子文件；环境应急预案评审意见的纸质文件和电子文件。</w:t>
            </w:r>
          </w:p>
          <w:p>
            <w:pPr>
              <w:adjustRightInd w:val="0"/>
              <w:snapToGrid w:val="0"/>
              <w:spacing w:line="360" w:lineRule="auto"/>
              <w:ind w:firstLine="480" w:firstLineChars="200"/>
              <w:rPr>
                <w:rFonts w:hint="default" w:ascii="Times New Roman" w:hAnsi="Times New Roman" w:cs="Times New Roman"/>
                <w:b/>
                <w:sz w:val="24"/>
              </w:rPr>
            </w:pPr>
            <w:r>
              <w:rPr>
                <w:rFonts w:hint="default" w:ascii="Times New Roman" w:hAnsi="Times New Roman" w:cs="Times New Roman"/>
                <w:sz w:val="24"/>
              </w:rPr>
              <w:t>建设单位环境应急预案有重大修订的，应当在发布之日起20个工作日内向原受理部门变更备案。</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④事故状态下的特征污染因子和应急监测能力</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企业不具备应急监测能力的，委托有资质单位进行应急监测，并签订应急监测协议。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a.特征因子确定：</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突发环境事件应急监测技术规范》（HJ589-2021）中：污染物和监测项目的确定原则：优先选择特征污染物和主要污染因子作为监测项目，根据污染事件的性质和环境污染状况确认在环境中积累较多、对环境危害较大、影响范围广、毒性较强的污染物，或者为污染事件对环境造成严重不良影响的特定项目，并根据污染物性质（自然性、扩散性或活性、毒性、可持续性、生物可降解性或积累性、潜在毒性）及污染趋势，按可行性原则（尽量有监测方法、评价标准或要求）进行确定。</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根据已知污染物及其可能存在的伴生物质，以及可能在环境中反应生成的衍生污染物或次生污染物等确定主要监测项目。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b.布点原则：</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采样断面（点）的设置一般以突发环境事件发生地及可能受影响的环境区域为主，同时应注重人群和生活环境、事件发生地周围重要生态环境保护目标及环境敏感点，重点关注对饮用水水源地、人群活动区域的空气、农田土壤、自然保护区、风景名胜区及其他需要特殊保护的区域的影响，合理设置监测断面（点），判断污染团（带）位置、反映污染变化趋势、了解应急处置效果。应根据突发环境事件应急处置情况动态及时更新调整布设点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c.监测频次：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监测频次主要根据现场污染状况确定。事件刚发生时，监测频次可适当增加，待摸清污染变化规律后，可适当减少监测频次。依据不同的环境区域功能和现场具体污染状况，力求以最合理的监测频次，取得具有足够时空代表性的监测结果，做到既有代表性、能满足应急工作要求，又切实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sz w:val="24"/>
              </w:rPr>
            </w:pPr>
            <w:r>
              <w:rPr>
                <w:rFonts w:hint="default" w:ascii="Times New Roman" w:hAnsi="Times New Roman" w:cs="Times New Roman"/>
                <w:b/>
                <w:sz w:val="24"/>
              </w:rPr>
              <w:t>⑤应急物资装备和人员要求</w:t>
            </w:r>
          </w:p>
          <w:p>
            <w:pPr>
              <w:pStyle w:val="22"/>
              <w:keepNext w:val="0"/>
              <w:keepLines w:val="0"/>
              <w:pageBreakBefore w:val="0"/>
              <w:widowControl w:val="0"/>
              <w:kinsoku/>
              <w:wordWrap/>
              <w:overflowPunct/>
              <w:topLinePunct w:val="0"/>
              <w:autoSpaceDE/>
              <w:autoSpaceDN/>
              <w:bidi w:val="0"/>
              <w:spacing w:before="0" w:beforeAutospacing="0" w:after="0" w:afterAutospacing="0" w:line="360" w:lineRule="auto"/>
              <w:ind w:firstLine="480" w:firstLineChars="200"/>
              <w:jc w:val="both"/>
              <w:textAlignment w:val="auto"/>
              <w:rPr>
                <w:rFonts w:hint="default" w:ascii="Times New Roman" w:hAnsi="Times New Roman" w:cs="Times New Roman"/>
                <w:kern w:val="2"/>
                <w:szCs w:val="24"/>
                <w:lang w:bidi="ar"/>
              </w:rPr>
            </w:pPr>
            <w:r>
              <w:rPr>
                <w:rFonts w:hint="default" w:ascii="Times New Roman" w:hAnsi="Times New Roman" w:cs="Times New Roman"/>
                <w:kern w:val="2"/>
                <w:szCs w:val="24"/>
                <w:lang w:bidi="ar"/>
              </w:rPr>
              <w:t>应急物资装备：本项目建成后，按照规范设置应急物资，主要物资如下：</w:t>
            </w:r>
          </w:p>
          <w:p>
            <w:pPr>
              <w:pStyle w:val="22"/>
              <w:widowControl w:val="0"/>
              <w:spacing w:before="0" w:beforeAutospacing="0" w:after="0" w:afterAutospacing="0"/>
              <w:jc w:val="center"/>
              <w:rPr>
                <w:rFonts w:hint="default" w:ascii="Times New Roman" w:hAnsi="Times New Roman" w:cs="Times New Roman"/>
                <w:kern w:val="2"/>
                <w:szCs w:val="24"/>
                <w:lang w:bidi="ar"/>
              </w:rPr>
            </w:pPr>
            <w:r>
              <w:rPr>
                <w:rFonts w:hint="default" w:ascii="Times New Roman" w:hAnsi="Times New Roman" w:cs="Times New Roman"/>
                <w:b/>
                <w:bCs/>
                <w:kern w:val="2"/>
                <w:szCs w:val="24"/>
                <w:lang w:bidi="ar"/>
              </w:rPr>
              <w:t>表4-</w:t>
            </w:r>
            <w:r>
              <w:rPr>
                <w:rFonts w:hint="default" w:ascii="Times New Roman" w:hAnsi="Times New Roman" w:cs="Times New Roman"/>
                <w:b/>
                <w:bCs/>
                <w:kern w:val="2"/>
                <w:szCs w:val="24"/>
                <w:lang w:val="en-US" w:eastAsia="zh-CN" w:bidi="ar"/>
              </w:rPr>
              <w:t>21</w:t>
            </w:r>
            <w:r>
              <w:rPr>
                <w:rFonts w:hint="default" w:ascii="Times New Roman" w:hAnsi="Times New Roman" w:cs="Times New Roman"/>
                <w:b/>
                <w:bCs/>
                <w:kern w:val="2"/>
                <w:szCs w:val="24"/>
                <w:lang w:bidi="ar"/>
              </w:rPr>
              <w:t xml:space="preserve"> 本项目应急物资一览表</w:t>
            </w:r>
          </w:p>
          <w:tbl>
            <w:tblPr>
              <w:tblStyle w:val="27"/>
              <w:tblW w:w="79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4"/>
              <w:gridCol w:w="2646"/>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0" w:type="dxa"/>
                  <w:gridSpan w:val="2"/>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b/>
                      <w:bCs/>
                      <w:kern w:val="2"/>
                      <w:sz w:val="21"/>
                      <w:szCs w:val="21"/>
                      <w:lang w:bidi="ar"/>
                    </w:rPr>
                  </w:pPr>
                  <w:r>
                    <w:rPr>
                      <w:rFonts w:hint="default" w:ascii="Times New Roman" w:hAnsi="Times New Roman" w:cs="Times New Roman"/>
                      <w:b/>
                      <w:bCs/>
                      <w:kern w:val="2"/>
                      <w:sz w:val="21"/>
                      <w:szCs w:val="21"/>
                      <w:lang w:bidi="ar"/>
                    </w:rPr>
                    <w:t>应急物资名称</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b/>
                      <w:bCs/>
                      <w:kern w:val="2"/>
                      <w:sz w:val="21"/>
                      <w:szCs w:val="21"/>
                      <w:lang w:bidi="ar"/>
                    </w:rPr>
                  </w:pPr>
                  <w:r>
                    <w:rPr>
                      <w:rFonts w:hint="default" w:ascii="Times New Roman" w:hAnsi="Times New Roman" w:cs="Times New Roman"/>
                      <w:b/>
                      <w:bCs/>
                      <w:kern w:val="2"/>
                      <w:sz w:val="21"/>
                      <w:szCs w:val="21"/>
                      <w:lang w:bidi="ar"/>
                    </w:rPr>
                    <w:t>数量（个/套）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restart"/>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个人防护装备器材</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正压式呼吸器</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防毒面具</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安全帽、安全带</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警戒绳、安全绳</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restart"/>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堵漏、收集器材/设备</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消防沙</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25kg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消防铲</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活性炭</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10kg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应急监测/在线监控设备</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摄像头</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restart"/>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常用应急物资</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防毒口罩</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急救箱</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应急照明</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2个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水泵</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644" w:type="dxa"/>
                  <w:vMerge w:val="continue"/>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应急电缆</w:t>
                  </w:r>
                </w:p>
              </w:tc>
              <w:tc>
                <w:tcPr>
                  <w:tcW w:w="2646" w:type="dxa"/>
                  <w:tcBorders>
                    <w:tl2br w:val="nil"/>
                    <w:tr2bl w:val="nil"/>
                  </w:tcBorders>
                  <w:vAlign w:val="center"/>
                </w:tcPr>
                <w:p>
                  <w:pPr>
                    <w:pStyle w:val="22"/>
                    <w:widowControl w:val="0"/>
                    <w:spacing w:before="0" w:beforeAutospacing="0" w:after="0" w:afterAutospacing="0"/>
                    <w:jc w:val="center"/>
                    <w:rPr>
                      <w:rFonts w:hint="default" w:ascii="Times New Roman" w:hAnsi="Times New Roman" w:cs="Times New Roman"/>
                      <w:kern w:val="2"/>
                      <w:sz w:val="21"/>
                      <w:szCs w:val="21"/>
                      <w:lang w:bidi="ar"/>
                    </w:rPr>
                  </w:pPr>
                  <w:r>
                    <w:rPr>
                      <w:rFonts w:hint="default" w:ascii="Times New Roman" w:hAnsi="Times New Roman" w:cs="Times New Roman"/>
                      <w:kern w:val="2"/>
                      <w:sz w:val="21"/>
                      <w:szCs w:val="21"/>
                      <w:lang w:bidi="ar"/>
                    </w:rPr>
                    <w:t>1套</w:t>
                  </w:r>
                </w:p>
              </w:tc>
            </w:tr>
          </w:tbl>
          <w:p>
            <w:pPr>
              <w:adjustRightInd w:val="0"/>
              <w:snapToGrid w:val="0"/>
              <w:spacing w:line="360" w:lineRule="auto"/>
              <w:ind w:firstLine="480" w:firstLineChars="200"/>
              <w:rPr>
                <w:rFonts w:hint="default" w:ascii="Times New Roman" w:hAnsi="Times New Roman" w:cs="Times New Roman"/>
                <w:sz w:val="24"/>
                <w:lang w:bidi="ar"/>
              </w:rPr>
            </w:pPr>
            <w:r>
              <w:rPr>
                <w:rFonts w:hint="default" w:ascii="Times New Roman" w:hAnsi="Times New Roman" w:cs="Times New Roman"/>
                <w:sz w:val="24"/>
                <w:lang w:bidi="ar"/>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针对培训内容进行考试，考试成绩纳入年终考核。</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⑥建立突发环境事件隐患排查治理制度</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根据《企业突发环境事件隐患排查与治理工作指南（试行）》：隐患排查内容：从环境应急管理和突发环境事件风险防控措施（大气环境、水环境）两大方面排查可能直接导致或次生突发环境事件的隐患。</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隐患排查方式和频次：综合排查是指企业以厂区为单位开展全面排查，一年应不少于一次。</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日常排查是指以班组、工段、车间为单位，组织对单个或几个项目采取日常的、巡视性的排查工作，其频次根据具体排查项目确定。一个月应不少于一次。专项排查是在特定时间或对特定区域、设备、措施进行的专门性排查。其频次根据实际需要确定。企业可根据自身管理流程，采取抽查方式排查隐患。</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制定隐患排查治理制度：</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a.隐患排查内容</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b.隐患排查方式和频次</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c.隐患排查治理制度要求</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企业应当建立并完善隐患排查管理机构，配备相应的管理和技术人员。企业应当建立隐患排查治理责任制，明确从主要负责人到每位作业人员的隐患排查治理责任。制定突发环境事件风险防控设施的操作规程和检查、运行、维修与维护等规定，保证资金投入，确保各设施处于正常完好状态。建立自查、自报、自改、自验的隐患排查治理组织实施制度。综合考虑企业自身突发环境事件风险等级、生产工况等因素合理制定年度工作计划，明确排查频次、排查规模、排查项目等内容。如实记录隐患排查治理情况，形成档案文件并做好存档，至少留存五年。及时修订企业突发环境事件应急预案、完善相关突发环境事件风险防控措施。定期对员工进行隐患排查治理相关知识的宣传和培训，并通过演练检验各项突发环境事件风险防控措施的可操作性，提高从业人员隐患排查治理能力和风险防范水平。有条件的企业应当建立与企业相关信息化管理系统联网的突发环境事件隐患排查治理信息系统。</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⑦应急培训、演练和台账记录要求</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a.应急培训</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公司应组织对员工应急预案的培训与宣传教育，培训应形成详细台账记录，记录培训时间、地点、内容、参加人员、考试评估等情况。公司至少每年组织一次应急救援方面的培训考核。</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b.应急演练</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演练方式：桌面演练、单项演练、综合演练。</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rPr>
            </w:pPr>
            <w:r>
              <w:rPr>
                <w:rFonts w:hint="default" w:ascii="Times New Roman" w:hAnsi="Times New Roman" w:cs="Times New Roman"/>
                <w:szCs w:val="24"/>
              </w:rPr>
              <w:t>演练内容：物料泄漏及火灾应急处置；通信及报警信号联络；急救及医疗；现场洗消处理；防护指导，包括专业人员的个人防护和普通员工的自我防护；各种标志、警戒范围的设置及人员控制；厂内交通控制及管理；模拟事件现场的疏散撤离及人员清查；向上级报告情况及向友邻单位通报情况。</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应急管理制度</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制定安全责任制、各项安全管理制度、操作规程、安全技术规程和各种设备维修保养和设备管理制度，加强现场管理，狠抓劳动纪律，同时经常对职工进行思想教育、工艺操作、设备操作训练，使职工能熟练掌握所在岗位和所在环境中的各个要素，了解一些常见的扑火、中毒的自救能力，互相救助的一些常识。</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建立巡回检查制度，这个检查不是浮于形式，而是实实在在地检查，查隐患，发现问题及时上报并且责令负责部门限期整改到位，复查合格，记录在案。</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加强对职工的劳动保护用品的使用和发放，为职工配备所需用的防护用品和急救用品。</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对可能发生的事故，公司制订应急计划，使各部门在事故发生后能有步骤、有秩序地采取各项应急措施，并与市安全防火部门和紧急救援中心的应急预案衔接，统一采取救援行动。</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事故发生后，应根据具体情况采取应急措施，切断泄漏源、火源，控制事故扩大，同时通知中央控制室，根据事故类型、大小启动相应的应急预案；</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发生重大事故，应立即上报相关部门，启动社会救援系统，就近地区调拨专业救援队伍协助处理；事故发生后应立即通知当地安全、环保、消防、医院等部门，协同事故救援与监控。</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环境风险标识标牌设置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应对厂区相关环境风险防范设施设置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企事业单位和工业园区突发环境事件应急预案编制导则》（DB32/T3795-2020）：5.3.4应急处置卡：针对环境风险单元中重点工作岗位编制应急处置卡，明确环境风险物质及类型、污染源切断方式、信息报告方式、责任人等内容。应急处置卡应置于岗位现场明显位置。</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了在发生突发环境事件时，能够及时、有序、高效地实施抢险救援工作，最大限度地减少人员伤亡和财产损失，尽快恢复正常工作秩序，建设单位应按照《企业事业单位突发环境事件应急预案备案管理办法（试行）》（环发〔2015〕4号）、《企事业单位和工业园区突发环境事件应急预案编制导则》（DB32/T3795-2020）等文件的要求完善全厂突发环境事件应急预案，并进行备案。应急预案应包括综合预案、专项预案、现场处置预案，应急预案具体内容见表4-</w:t>
            </w:r>
            <w:r>
              <w:rPr>
                <w:rFonts w:hint="default" w:ascii="Times New Roman" w:hAnsi="Times New Roman" w:cs="Times New Roman"/>
                <w:sz w:val="24"/>
                <w:lang w:val="en-US" w:eastAsia="zh-CN"/>
              </w:rPr>
              <w:t>22</w:t>
            </w:r>
            <w:r>
              <w:rPr>
                <w:rFonts w:hint="default" w:ascii="Times New Roman" w:hAnsi="Times New Roman" w:cs="Times New Roman"/>
                <w:sz w:val="24"/>
              </w:rPr>
              <w:t>。</w:t>
            </w:r>
          </w:p>
          <w:p>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表4-</w:t>
            </w:r>
            <w:r>
              <w:rPr>
                <w:rFonts w:hint="default" w:ascii="Times New Roman" w:hAnsi="Times New Roman" w:cs="Times New Roman"/>
                <w:b/>
                <w:sz w:val="24"/>
                <w:lang w:val="en-US" w:eastAsia="zh-CN"/>
              </w:rPr>
              <w:t>22</w:t>
            </w:r>
            <w:r>
              <w:rPr>
                <w:rFonts w:hint="default" w:ascii="Times New Roman" w:hAnsi="Times New Roman" w:cs="Times New Roman"/>
                <w:b/>
                <w:sz w:val="24"/>
              </w:rPr>
              <w:t xml:space="preserve"> 应急预案内容及要求</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4"/>
              <w:gridCol w:w="1346"/>
              <w:gridCol w:w="6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3798"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3"/>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b/>
                      <w:szCs w:val="21"/>
                    </w:rPr>
                  </w:pPr>
                  <w:r>
                    <w:rPr>
                      <w:rFonts w:hint="default" w:ascii="Times New Roman" w:hAnsi="Times New Roman" w:cs="Times New Roman"/>
                      <w:szCs w:val="21"/>
                    </w:rPr>
                    <w:t>综合预案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总则</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明确编制目的、编制依据、适用范围、预案体系、工作原则等。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组织机构及职责</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明确环境应急组织机构体系、人员及应急工作职责，辅以图、表形式表示。</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应急组织机构体系由应急指挥部及其办事机构、应急处置组、环境应急监测组、应急保障组以及其他必要的行动组构成，企事业单位可依据实际情况调整，应与其他应急组织机构相协调。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监控预警</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明确对环境风险源监控的方式、方法以及采取的预防措施。</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结合事件危害程度、紧急程度和发展态势，说明预警信息的获得途径、分析研判的方式方法，明确预警级别、预警发布与解除、预警措施等。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信息报告</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明确信息报告程序、内容和方式。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环境应急监测</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制定不同突发环境事件情景下的环境应急监测方案，具体技术规范可参见HJ 589中相关规定。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环境应急响应</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明确响应程序、响应分级、应急启动、应急处置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7</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应急终止</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明确应急终止的条件、程序和责任人，说明应急状态终止后，开展跟踪环境监测和评估工作的方案。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8</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事后恢复</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明确善后处置和保险理赔。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9</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保障措施</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bookmarkStart w:id="8" w:name="_Toc224965899"/>
                  <w:bookmarkStart w:id="9" w:name="_Toc225244077"/>
                  <w:bookmarkStart w:id="10" w:name="_Toc524554538"/>
                  <w:r>
                    <w:rPr>
                      <w:rFonts w:hint="default" w:ascii="Times New Roman" w:hAnsi="Times New Roman" w:cs="Times New Roman"/>
                      <w:szCs w:val="21"/>
                    </w:rPr>
                    <w:t>根据环境应急工作需求确定相关保障措施，包括经费保障、制度保障、应急物资装备保障、应急队伍保障、通信与信息保障等。</w:t>
                  </w:r>
                  <w:bookmarkEnd w:id="8"/>
                  <w:bookmarkEnd w:id="9"/>
                  <w:bookmarkEnd w:id="1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预案管理</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bookmarkStart w:id="11" w:name="_Toc524554544"/>
                  <w:r>
                    <w:rPr>
                      <w:rFonts w:hint="default" w:ascii="Times New Roman" w:hAnsi="Times New Roman" w:cs="Times New Roman"/>
                      <w:szCs w:val="21"/>
                    </w:rPr>
                    <w:t>明确环境应急预案培训、演练、评估修订等要求。</w:t>
                  </w:r>
                  <w:bookmarkEnd w:id="1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3"/>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专项预案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总体要求</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结合企事业单位生产情况，针对某一种或多种类型突发环境事件制定专项预案，应包括突发环境事件特征、应急组织机构、应急处置程序、应急处置措施等内容。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突发环境事件特征</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说明可能发生的突发环境事件的特征，包括事件可能引发原因、涉及的环境风险物质、事件的危险性和可能影响范围等。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应急组织机构</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明确事件发生时，应负责现场处置的工作组、成员和工作职责。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应急处置程序</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明确应急处置程序，宜采用流程图、路线图、表单等简明形式，可辅以文字说明。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应急处置措施</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说明应急处置措施，应包括污染源切断、污染物控制、污染物消除、应急监测及应急物资调用等。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3"/>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现场处置预案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总体要求</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结合已识别出的重点环境风险单元，制定现场处置预案。现场处置预案应包括环境风险单元特征、应急处置要点等，重点工作岗位应制作应急处置卡。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环境风险单元特征</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说明环境风险单元所涉及环境风险物质、生产工艺、环境风险类型及危害等特征。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应急处置要点</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针对环境风险单元的特征，明确污染源切断、污染物控制、应急物资调用、信息报告、应急防护等要点。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847" w:type="pct"/>
                  <w:tcBorders>
                    <w:tl2br w:val="nil"/>
                    <w:tr2bl w:val="nil"/>
                  </w:tcBorders>
                  <w:tcMar>
                    <w:top w:w="0" w:type="dxa"/>
                    <w:left w:w="57" w:type="dxa"/>
                    <w:bottom w:w="0" w:type="dxa"/>
                    <w:right w:w="57"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应急处置卡</w:t>
                  </w:r>
                </w:p>
              </w:tc>
              <w:tc>
                <w:tcPr>
                  <w:tcW w:w="3798"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针对环境风险单元中重点工作岗位编制应急处置卡，明确环境风险物质及类型、污染源切断方式、信息报告方式、责任人等内容。应急处置卡应置于岗位现场明显位置。</w:t>
                  </w:r>
                </w:p>
              </w:tc>
            </w:tr>
          </w:tbl>
          <w:p>
            <w:pPr>
              <w:pStyle w:val="22"/>
              <w:widowControl w:val="0"/>
              <w:spacing w:before="0" w:beforeAutospacing="0" w:after="0" w:afterAutospacing="0" w:line="360" w:lineRule="auto"/>
              <w:ind w:firstLine="480" w:firstLineChars="200"/>
              <w:jc w:val="both"/>
              <w:rPr>
                <w:rFonts w:hint="default" w:ascii="Times New Roman" w:hAnsi="Times New Roman" w:cs="Times New Roman"/>
                <w:szCs w:val="24"/>
                <w:lang w:bidi="ar"/>
              </w:rPr>
            </w:pPr>
            <w:r>
              <w:rPr>
                <w:rFonts w:hint="default" w:ascii="Times New Roman" w:hAnsi="Times New Roman" w:cs="Times New Roman"/>
                <w:szCs w:val="21"/>
              </w:rPr>
              <w:t>环境应急预案经评审完善后，由单位主要负责人签署发布，并报生态环境主管部门备案。企业应结合自身内部因素和外部环境的变化及时修订环境应急预案。</w:t>
            </w:r>
          </w:p>
          <w:p>
            <w:pPr>
              <w:pStyle w:val="22"/>
              <w:widowControl w:val="0"/>
              <w:spacing w:before="0" w:beforeAutospacing="0" w:after="0" w:afterAutospacing="0" w:line="360" w:lineRule="auto"/>
              <w:ind w:firstLine="482" w:firstLineChars="200"/>
              <w:jc w:val="both"/>
              <w:rPr>
                <w:rFonts w:hint="default" w:ascii="Times New Roman" w:hAnsi="Times New Roman" w:cs="Times New Roman"/>
                <w:b/>
                <w:bCs/>
                <w:kern w:val="2"/>
                <w:szCs w:val="24"/>
                <w:lang w:bidi="ar"/>
              </w:rPr>
            </w:pPr>
            <w:r>
              <w:rPr>
                <w:rFonts w:hint="default" w:ascii="Times New Roman" w:hAnsi="Times New Roman" w:cs="Times New Roman"/>
                <w:b/>
                <w:bCs/>
                <w:kern w:val="2"/>
                <w:szCs w:val="24"/>
                <w:lang w:bidi="ar"/>
              </w:rPr>
              <w:t>竣工验收内容</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kern w:val="2"/>
                <w:szCs w:val="24"/>
                <w:lang w:bidi="ar"/>
              </w:rPr>
              <w:t>企业环境应急预案应注重和“三同时”验收、排污许可证的衔接，在建设项目投入生产或使用前应当完成环境应急预案备案。环境应急预案内容包括总则、应急组织指挥体系与职责、预防与预警机制、应急响应、后期工作、应急保障、预案管理及附图附件等。应落实环境风险防控措施，落实环境应急物资、队伍等保障能力落实情况，环境应急演练及培训。</w:t>
            </w:r>
          </w:p>
          <w:p>
            <w:pPr>
              <w:pStyle w:val="22"/>
              <w:widowControl w:val="0"/>
              <w:spacing w:before="0" w:beforeAutospacing="0" w:after="0" w:afterAutospacing="0" w:line="360" w:lineRule="auto"/>
              <w:ind w:firstLine="482" w:firstLineChars="200"/>
              <w:jc w:val="both"/>
              <w:rPr>
                <w:rFonts w:hint="default" w:ascii="Times New Roman" w:hAnsi="Times New Roman" w:cs="Times New Roman"/>
                <w:b/>
                <w:bCs/>
                <w:szCs w:val="24"/>
                <w:lang w:bidi="ar"/>
              </w:rPr>
            </w:pPr>
            <w:r>
              <w:rPr>
                <w:rFonts w:hint="default" w:ascii="Times New Roman" w:hAnsi="Times New Roman" w:cs="Times New Roman"/>
                <w:b/>
                <w:bCs/>
                <w:szCs w:val="24"/>
                <w:lang w:bidi="ar"/>
              </w:rPr>
              <w:t>环境风险分析结论</w:t>
            </w:r>
          </w:p>
          <w:p>
            <w:pPr>
              <w:pStyle w:val="22"/>
              <w:widowControl w:val="0"/>
              <w:spacing w:before="0" w:beforeAutospacing="0" w:after="0" w:afterAutospacing="0" w:line="360" w:lineRule="auto"/>
              <w:ind w:firstLine="480" w:firstLineChars="200"/>
              <w:jc w:val="both"/>
              <w:rPr>
                <w:rFonts w:hint="default" w:ascii="Times New Roman" w:hAnsi="Times New Roman" w:cs="Times New Roman"/>
                <w:kern w:val="2"/>
                <w:szCs w:val="24"/>
                <w:lang w:bidi="ar"/>
              </w:rPr>
            </w:pPr>
            <w:r>
              <w:rPr>
                <w:rFonts w:hint="default" w:ascii="Times New Roman" w:hAnsi="Times New Roman" w:cs="Times New Roman"/>
                <w:szCs w:val="24"/>
                <w:lang w:bidi="ar"/>
              </w:rPr>
              <w:t>在各环境风险防范措施落实到位的情况下，将可大大降低建设项目的环境风险，最大程度减少对环境可能造成的危害。在企业落实本评价提出的各项风险防范措施后，项目对环境的风险影响可接受。建设方应对废气污染防治措施及危险固体废物贮存场所进行安全专项评估。</w:t>
            </w:r>
          </w:p>
          <w:p>
            <w:pPr>
              <w:spacing w:line="360" w:lineRule="auto"/>
              <w:ind w:firstLine="480"/>
              <w:rPr>
                <w:rFonts w:hint="default" w:ascii="Times New Roman" w:hAnsi="Times New Roman" w:cs="Times New Roman"/>
                <w:sz w:val="24"/>
                <w:lang w:bidi="ar"/>
              </w:rPr>
            </w:pPr>
            <w:r>
              <w:rPr>
                <w:rFonts w:hint="default" w:ascii="Times New Roman" w:hAnsi="Times New Roman" w:cs="Times New Roman"/>
                <w:sz w:val="24"/>
                <w:lang w:bidi="ar"/>
              </w:rPr>
              <w:t>综上所述，在各环境风险措施落实到位的情况下，将可大大降低建设项目的环境风险，最大程度减少对环境可能造成的危害。在企业落实本评价提出的各项风险防范措施后，项目对环境的风险影响可</w:t>
            </w:r>
            <w:r>
              <w:rPr>
                <w:rFonts w:hint="default" w:ascii="Times New Roman" w:hAnsi="Times New Roman" w:cs="Times New Roman"/>
                <w:sz w:val="24"/>
                <w:lang w:val="en-US" w:eastAsia="zh-CN" w:bidi="ar"/>
              </w:rPr>
              <w:t>控</w:t>
            </w:r>
            <w:r>
              <w:rPr>
                <w:rFonts w:hint="default" w:ascii="Times New Roman" w:hAnsi="Times New Roman" w:cs="Times New Roman"/>
                <w:sz w:val="24"/>
                <w:lang w:bidi="ar"/>
              </w:rPr>
              <w:t>。</w:t>
            </w:r>
          </w:p>
          <w:p>
            <w:pPr>
              <w:spacing w:line="360" w:lineRule="auto"/>
              <w:ind w:firstLine="480"/>
              <w:rPr>
                <w:rFonts w:hint="eastAsia" w:ascii="Times New Roman" w:hAnsi="Times New Roman" w:eastAsia="宋体" w:cs="Times New Roman"/>
                <w:b/>
                <w:bCs/>
                <w:lang w:eastAsia="zh-CN"/>
              </w:rPr>
            </w:pPr>
            <w:r>
              <w:rPr>
                <w:rFonts w:hint="eastAsia" w:cs="Times New Roman"/>
                <w:sz w:val="24"/>
                <w:lang w:val="en-US" w:eastAsia="zh-CN" w:bidi="ar"/>
              </w:rPr>
              <w:t>企业应</w:t>
            </w:r>
            <w:r>
              <w:rPr>
                <w:rFonts w:hint="default"/>
                <w:sz w:val="24"/>
                <w:lang w:bidi="ar"/>
              </w:rPr>
              <w:t>及时编制突发环境事件应急预案，在综合预案的基础上编制水污染事故专项预案，并报南通市如皋生态环境局备案，定期进行综合演练和地表水环境风险专题演练</w:t>
            </w:r>
            <w:r>
              <w:rPr>
                <w:rFonts w:hint="eastAsia"/>
                <w:sz w:val="24"/>
                <w:lang w:eastAsia="zh-CN" w:bidi="ar"/>
              </w:rPr>
              <w:t>。</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8、电磁辐射影响分析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本项目不存在电磁辐射影响。</w:t>
            </w:r>
          </w:p>
          <w:p>
            <w:pPr>
              <w:pStyle w:val="35"/>
              <w:snapToGrid/>
              <w:spacing w:after="0" w:line="360" w:lineRule="auto"/>
              <w:ind w:firstLine="482"/>
              <w:rPr>
                <w:rFonts w:hint="default" w:ascii="Times New Roman" w:hAnsi="Times New Roman" w:eastAsia="宋体" w:cs="Times New Roman"/>
                <w:color w:val="auto"/>
              </w:rPr>
            </w:pPr>
            <w:r>
              <w:rPr>
                <w:rFonts w:hint="default" w:ascii="Times New Roman" w:hAnsi="Times New Roman" w:eastAsia="宋体" w:cs="Times New Roman"/>
                <w:color w:val="auto"/>
              </w:rPr>
              <w:t>9、“三同时”验收一览表</w:t>
            </w:r>
          </w:p>
          <w:p>
            <w:pPr>
              <w:pStyle w:val="35"/>
              <w:spacing w:after="0" w:line="360" w:lineRule="auto"/>
              <w:ind w:firstLine="48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本项目“三同时”验收一览表详见表4-</w:t>
            </w:r>
            <w:r>
              <w:rPr>
                <w:rFonts w:hint="default" w:ascii="Times New Roman" w:hAnsi="Times New Roman" w:eastAsia="宋体" w:cs="Times New Roman"/>
                <w:b w:val="0"/>
                <w:bCs/>
                <w:color w:val="auto"/>
                <w:lang w:val="en-US" w:eastAsia="zh-CN"/>
              </w:rPr>
              <w:t>23</w:t>
            </w:r>
            <w:r>
              <w:rPr>
                <w:rFonts w:hint="default" w:ascii="Times New Roman" w:hAnsi="Times New Roman" w:eastAsia="宋体" w:cs="Times New Roman"/>
                <w:b w:val="0"/>
                <w:bCs/>
                <w:color w:val="auto"/>
              </w:rPr>
              <w:t>。</w:t>
            </w:r>
          </w:p>
          <w:p>
            <w:pPr>
              <w:adjustRightInd w:val="0"/>
              <w:snapToGrid w:val="0"/>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default" w:ascii="Times New Roman" w:hAnsi="Times New Roman" w:cs="Times New Roman"/>
                <w:b/>
                <w:bCs/>
                <w:sz w:val="24"/>
                <w:lang w:val="en-US" w:eastAsia="zh-CN"/>
              </w:rPr>
              <w:t>23</w:t>
            </w:r>
            <w:r>
              <w:rPr>
                <w:rFonts w:hint="default" w:ascii="Times New Roman" w:hAnsi="Times New Roman" w:cs="Times New Roman"/>
                <w:b/>
                <w:bCs/>
                <w:sz w:val="24"/>
              </w:rPr>
              <w:t xml:space="preserve">  污染治理投资和“三同时”验收一览表</w:t>
            </w:r>
          </w:p>
          <w:tbl>
            <w:tblPr>
              <w:tblStyle w:val="26"/>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76"/>
              <w:gridCol w:w="863"/>
              <w:gridCol w:w="987"/>
              <w:gridCol w:w="1763"/>
              <w:gridCol w:w="2296"/>
              <w:gridCol w:w="770"/>
              <w:gridCol w:w="4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项目名称</w:t>
                  </w:r>
                </w:p>
              </w:tc>
              <w:tc>
                <w:tcPr>
                  <w:tcW w:w="4510" w:type="pct"/>
                  <w:gridSpan w:val="6"/>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年产5000套数控机床设备生产项目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类别</w:t>
                  </w: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污染源</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111"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治理措施（建设数量、规模、处理能力等）</w:t>
                  </w:r>
                </w:p>
              </w:tc>
              <w:tc>
                <w:tcPr>
                  <w:tcW w:w="1447"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处理效果、执行标准或拟达要求</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301"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完成时间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p>
                  <w:pPr>
                    <w:jc w:val="center"/>
                    <w:rPr>
                      <w:rFonts w:hint="default" w:ascii="Times New Roman" w:hAnsi="Times New Roman" w:cs="Times New Roman"/>
                      <w:b/>
                      <w:bCs/>
                      <w:szCs w:val="21"/>
                    </w:rPr>
                  </w:pPr>
                </w:p>
                <w:p>
                  <w:pPr>
                    <w:jc w:val="center"/>
                    <w:rPr>
                      <w:rFonts w:hint="default" w:ascii="Times New Roman" w:hAnsi="Times New Roman" w:cs="Times New Roman"/>
                      <w:b/>
                      <w:bCs/>
                      <w:szCs w:val="21"/>
                    </w:rPr>
                  </w:pPr>
                  <w:r>
                    <w:rPr>
                      <w:rFonts w:hint="default" w:ascii="Times New Roman" w:hAnsi="Times New Roman" w:cs="Times New Roman"/>
                      <w:b/>
                      <w:bCs/>
                      <w:szCs w:val="21"/>
                    </w:rPr>
                    <w:t>大气污染物</w:t>
                  </w: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DA001</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w:t>
                  </w:r>
                  <w:r>
                    <w:rPr>
                      <w:rFonts w:hint="default" w:ascii="Times New Roman" w:hAnsi="Times New Roman" w:cs="Times New Roman"/>
                      <w:szCs w:val="21"/>
                      <w:lang w:eastAsia="zh-CN"/>
                    </w:rPr>
                    <w:t>、</w:t>
                  </w:r>
                  <w:r>
                    <w:rPr>
                      <w:rFonts w:hint="default" w:ascii="Times New Roman" w:hAnsi="Times New Roman" w:cs="Times New Roman"/>
                      <w:szCs w:val="21"/>
                    </w:rPr>
                    <w:t>苯乙烯</w:t>
                  </w:r>
                  <w:r>
                    <w:rPr>
                      <w:rFonts w:hint="default" w:ascii="Times New Roman" w:hAnsi="Times New Roman" w:cs="Times New Roman"/>
                      <w:szCs w:val="21"/>
                      <w:lang w:eastAsia="zh-CN"/>
                    </w:rPr>
                    <w:t>、</w:t>
                  </w:r>
                  <w:r>
                    <w:rPr>
                      <w:rFonts w:hint="default" w:ascii="Times New Roman" w:hAnsi="Times New Roman" w:cs="Times New Roman"/>
                      <w:szCs w:val="21"/>
                    </w:rPr>
                    <w:t>苯</w:t>
                  </w:r>
                  <w:r>
                    <w:rPr>
                      <w:rFonts w:hint="default" w:ascii="Times New Roman" w:hAnsi="Times New Roman" w:cs="Times New Roman"/>
                      <w:szCs w:val="21"/>
                      <w:lang w:eastAsia="zh-CN"/>
                    </w:rPr>
                    <w:t>、</w:t>
                  </w:r>
                  <w:r>
                    <w:rPr>
                      <w:rFonts w:hint="default" w:ascii="Times New Roman" w:hAnsi="Times New Roman" w:cs="Times New Roman"/>
                      <w:szCs w:val="21"/>
                    </w:rPr>
                    <w:t>甲苯</w:t>
                  </w:r>
                  <w:r>
                    <w:rPr>
                      <w:rFonts w:hint="default" w:ascii="Times New Roman" w:hAnsi="Times New Roman" w:cs="Times New Roman"/>
                      <w:szCs w:val="21"/>
                      <w:lang w:eastAsia="zh-CN"/>
                    </w:rPr>
                    <w:t>、</w:t>
                  </w:r>
                  <w:r>
                    <w:rPr>
                      <w:rFonts w:hint="default" w:ascii="Times New Roman" w:hAnsi="Times New Roman" w:cs="Times New Roman"/>
                      <w:szCs w:val="21"/>
                    </w:rPr>
                    <w:t>乙苯</w:t>
                  </w:r>
                </w:p>
              </w:tc>
              <w:tc>
                <w:tcPr>
                  <w:tcW w:w="1111" w:type="pc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rPr>
                    <w:t>二级活性炭+20米排气筒</w:t>
                  </w:r>
                </w:p>
              </w:tc>
              <w:tc>
                <w:tcPr>
                  <w:tcW w:w="1447" w:type="pct"/>
                  <w:tcBorders>
                    <w:tl2br w:val="nil"/>
                    <w:tr2bl w:val="nil"/>
                  </w:tcBorders>
                  <w:tcMar>
                    <w:top w:w="11" w:type="dxa"/>
                    <w:left w:w="11" w:type="dxa"/>
                    <w:right w:w="11" w:type="dxa"/>
                  </w:tcMar>
                  <w:vAlign w:val="center"/>
                </w:tcPr>
                <w:p>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《合成树脂工业污染物排放标准》（GB 31572-2015，含2024年修改单）表5标准</w:t>
                  </w:r>
                  <w:r>
                    <w:rPr>
                      <w:rFonts w:hint="eastAsia"/>
                      <w:lang w:eastAsia="zh-CN"/>
                    </w:rPr>
                    <w:t>、</w:t>
                  </w:r>
                  <w:r>
                    <w:rPr>
                      <w:rFonts w:hint="default" w:ascii="Times New Roman" w:hAnsi="Times New Roman" w:cs="Times New Roman"/>
                    </w:rPr>
                    <w:t>《恶臭污染物排放标准》（GB 14554-93）</w:t>
                  </w:r>
                  <w:r>
                    <w:rPr>
                      <w:rFonts w:hint="eastAsia" w:cs="Times New Roman"/>
                      <w:lang w:eastAsia="zh-CN"/>
                    </w:rPr>
                    <w:t>（</w:t>
                  </w:r>
                  <w:r>
                    <w:rPr>
                      <w:rFonts w:hint="eastAsia" w:cs="Times New Roman"/>
                      <w:lang w:val="en-US" w:eastAsia="zh-CN"/>
                    </w:rPr>
                    <w:t>苯乙烯速率</w:t>
                  </w:r>
                  <w:r>
                    <w:rPr>
                      <w:rFonts w:hint="eastAsia" w:cs="Times New Roman"/>
                      <w:lang w:eastAsia="zh-CN"/>
                    </w:rPr>
                    <w:t>）</w:t>
                  </w:r>
                </w:p>
              </w:tc>
              <w:tc>
                <w:tcPr>
                  <w:tcW w:w="485"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200</w:t>
                  </w:r>
                </w:p>
              </w:tc>
              <w:tc>
                <w:tcPr>
                  <w:tcW w:w="301"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rPr>
                  </w:pPr>
                  <w:r>
                    <w:rPr>
                      <w:rFonts w:hint="default" w:ascii="Times New Roman" w:hAnsi="Times New Roman" w:cs="Times New Roman"/>
                      <w:szCs w:val="21"/>
                    </w:rPr>
                    <w:t>与主体工程同时设计、同时施工、同时投产运行</w:t>
                  </w:r>
                </w:p>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DA002</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颗粒物</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甲醛、酚类</w:t>
                  </w:r>
                </w:p>
              </w:tc>
              <w:tc>
                <w:tcPr>
                  <w:tcW w:w="1111" w:type="pct"/>
                  <w:vMerge w:val="restar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rPr>
                    <w:t>布袋除尘器+磷酸喷淋塔+</w:t>
                  </w:r>
                  <w:r>
                    <w:rPr>
                      <w:rFonts w:hint="default" w:ascii="Times New Roman" w:hAnsi="Times New Roman" w:cs="Times New Roman"/>
                      <w:lang w:val="en-US" w:eastAsia="zh-CN"/>
                    </w:rPr>
                    <w:t>除雾器+二级活性炭+</w:t>
                  </w:r>
                  <w:r>
                    <w:rPr>
                      <w:rFonts w:hint="default" w:ascii="Times New Roman" w:hAnsi="Times New Roman" w:cs="Times New Roman"/>
                    </w:rPr>
                    <w:t>20米排气筒</w:t>
                  </w:r>
                </w:p>
              </w:tc>
              <w:tc>
                <w:tcPr>
                  <w:tcW w:w="1447" w:type="pct"/>
                  <w:tcBorders>
                    <w:tl2br w:val="nil"/>
                    <w:tr2bl w:val="nil"/>
                  </w:tcBorders>
                  <w:tcMar>
                    <w:top w:w="11" w:type="dxa"/>
                    <w:left w:w="11" w:type="dxa"/>
                    <w:right w:w="11" w:type="dxa"/>
                  </w:tcMar>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lang w:eastAsia="zh-CN"/>
                    </w:rPr>
                  </w:pPr>
                  <w:r>
                    <w:rPr>
                      <w:rFonts w:hint="default" w:ascii="Times New Roman" w:hAnsi="Times New Roman" w:eastAsia="宋体" w:cs="Times New Roman"/>
                      <w:color w:val="auto"/>
                      <w:sz w:val="21"/>
                      <w:szCs w:val="21"/>
                      <w:highlight w:val="none"/>
                      <w:lang w:eastAsia="zh-CN"/>
                    </w:rPr>
                    <w:t>《大气污染物综合排放标准》（DB32/40241-2021）表1标准</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三乙胺</w:t>
                  </w:r>
                </w:p>
              </w:tc>
              <w:tc>
                <w:tcPr>
                  <w:tcW w:w="111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1447" w:type="pct"/>
                  <w:tcBorders>
                    <w:tl2br w:val="nil"/>
                    <w:tr2bl w:val="nil"/>
                  </w:tcBorders>
                  <w:tcMar>
                    <w:top w:w="11" w:type="dxa"/>
                    <w:left w:w="11" w:type="dxa"/>
                    <w:right w:w="11" w:type="dxa"/>
                  </w:tcMar>
                  <w:vAlign w:val="center"/>
                </w:tcPr>
                <w:p>
                  <w:pPr>
                    <w:pStyle w:val="66"/>
                    <w:keepNext w:val="0"/>
                    <w:keepLines w:val="0"/>
                    <w:pageBreakBefore w:val="0"/>
                    <w:widowControl w:val="0"/>
                    <w:kinsoku/>
                    <w:wordWrap/>
                    <w:overflowPunct/>
                    <w:topLinePunct w:val="0"/>
                    <w:autoSpaceDE/>
                    <w:autoSpaceDN/>
                    <w:bidi w:val="0"/>
                    <w:spacing w:line="240" w:lineRule="auto"/>
                    <w:ind w:left="0" w:leftChars="0" w:right="0" w:rightChars="0"/>
                    <w:textAlignment w:val="auto"/>
                    <w:rPr>
                      <w:rFonts w:hint="default" w:ascii="Times New Roman" w:hAnsi="Times New Roman" w:eastAsia="宋体" w:cs="Times New Roman"/>
                      <w:lang w:eastAsia="zh-CN"/>
                    </w:rPr>
                  </w:pPr>
                  <w:r>
                    <w:rPr>
                      <w:rFonts w:hint="default" w:ascii="Times New Roman" w:hAnsi="Times New Roman" w:eastAsia="宋体" w:cs="Times New Roman"/>
                      <w:color w:val="auto"/>
                      <w:sz w:val="21"/>
                      <w:szCs w:val="21"/>
                      <w:highlight w:val="none"/>
                      <w:lang w:eastAsia="zh-CN"/>
                    </w:rPr>
                    <w:t>《铸造行业大气污染物排放限值》（T/CFA030802.2-2020）表2标准</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臭气浓度</w:t>
                  </w:r>
                </w:p>
              </w:tc>
              <w:tc>
                <w:tcPr>
                  <w:tcW w:w="111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1447"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《恶臭污染物排放标准》（GB 14554-93）</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DA003</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非甲烷总烃、苯系物</w:t>
                  </w:r>
                </w:p>
              </w:tc>
              <w:tc>
                <w:tcPr>
                  <w:tcW w:w="1111"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冷却器+二级活性炭+20米排气筒</w:t>
                  </w:r>
                </w:p>
              </w:tc>
              <w:tc>
                <w:tcPr>
                  <w:tcW w:w="1447"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《工业涂装工序大气污染物排放标准》（DB32/4439-2022）</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DA004</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颗粒物、非甲烷总烃</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苯系物、二甲苯</w:t>
                  </w:r>
                </w:p>
              </w:tc>
              <w:tc>
                <w:tcPr>
                  <w:tcW w:w="1111" w:type="pc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rPr>
                    <w:t>多级过滤器+二级活性炭+20米排气筒</w:t>
                  </w:r>
                </w:p>
              </w:tc>
              <w:tc>
                <w:tcPr>
                  <w:tcW w:w="1447"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《工业涂装工序大气污染物排放标准》（DB32/4439-2022）</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DA005</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111" w:type="pc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rPr>
                    <w:t>布袋除尘器+20米排气筒</w:t>
                  </w:r>
                </w:p>
              </w:tc>
              <w:tc>
                <w:tcPr>
                  <w:tcW w:w="1447"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Cs w:val="21"/>
                    </w:rPr>
                    <w:t>《大气污染物综合排放标准》（DB32/4041-2021）</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DA006</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111" w:type="pc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lang w:val="en-US" w:eastAsia="zh-CN"/>
                    </w:rPr>
                    <w:t>管式滤筒除尘器</w:t>
                  </w:r>
                  <w:r>
                    <w:rPr>
                      <w:rFonts w:hint="default" w:ascii="Times New Roman" w:hAnsi="Times New Roman" w:cs="Times New Roman"/>
                    </w:rPr>
                    <w:t>+20米排气筒</w:t>
                  </w:r>
                </w:p>
              </w:tc>
              <w:tc>
                <w:tcPr>
                  <w:tcW w:w="1447" w:type="pct"/>
                  <w:vMerge w:val="restar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《工业涂装工序大气污染物排放标准》（DB32/4439-2022）</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DA007</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w:t>
                  </w:r>
                </w:p>
              </w:tc>
              <w:tc>
                <w:tcPr>
                  <w:tcW w:w="1111" w:type="pc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rPr>
                    <w:t>冷却器+二级活性炭+20米排气筒</w:t>
                  </w:r>
                </w:p>
              </w:tc>
              <w:tc>
                <w:tcPr>
                  <w:tcW w:w="1447" w:type="pct"/>
                  <w:vMerge w:val="continue"/>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lang w:val="en-US" w:eastAsia="zh-CN"/>
                    </w:rPr>
                    <w:t>DA008</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颗粒物、二氧化硫、氮氧化物、林格曼黑度</w:t>
                  </w:r>
                </w:p>
              </w:tc>
              <w:tc>
                <w:tcPr>
                  <w:tcW w:w="1111" w:type="pct"/>
                  <w:tcBorders>
                    <w:tl2br w:val="nil"/>
                    <w:tr2bl w:val="nil"/>
                  </w:tcBorders>
                  <w:tcMar>
                    <w:top w:w="11" w:type="dxa"/>
                    <w:left w:w="11" w:type="dxa"/>
                    <w:right w:w="11" w:type="dxa"/>
                  </w:tcMar>
                  <w:vAlign w:val="center"/>
                </w:tcPr>
                <w:p>
                  <w:pPr>
                    <w:pStyle w:val="13"/>
                    <w:jc w:val="center"/>
                    <w:rPr>
                      <w:rFonts w:hint="default" w:ascii="Times New Roman" w:hAnsi="Times New Roman" w:cs="Times New Roman"/>
                      <w:szCs w:val="21"/>
                    </w:rPr>
                  </w:pPr>
                  <w:r>
                    <w:rPr>
                      <w:rFonts w:hint="default" w:ascii="Times New Roman" w:hAnsi="Times New Roman" w:cs="Times New Roman"/>
                    </w:rPr>
                    <w:t>低氮燃烧+20米排气筒</w:t>
                  </w:r>
                </w:p>
              </w:tc>
              <w:tc>
                <w:tcPr>
                  <w:tcW w:w="1447"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Cs w:val="21"/>
                    </w:rPr>
                    <w:t>《锅炉大气污染物排放标准》（DB32/4385-2022）</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pStyle w:val="48"/>
                    <w:rPr>
                      <w:rFonts w:hint="default"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厂界</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非甲烷总烃、颗粒物</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苯系物（苯乙烯、苯、甲苯、乙苯）、二甲苯</w:t>
                  </w:r>
                </w:p>
              </w:tc>
              <w:tc>
                <w:tcPr>
                  <w:tcW w:w="1111"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移动式烟尘净化器、加强通风、</w:t>
                  </w:r>
                </w:p>
                <w:p>
                  <w:pPr>
                    <w:jc w:val="center"/>
                    <w:rPr>
                      <w:rFonts w:hint="default" w:ascii="Times New Roman" w:hAnsi="Times New Roman" w:cs="Times New Roman"/>
                      <w:szCs w:val="21"/>
                    </w:rPr>
                  </w:pPr>
                  <w:r>
                    <w:rPr>
                      <w:rFonts w:hint="default" w:ascii="Times New Roman" w:hAnsi="Times New Roman" w:cs="Times New Roman"/>
                      <w:szCs w:val="21"/>
                    </w:rPr>
                    <w:t>植树绿化</w:t>
                  </w:r>
                </w:p>
              </w:tc>
              <w:tc>
                <w:tcPr>
                  <w:tcW w:w="1447" w:type="pct"/>
                  <w:tcBorders>
                    <w:tl2br w:val="nil"/>
                    <w:tr2bl w:val="nil"/>
                  </w:tcBorders>
                  <w:tcMar>
                    <w:top w:w="11" w:type="dxa"/>
                    <w:left w:w="11" w:type="dxa"/>
                    <w:right w:w="11" w:type="dxa"/>
                  </w:tcMar>
                  <w:vAlign w:val="center"/>
                </w:tcPr>
                <w:p>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《大气污染物综合排放标准》（DB32/4041-2021）</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eastAsia" w:cs="Times New Roman"/>
                      <w:szCs w:val="21"/>
                      <w:lang w:val="en-US" w:eastAsia="zh-CN"/>
                    </w:rPr>
                    <w:t>苯乙烯</w:t>
                  </w:r>
                  <w:r>
                    <w:rPr>
                      <w:rFonts w:hint="default" w:ascii="Times New Roman" w:hAnsi="Times New Roman" w:cs="Times New Roman"/>
                      <w:szCs w:val="21"/>
                      <w:lang w:val="en-US" w:eastAsia="zh-CN"/>
                    </w:rPr>
                    <w:t>、</w:t>
                  </w:r>
                  <w:r>
                    <w:rPr>
                      <w:rFonts w:hint="default" w:ascii="Times New Roman" w:hAnsi="Times New Roman" w:cs="Times New Roman"/>
                      <w:szCs w:val="21"/>
                    </w:rPr>
                    <w:t>臭气浓度</w:t>
                  </w:r>
                </w:p>
              </w:tc>
              <w:tc>
                <w:tcPr>
                  <w:tcW w:w="111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1447" w:type="pct"/>
                  <w:tcBorders>
                    <w:tl2br w:val="nil"/>
                    <w:tr2bl w:val="nil"/>
                  </w:tcBorders>
                  <w:tcMar>
                    <w:top w:w="11" w:type="dxa"/>
                    <w:left w:w="11" w:type="dxa"/>
                    <w:right w:w="11" w:type="dxa"/>
                  </w:tcMar>
                  <w:vAlign w:val="center"/>
                </w:tcPr>
                <w:p>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rPr>
                    <w:t>《恶臭污染物排放标准》（GB 14554-93）</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三乙胺</w:t>
                  </w:r>
                </w:p>
              </w:tc>
              <w:tc>
                <w:tcPr>
                  <w:tcW w:w="111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1447" w:type="pct"/>
                  <w:tcBorders>
                    <w:tl2br w:val="nil"/>
                    <w:tr2bl w:val="nil"/>
                  </w:tcBorders>
                  <w:tcMar>
                    <w:top w:w="11" w:type="dxa"/>
                    <w:left w:w="11" w:type="dxa"/>
                    <w:right w:w="11" w:type="dxa"/>
                  </w:tcMar>
                  <w:vAlign w:val="center"/>
                </w:tcPr>
                <w:p>
                  <w:pPr>
                    <w:widowControl/>
                    <w:adjustRightInd w:val="0"/>
                    <w:snapToGrid w:val="0"/>
                    <w:jc w:val="center"/>
                    <w:rPr>
                      <w:rFonts w:hint="default" w:ascii="Times New Roman" w:hAnsi="Times New Roman" w:cs="Times New Roman"/>
                    </w:rPr>
                  </w:pPr>
                  <w:r>
                    <w:rPr>
                      <w:rFonts w:hint="default" w:ascii="Times New Roman" w:hAnsi="Times New Roman" w:cs="Times New Roman"/>
                    </w:rPr>
                    <w:t>/</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厂区内车间外1m</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w:t>
                  </w:r>
                </w:p>
              </w:tc>
              <w:tc>
                <w:tcPr>
                  <w:tcW w:w="1111"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447" w:type="pct"/>
                  <w:tcBorders>
                    <w:tl2br w:val="nil"/>
                    <w:tr2bl w:val="nil"/>
                  </w:tcBorders>
                  <w:tcMar>
                    <w:top w:w="11" w:type="dxa"/>
                    <w:left w:w="11" w:type="dxa"/>
                    <w:right w:w="11"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《大气污染物综合排放标准》（DB32/4041-2021）</w:t>
                  </w:r>
                </w:p>
              </w:tc>
              <w:tc>
                <w:tcPr>
                  <w:tcW w:w="485"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水污染物</w:t>
                  </w: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b/>
                      <w:bCs/>
                      <w:szCs w:val="21"/>
                      <w:lang w:eastAsia="zh-CN"/>
                    </w:rPr>
                  </w:pPr>
                  <w:r>
                    <w:rPr>
                      <w:rFonts w:hint="default" w:ascii="Times New Roman" w:hAnsi="Times New Roman" w:cs="Times New Roman"/>
                      <w:b/>
                      <w:bCs/>
                      <w:szCs w:val="21"/>
                      <w:lang w:val="en-US" w:eastAsia="zh-CN"/>
                    </w:rPr>
                    <w:t>生活废水</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pH、COD、SS、氨氮、总磷、总氮</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动植物油</w:t>
                  </w:r>
                </w:p>
              </w:tc>
              <w:tc>
                <w:tcPr>
                  <w:tcW w:w="1111" w:type="pct"/>
                  <w:tcBorders>
                    <w:tl2br w:val="nil"/>
                    <w:tr2bl w:val="nil"/>
                  </w:tcBorders>
                  <w:tcMar>
                    <w:top w:w="11" w:type="dxa"/>
                    <w:left w:w="11" w:type="dxa"/>
                    <w:right w:w="11" w:type="dxa"/>
                  </w:tcMar>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化粪池</w:t>
                  </w:r>
                  <w:r>
                    <w:rPr>
                      <w:rFonts w:hint="default" w:ascii="Times New Roman" w:hAnsi="Times New Roman" w:cs="Times New Roman"/>
                      <w:szCs w:val="21"/>
                      <w:lang w:val="en-US" w:eastAsia="zh-CN"/>
                    </w:rPr>
                    <w:t>+隔油池</w:t>
                  </w:r>
                  <w:r>
                    <w:rPr>
                      <w:rFonts w:hint="eastAsia" w:cs="Times New Roman"/>
                      <w:szCs w:val="21"/>
                      <w:lang w:val="en-US" w:eastAsia="zh-CN"/>
                    </w:rPr>
                    <w:t>（10m</w:t>
                  </w:r>
                  <w:r>
                    <w:rPr>
                      <w:rFonts w:hint="eastAsia" w:cs="Times New Roman"/>
                      <w:szCs w:val="21"/>
                      <w:vertAlign w:val="superscript"/>
                      <w:lang w:val="en-US" w:eastAsia="zh-CN"/>
                    </w:rPr>
                    <w:t>3</w:t>
                  </w:r>
                  <w:r>
                    <w:rPr>
                      <w:rFonts w:hint="eastAsia" w:cs="Times New Roman"/>
                      <w:szCs w:val="21"/>
                      <w:lang w:val="en-US" w:eastAsia="zh-CN"/>
                    </w:rPr>
                    <w:t>）</w:t>
                  </w:r>
                </w:p>
              </w:tc>
              <w:tc>
                <w:tcPr>
                  <w:tcW w:w="1447"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《污水综合排放标准》（GB89781996）、《污水排入城镇下水道水质标准》（GB/T31962-2015）</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噪声</w:t>
                  </w: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设备噪声</w:t>
                  </w:r>
                </w:p>
              </w:tc>
              <w:tc>
                <w:tcPr>
                  <w:tcW w:w="622"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1111"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低噪声设备、墙壁隔声、密闭门窗、距离衰减等综合防治措施</w:t>
                  </w:r>
                </w:p>
              </w:tc>
              <w:tc>
                <w:tcPr>
                  <w:tcW w:w="1447"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噪声达标</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35</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restar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p>
                  <w:pPr>
                    <w:jc w:val="center"/>
                    <w:rPr>
                      <w:rFonts w:hint="default" w:ascii="Times New Roman" w:hAnsi="Times New Roman" w:cs="Times New Roman"/>
                      <w:b/>
                      <w:bCs/>
                      <w:szCs w:val="21"/>
                    </w:rPr>
                  </w:pPr>
                </w:p>
                <w:p>
                  <w:pPr>
                    <w:jc w:val="center"/>
                    <w:rPr>
                      <w:rFonts w:hint="default" w:ascii="Times New Roman" w:hAnsi="Times New Roman" w:cs="Times New Roman"/>
                      <w:b/>
                      <w:bCs/>
                      <w:szCs w:val="21"/>
                    </w:rPr>
                  </w:pPr>
                  <w:r>
                    <w:rPr>
                      <w:rFonts w:hint="default" w:ascii="Times New Roman" w:hAnsi="Times New Roman" w:cs="Times New Roman"/>
                      <w:b/>
                      <w:bCs/>
                      <w:szCs w:val="21"/>
                    </w:rPr>
                    <w:t>固体废物</w:t>
                  </w: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一般固废暂存区</w:t>
                  </w:r>
                </w:p>
              </w:tc>
              <w:tc>
                <w:tcPr>
                  <w:tcW w:w="17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bCs/>
                      <w:szCs w:val="21"/>
                    </w:rPr>
                    <w:t>面积20m</w:t>
                  </w:r>
                  <w:r>
                    <w:rPr>
                      <w:rFonts w:hint="default" w:ascii="Times New Roman" w:hAnsi="Times New Roman" w:cs="Times New Roman"/>
                      <w:bCs/>
                      <w:szCs w:val="21"/>
                      <w:vertAlign w:val="superscript"/>
                    </w:rPr>
                    <w:t>2</w:t>
                  </w:r>
                </w:p>
              </w:tc>
              <w:tc>
                <w:tcPr>
                  <w:tcW w:w="1447"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bCs/>
                      <w:szCs w:val="21"/>
                    </w:rPr>
                    <w:t>新建</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p>
              </w:tc>
              <w:tc>
                <w:tcPr>
                  <w:tcW w:w="543" w:type="pct"/>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危废车间</w:t>
                  </w:r>
                </w:p>
              </w:tc>
              <w:tc>
                <w:tcPr>
                  <w:tcW w:w="17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bCs/>
                      <w:szCs w:val="21"/>
                    </w:rPr>
                    <w:t>面积50m</w:t>
                  </w:r>
                  <w:r>
                    <w:rPr>
                      <w:rFonts w:hint="default" w:ascii="Times New Roman" w:hAnsi="Times New Roman" w:cs="Times New Roman"/>
                      <w:bCs/>
                      <w:szCs w:val="21"/>
                      <w:vertAlign w:val="superscript"/>
                    </w:rPr>
                    <w:t>2</w:t>
                  </w:r>
                </w:p>
              </w:tc>
              <w:tc>
                <w:tcPr>
                  <w:tcW w:w="1447"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新建</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9</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23" w:hRule="atLeast"/>
                <w:jc w:val="center"/>
              </w:trPr>
              <w:tc>
                <w:tcPr>
                  <w:tcW w:w="10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污水管网雨污分流、排污口规范化设置（流量计、在线监测仪等）</w:t>
                  </w:r>
                </w:p>
              </w:tc>
              <w:tc>
                <w:tcPr>
                  <w:tcW w:w="17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规范化接管口</w:t>
                  </w:r>
                </w:p>
              </w:tc>
              <w:tc>
                <w:tcPr>
                  <w:tcW w:w="1447"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满足《江苏省排污口设置及规范化整治管理办法》的要求</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总量平衡具体方案</w:t>
                  </w:r>
                </w:p>
              </w:tc>
              <w:tc>
                <w:tcPr>
                  <w:tcW w:w="3180" w:type="pct"/>
                  <w:gridSpan w:val="3"/>
                  <w:tcBorders>
                    <w:tl2br w:val="nil"/>
                    <w:tr2bl w:val="nil"/>
                  </w:tcBorders>
                  <w:tcMar>
                    <w:top w:w="11" w:type="dxa"/>
                    <w:left w:w="11" w:type="dxa"/>
                    <w:right w:w="11" w:type="dxa"/>
                  </w:tcMar>
                  <w:vAlign w:val="center"/>
                </w:tcPr>
                <w:p>
                  <w:pPr>
                    <w:jc w:val="left"/>
                    <w:rPr>
                      <w:rFonts w:hint="default" w:ascii="Times New Roman" w:hAnsi="Times New Roman" w:cs="Times New Roman"/>
                      <w:color w:val="auto"/>
                      <w:szCs w:val="21"/>
                    </w:rPr>
                  </w:pPr>
                  <w:r>
                    <w:rPr>
                      <w:rFonts w:hint="default" w:ascii="Times New Roman" w:hAnsi="Times New Roman" w:cs="Times New Roman"/>
                      <w:szCs w:val="21"/>
                    </w:rPr>
                    <w:t>全厂主要污染物排放量控制为：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大气污染物（有组织/无组织）：颗粒物≤0.</w:t>
                  </w:r>
                  <w:r>
                    <w:rPr>
                      <w:rFonts w:hint="eastAsia" w:cs="Times New Roman"/>
                      <w:color w:val="auto"/>
                      <w:szCs w:val="21"/>
                      <w:lang w:val="en-US" w:eastAsia="zh-CN"/>
                    </w:rPr>
                    <w:t>1519</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0.4</w:t>
                  </w:r>
                  <w:r>
                    <w:rPr>
                      <w:rFonts w:hint="eastAsia" w:cs="Times New Roman"/>
                      <w:color w:val="auto"/>
                      <w:szCs w:val="21"/>
                      <w:lang w:val="en-US" w:eastAsia="zh-CN"/>
                    </w:rPr>
                    <w:t>182</w:t>
                  </w:r>
                  <w:r>
                    <w:rPr>
                      <w:rFonts w:hint="default" w:ascii="Times New Roman" w:hAnsi="Times New Roman" w:cs="Times New Roman"/>
                      <w:color w:val="auto"/>
                      <w:szCs w:val="21"/>
                    </w:rPr>
                    <w:t>t/a、VOCs（含三乙胺）≤</w:t>
                  </w:r>
                  <w:r>
                    <w:rPr>
                      <w:rFonts w:hint="default" w:ascii="Times New Roman" w:hAnsi="Times New Roman" w:cs="Times New Roman"/>
                      <w:color w:val="auto"/>
                      <w:szCs w:val="21"/>
                      <w:lang w:val="en-US" w:eastAsia="zh-CN"/>
                    </w:rPr>
                    <w:t>0.2</w:t>
                  </w:r>
                  <w:r>
                    <w:rPr>
                      <w:rFonts w:hint="eastAsia" w:cs="Times New Roman"/>
                      <w:color w:val="auto"/>
                      <w:szCs w:val="21"/>
                      <w:lang w:val="en-US" w:eastAsia="zh-CN"/>
                    </w:rPr>
                    <w:t>972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2266</w:t>
                  </w:r>
                  <w:r>
                    <w:rPr>
                      <w:rFonts w:hint="default" w:ascii="Times New Roman" w:hAnsi="Times New Roman" w:cs="Times New Roman"/>
                      <w:color w:val="auto"/>
                      <w:szCs w:val="21"/>
                    </w:rPr>
                    <w:t>t/a、二氧化硫≤0.016/0t/a、氮氧化物≤0.0242/0t/a。</w:t>
                  </w:r>
                </w:p>
                <w:p>
                  <w:pPr>
                    <w:jc w:val="left"/>
                    <w:rPr>
                      <w:rFonts w:hint="default" w:ascii="Times New Roman" w:hAnsi="Times New Roman" w:cs="Times New Roman"/>
                      <w:szCs w:val="21"/>
                    </w:rPr>
                  </w:pPr>
                  <w:r>
                    <w:rPr>
                      <w:rFonts w:hint="default" w:ascii="Times New Roman" w:hAnsi="Times New Roman" w:cs="Times New Roman"/>
                      <w:szCs w:val="21"/>
                    </w:rPr>
                    <w:t>水污染物（接管量/外排量）：废水量≤1560/1560t/a、COD≤0.3182t/a/0.078t/a、氨氮≤0.0457t/a/0.0078t/a、总磷≤0.0053t/a/0.0008t/a、总氮≤0.0629t/a/0.0234t/a。</w:t>
                  </w:r>
                </w:p>
                <w:p>
                  <w:pPr>
                    <w:jc w:val="left"/>
                    <w:rPr>
                      <w:rFonts w:hint="default" w:ascii="Times New Roman" w:hAnsi="Times New Roman" w:cs="Times New Roman"/>
                      <w:szCs w:val="21"/>
                    </w:rPr>
                  </w:pPr>
                  <w:r>
                    <w:rPr>
                      <w:rFonts w:hint="default" w:ascii="Times New Roman" w:hAnsi="Times New Roman" w:cs="Times New Roman"/>
                      <w:szCs w:val="21"/>
                    </w:rPr>
                    <w:t>固体废物：全厂所有工业固废均进行合理处理处置，固体废弃物排放量为零，无需申请总量。</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区域解决问题</w:t>
                  </w:r>
                </w:p>
              </w:tc>
              <w:tc>
                <w:tcPr>
                  <w:tcW w:w="3180" w:type="pct"/>
                  <w:gridSpan w:val="3"/>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大气环境防护距离</w:t>
                  </w:r>
                </w:p>
              </w:tc>
              <w:tc>
                <w:tcPr>
                  <w:tcW w:w="3180" w:type="pct"/>
                  <w:gridSpan w:val="3"/>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3" w:type="pct"/>
                  <w:gridSpan w:val="2"/>
                  <w:tcBorders>
                    <w:tl2br w:val="nil"/>
                    <w:tr2bl w:val="nil"/>
                  </w:tcBorders>
                  <w:tcMar>
                    <w:top w:w="11" w:type="dxa"/>
                    <w:left w:w="11" w:type="dxa"/>
                    <w:right w:w="11" w:type="dxa"/>
                  </w:tcMar>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卫生防护距离</w:t>
                  </w:r>
                </w:p>
              </w:tc>
              <w:tc>
                <w:tcPr>
                  <w:tcW w:w="3180" w:type="pct"/>
                  <w:gridSpan w:val="3"/>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13" w:type="pct"/>
                  <w:gridSpan w:val="5"/>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环保投资合计</w:t>
                  </w:r>
                </w:p>
              </w:tc>
              <w:tc>
                <w:tcPr>
                  <w:tcW w:w="485" w:type="pct"/>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250</w:t>
                  </w:r>
                </w:p>
              </w:tc>
              <w:tc>
                <w:tcPr>
                  <w:tcW w:w="301" w:type="pct"/>
                  <w:vMerge w:val="continue"/>
                  <w:tcBorders>
                    <w:tl2br w:val="nil"/>
                    <w:tr2bl w:val="nil"/>
                  </w:tcBorders>
                  <w:tcMar>
                    <w:top w:w="11" w:type="dxa"/>
                    <w:left w:w="11" w:type="dxa"/>
                    <w:right w:w="11" w:type="dxa"/>
                  </w:tcMar>
                  <w:vAlign w:val="center"/>
                </w:tcPr>
                <w:p>
                  <w:pPr>
                    <w:jc w:val="center"/>
                    <w:rPr>
                      <w:rFonts w:hint="default" w:ascii="Times New Roman" w:hAnsi="Times New Roman" w:cs="Times New Roman"/>
                      <w:szCs w:val="21"/>
                    </w:rPr>
                  </w:pPr>
                </w:p>
              </w:tc>
            </w:tr>
          </w:tbl>
          <w:p>
            <w:pPr>
              <w:spacing w:line="460" w:lineRule="exact"/>
              <w:ind w:firstLine="420" w:firstLineChars="200"/>
              <w:rPr>
                <w:rFonts w:hint="default" w:ascii="Times New Roman" w:hAnsi="Times New Roman" w:cs="Times New Roman"/>
                <w:szCs w:val="21"/>
              </w:rPr>
            </w:pPr>
          </w:p>
        </w:tc>
      </w:tr>
    </w:tbl>
    <w:p>
      <w:pPr>
        <w:adjustRightInd w:val="0"/>
        <w:snapToGrid w:val="0"/>
        <w:spacing w:line="360" w:lineRule="auto"/>
        <w:rPr>
          <w:rFonts w:hint="default" w:ascii="Times New Roman" w:hAnsi="Times New Roman" w:cs="Times New Roman"/>
          <w:b/>
          <w:color w:val="000000"/>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五、</w:t>
      </w:r>
      <w:bookmarkStart w:id="12" w:name="_Hlk54167917"/>
      <w:r>
        <w:rPr>
          <w:rFonts w:hint="default" w:ascii="Times New Roman" w:hAnsi="Times New Roman" w:eastAsia="黑体" w:cs="Times New Roman"/>
          <w:snapToGrid w:val="0"/>
          <w:color w:val="000000"/>
          <w:sz w:val="30"/>
          <w:szCs w:val="30"/>
        </w:rPr>
        <w:t>环境保护措施监督检查清单</w:t>
      </w:r>
      <w:bookmarkEnd w:id="12"/>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553"/>
        <w:gridCol w:w="1106"/>
        <w:gridCol w:w="1505"/>
        <w:gridCol w:w="1679"/>
        <w:gridCol w:w="22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tcBorders>
              <w:tl2br w:val="single" w:color="auto" w:sz="4" w:space="0"/>
            </w:tcBorders>
          </w:tcPr>
          <w:p>
            <w:pPr>
              <w:adjustRightInd w:val="0"/>
              <w:snapToGrid w:val="0"/>
              <w:ind w:firstLine="840"/>
              <w:rPr>
                <w:rFonts w:hint="default" w:ascii="Times New Roman" w:hAnsi="Times New Roman" w:cs="Times New Roman"/>
                <w:b/>
                <w:bCs/>
                <w:color w:val="000000"/>
                <w:sz w:val="24"/>
              </w:rPr>
            </w:pPr>
            <w:r>
              <w:rPr>
                <w:rFonts w:hint="default" w:ascii="Times New Roman" w:hAnsi="Times New Roman" w:cs="Times New Roman"/>
                <w:b/>
                <w:bCs/>
                <w:color w:val="000000"/>
                <w:sz w:val="24"/>
              </w:rPr>
              <w:t>内容</w:t>
            </w:r>
          </w:p>
          <w:p>
            <w:pPr>
              <w:adjustRightInd w:val="0"/>
              <w:snapToGrid w:val="0"/>
              <w:rPr>
                <w:rFonts w:hint="default" w:ascii="Times New Roman" w:hAnsi="Times New Roman" w:cs="Times New Roman"/>
                <w:b/>
                <w:bCs/>
                <w:color w:val="000000"/>
                <w:sz w:val="24"/>
              </w:rPr>
            </w:pPr>
            <w:r>
              <w:rPr>
                <w:rFonts w:hint="default" w:ascii="Times New Roman" w:hAnsi="Times New Roman" w:cs="Times New Roman"/>
                <w:b/>
                <w:bCs/>
                <w:color w:val="000000"/>
                <w:sz w:val="24"/>
              </w:rPr>
              <w:t>要素</w:t>
            </w:r>
          </w:p>
        </w:tc>
        <w:tc>
          <w:tcPr>
            <w:tcW w:w="1659" w:type="dxa"/>
            <w:gridSpan w:val="2"/>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排放口（编号、</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名称）/污染源</w:t>
            </w:r>
          </w:p>
        </w:tc>
        <w:tc>
          <w:tcPr>
            <w:tcW w:w="1505"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污染物项目</w:t>
            </w:r>
          </w:p>
        </w:tc>
        <w:tc>
          <w:tcPr>
            <w:tcW w:w="1679"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环境保护措施</w:t>
            </w:r>
          </w:p>
        </w:tc>
        <w:tc>
          <w:tcPr>
            <w:tcW w:w="2296"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restart"/>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b/>
                <w:bCs/>
                <w:color w:val="000000"/>
                <w:sz w:val="24"/>
              </w:rPr>
              <w:t>大气环境</w:t>
            </w:r>
          </w:p>
        </w:tc>
        <w:tc>
          <w:tcPr>
            <w:tcW w:w="1659"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DA001</w:t>
            </w:r>
          </w:p>
        </w:tc>
        <w:tc>
          <w:tcPr>
            <w:tcW w:w="1505"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非甲烷总烃</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苯乙烯、苯、甲苯、乙苯</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二级活性炭+20米排气筒</w:t>
            </w:r>
          </w:p>
        </w:tc>
        <w:tc>
          <w:tcPr>
            <w:tcW w:w="2296" w:type="dxa"/>
            <w:vAlign w:val="center"/>
          </w:tcPr>
          <w:p>
            <w:pPr>
              <w:adjustRightInd w:val="0"/>
              <w:snapToGrid w:val="0"/>
              <w:jc w:val="center"/>
              <w:rPr>
                <w:rFonts w:hint="eastAsia" w:ascii="Times New Roman" w:hAnsi="Times New Roman" w:eastAsia="宋体" w:cs="Times New Roman"/>
                <w:sz w:val="24"/>
                <w:lang w:eastAsia="zh-CN"/>
              </w:rPr>
            </w:pPr>
            <w:r>
              <w:rPr>
                <w:rFonts w:hint="default" w:ascii="Times New Roman" w:hAnsi="Times New Roman" w:cs="Times New Roman"/>
                <w:sz w:val="24"/>
              </w:rPr>
              <w:t>《合成树脂工业污染物排放标准》（GB31572-2015含2024年修改单）</w:t>
            </w:r>
            <w:r>
              <w:rPr>
                <w:rFonts w:hint="eastAsia" w:cs="Times New Roman"/>
                <w:sz w:val="24"/>
                <w:lang w:eastAsia="zh-CN"/>
              </w:rPr>
              <w:t>、</w:t>
            </w:r>
            <w:r>
              <w:rPr>
                <w:rFonts w:hint="eastAsia"/>
                <w:sz w:val="24"/>
              </w:rPr>
              <w:t>《恶臭污染物排放标准》（GB 14554-93）</w:t>
            </w:r>
            <w:r>
              <w:rPr>
                <w:rFonts w:hint="eastAsia"/>
                <w:sz w:val="24"/>
                <w:lang w:eastAsia="zh-CN"/>
              </w:rPr>
              <w:t>（</w:t>
            </w:r>
            <w:r>
              <w:rPr>
                <w:rFonts w:hint="eastAsia"/>
                <w:sz w:val="24"/>
                <w:lang w:val="en-US" w:eastAsia="zh-CN"/>
              </w:rPr>
              <w:t>苯乙烯速率</w:t>
            </w:r>
            <w:r>
              <w:rPr>
                <w:rFonts w:hint="eastAsia"/>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Merge w:val="restart"/>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DA002</w:t>
            </w:r>
          </w:p>
        </w:tc>
        <w:tc>
          <w:tcPr>
            <w:tcW w:w="1505"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颗粒物</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甲醛、酚类</w:t>
            </w:r>
          </w:p>
        </w:tc>
        <w:tc>
          <w:tcPr>
            <w:tcW w:w="1679" w:type="dxa"/>
            <w:vMerge w:val="restart"/>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布袋除尘器+磷酸喷淋塔+</w:t>
            </w:r>
            <w:r>
              <w:rPr>
                <w:rFonts w:hint="default" w:ascii="Times New Roman" w:hAnsi="Times New Roman" w:cs="Times New Roman"/>
                <w:sz w:val="24"/>
                <w:lang w:val="en-US" w:eastAsia="zh-CN"/>
              </w:rPr>
              <w:t>除雾器+二级活性炭+</w:t>
            </w:r>
            <w:r>
              <w:rPr>
                <w:rFonts w:hint="default" w:ascii="Times New Roman" w:hAnsi="Times New Roman" w:cs="Times New Roman"/>
                <w:sz w:val="24"/>
              </w:rPr>
              <w:t>20米排气筒</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Merge w:val="continue"/>
            <w:vAlign w:val="center"/>
          </w:tcPr>
          <w:p>
            <w:pPr>
              <w:adjustRightInd w:val="0"/>
              <w:snapToGrid w:val="0"/>
              <w:jc w:val="center"/>
              <w:rPr>
                <w:rFonts w:hint="default" w:ascii="Times New Roman" w:hAnsi="Times New Roman" w:cs="Times New Roman"/>
                <w:sz w:val="24"/>
              </w:rPr>
            </w:pP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三乙胺</w:t>
            </w:r>
          </w:p>
        </w:tc>
        <w:tc>
          <w:tcPr>
            <w:tcW w:w="1679" w:type="dxa"/>
            <w:vMerge w:val="continue"/>
            <w:vAlign w:val="center"/>
          </w:tcPr>
          <w:p>
            <w:pPr>
              <w:adjustRightInd w:val="0"/>
              <w:snapToGrid w:val="0"/>
              <w:jc w:val="center"/>
              <w:rPr>
                <w:rFonts w:hint="default" w:ascii="Times New Roman" w:hAnsi="Times New Roman" w:cs="Times New Roman"/>
                <w:sz w:val="24"/>
              </w:rPr>
            </w:pP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《铸造行业大气污染物排放限值》（T/CFA030802.2-2020）表2标准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Merge w:val="continue"/>
            <w:vAlign w:val="center"/>
          </w:tcPr>
          <w:p>
            <w:pPr>
              <w:adjustRightInd w:val="0"/>
              <w:snapToGrid w:val="0"/>
              <w:jc w:val="center"/>
              <w:rPr>
                <w:rFonts w:hint="default" w:ascii="Times New Roman" w:hAnsi="Times New Roman" w:cs="Times New Roman"/>
                <w:sz w:val="24"/>
              </w:rPr>
            </w:pP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臭气浓度</w:t>
            </w:r>
          </w:p>
        </w:tc>
        <w:tc>
          <w:tcPr>
            <w:tcW w:w="1679" w:type="dxa"/>
            <w:vMerge w:val="continue"/>
            <w:vAlign w:val="center"/>
          </w:tcPr>
          <w:p>
            <w:pPr>
              <w:adjustRightInd w:val="0"/>
              <w:snapToGrid w:val="0"/>
              <w:jc w:val="center"/>
              <w:rPr>
                <w:rFonts w:hint="default" w:ascii="Times New Roman" w:hAnsi="Times New Roman" w:cs="Times New Roman"/>
                <w:sz w:val="24"/>
              </w:rPr>
            </w:pP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《恶臭污染物排放标准》（GB 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DA003</w:t>
            </w:r>
          </w:p>
        </w:tc>
        <w:tc>
          <w:tcPr>
            <w:tcW w:w="1505"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非甲烷总烃、苯系物</w:t>
            </w:r>
          </w:p>
        </w:tc>
        <w:tc>
          <w:tcPr>
            <w:tcW w:w="1679"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冷却器+二级活性炭+20米排气筒</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《工业涂装工序大气污染物排放标准》（DB32/4439-2022）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DA004</w:t>
            </w:r>
          </w:p>
        </w:tc>
        <w:tc>
          <w:tcPr>
            <w:tcW w:w="1505"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颗粒物、非甲烷总烃</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苯系物、二甲苯</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多级过滤器+二级活性炭+20米排气筒</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《工业涂装工序大气污染物排放标准》（DB32/4439-2022）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DA005</w:t>
            </w: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颗粒物</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布袋除尘器+20米排气筒</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DA006</w:t>
            </w: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颗粒物</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lang w:val="en-US" w:eastAsia="zh-CN"/>
              </w:rPr>
              <w:t>管式滤筒除尘器</w:t>
            </w:r>
            <w:r>
              <w:rPr>
                <w:rFonts w:hint="default" w:ascii="Times New Roman" w:hAnsi="Times New Roman" w:cs="Times New Roman"/>
                <w:sz w:val="24"/>
              </w:rPr>
              <w:t>+20米排气筒</w:t>
            </w:r>
          </w:p>
        </w:tc>
        <w:tc>
          <w:tcPr>
            <w:tcW w:w="2296" w:type="dxa"/>
            <w:vMerge w:val="restart"/>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《工业涂装工序大气污染物排放标准》（DB32/4439-2022）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DA007</w:t>
            </w: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非甲烷总烃</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冷却器+二级活性炭+20米排气筒</w:t>
            </w:r>
          </w:p>
        </w:tc>
        <w:tc>
          <w:tcPr>
            <w:tcW w:w="2296" w:type="dxa"/>
            <w:vMerge w:val="continue"/>
            <w:vAlign w:val="center"/>
          </w:tcPr>
          <w:p>
            <w:pPr>
              <w:adjustRightInd w:val="0"/>
              <w:snapToGrid w:val="0"/>
              <w:jc w:val="center"/>
              <w:rPr>
                <w:rFonts w:hint="default" w:ascii="Times New Roman" w:hAnsi="Times New Roman"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1659" w:type="dxa"/>
            <w:gridSpan w:val="2"/>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DA008</w:t>
            </w: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颗粒物、二氧化硫、氮氧化物、林格曼黑度</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低氮燃烧+20米排气筒</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《锅炉大气污染物排放标准》（DB32/4385-2022）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553" w:type="dxa"/>
            <w:vMerge w:val="restart"/>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无组织</w:t>
            </w:r>
          </w:p>
        </w:tc>
        <w:tc>
          <w:tcPr>
            <w:tcW w:w="1106" w:type="dxa"/>
            <w:vMerge w:val="restart"/>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sz w:val="24"/>
              </w:rPr>
              <w:t>厂界</w:t>
            </w:r>
          </w:p>
        </w:tc>
        <w:tc>
          <w:tcPr>
            <w:tcW w:w="1505" w:type="dxa"/>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非甲烷总烃、颗粒物</w:t>
            </w:r>
            <w:r>
              <w:rPr>
                <w:rFonts w:hint="default" w:ascii="Times New Roman" w:hAnsi="Times New Roman" w:cs="Times New Roman"/>
                <w:sz w:val="24"/>
                <w:lang w:eastAsia="zh-CN"/>
              </w:rPr>
              <w:t>、苯系物（苯乙烯、苯、甲苯、乙苯）、</w:t>
            </w:r>
            <w:r>
              <w:rPr>
                <w:rFonts w:hint="default" w:ascii="Times New Roman" w:hAnsi="Times New Roman" w:cs="Times New Roman"/>
                <w:sz w:val="24"/>
                <w:lang w:val="en-US" w:eastAsia="zh-CN"/>
              </w:rPr>
              <w:t>二甲苯</w:t>
            </w:r>
          </w:p>
        </w:tc>
        <w:tc>
          <w:tcPr>
            <w:tcW w:w="1679" w:type="dxa"/>
            <w:vMerge w:val="restart"/>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移动式烟尘净化器、加强通风、</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植树绿化</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553" w:type="dxa"/>
            <w:vMerge w:val="continue"/>
            <w:vAlign w:val="center"/>
          </w:tcPr>
          <w:p>
            <w:pPr>
              <w:adjustRightInd w:val="0"/>
              <w:snapToGrid w:val="0"/>
              <w:jc w:val="center"/>
              <w:rPr>
                <w:rFonts w:hint="default" w:ascii="Times New Roman" w:hAnsi="Times New Roman" w:cs="Times New Roman"/>
                <w:color w:val="000000"/>
                <w:sz w:val="24"/>
              </w:rPr>
            </w:pPr>
          </w:p>
        </w:tc>
        <w:tc>
          <w:tcPr>
            <w:tcW w:w="1106" w:type="dxa"/>
            <w:vMerge w:val="continue"/>
            <w:vAlign w:val="center"/>
          </w:tcPr>
          <w:p>
            <w:pPr>
              <w:adjustRightInd w:val="0"/>
              <w:snapToGrid w:val="0"/>
              <w:jc w:val="center"/>
              <w:rPr>
                <w:rFonts w:hint="default" w:ascii="Times New Roman" w:hAnsi="Times New Roman" w:cs="Times New Roman"/>
                <w:sz w:val="24"/>
              </w:rPr>
            </w:pPr>
          </w:p>
        </w:tc>
        <w:tc>
          <w:tcPr>
            <w:tcW w:w="1505" w:type="dxa"/>
            <w:vAlign w:val="center"/>
          </w:tcPr>
          <w:p>
            <w:pPr>
              <w:adjustRightInd w:val="0"/>
              <w:snapToGrid w:val="0"/>
              <w:jc w:val="center"/>
              <w:rPr>
                <w:rFonts w:hint="default" w:ascii="Times New Roman" w:hAnsi="Times New Roman" w:cs="Times New Roman"/>
                <w:sz w:val="24"/>
              </w:rPr>
            </w:pPr>
            <w:r>
              <w:rPr>
                <w:rFonts w:hint="eastAsia" w:cs="Times New Roman"/>
                <w:sz w:val="24"/>
                <w:lang w:val="en-US" w:eastAsia="zh-CN"/>
              </w:rPr>
              <w:t>苯乙烯</w:t>
            </w:r>
            <w:r>
              <w:rPr>
                <w:rFonts w:hint="default" w:ascii="Times New Roman" w:hAnsi="Times New Roman" w:cs="Times New Roman"/>
                <w:sz w:val="24"/>
                <w:lang w:val="en-US" w:eastAsia="zh-CN"/>
              </w:rPr>
              <w:t>、</w:t>
            </w:r>
            <w:r>
              <w:rPr>
                <w:rFonts w:hint="default" w:ascii="Times New Roman" w:hAnsi="Times New Roman" w:cs="Times New Roman"/>
                <w:sz w:val="24"/>
              </w:rPr>
              <w:t>臭气浓度</w:t>
            </w:r>
          </w:p>
        </w:tc>
        <w:tc>
          <w:tcPr>
            <w:tcW w:w="1679" w:type="dxa"/>
            <w:vMerge w:val="continue"/>
            <w:vAlign w:val="center"/>
          </w:tcPr>
          <w:p>
            <w:pPr>
              <w:adjustRightInd w:val="0"/>
              <w:snapToGrid w:val="0"/>
              <w:jc w:val="center"/>
              <w:rPr>
                <w:rFonts w:hint="default" w:ascii="Times New Roman" w:hAnsi="Times New Roman" w:cs="Times New Roman"/>
                <w:sz w:val="24"/>
              </w:rPr>
            </w:pP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《恶臭污染物排放标准》（GB 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553" w:type="dxa"/>
            <w:vMerge w:val="continue"/>
            <w:vAlign w:val="center"/>
          </w:tcPr>
          <w:p>
            <w:pPr>
              <w:adjustRightInd w:val="0"/>
              <w:snapToGrid w:val="0"/>
              <w:jc w:val="center"/>
              <w:rPr>
                <w:rFonts w:hint="default" w:ascii="Times New Roman" w:hAnsi="Times New Roman" w:cs="Times New Roman"/>
                <w:color w:val="000000"/>
                <w:sz w:val="24"/>
              </w:rPr>
            </w:pPr>
          </w:p>
        </w:tc>
        <w:tc>
          <w:tcPr>
            <w:tcW w:w="1106" w:type="dxa"/>
            <w:vMerge w:val="continue"/>
            <w:vAlign w:val="center"/>
          </w:tcPr>
          <w:p>
            <w:pPr>
              <w:adjustRightInd w:val="0"/>
              <w:snapToGrid w:val="0"/>
              <w:jc w:val="center"/>
              <w:rPr>
                <w:rFonts w:hint="default" w:ascii="Times New Roman" w:hAnsi="Times New Roman" w:cs="Times New Roman"/>
                <w:sz w:val="24"/>
              </w:rPr>
            </w:pP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三乙胺</w:t>
            </w:r>
          </w:p>
        </w:tc>
        <w:tc>
          <w:tcPr>
            <w:tcW w:w="1679" w:type="dxa"/>
            <w:vMerge w:val="continue"/>
            <w:vAlign w:val="center"/>
          </w:tcPr>
          <w:p>
            <w:pPr>
              <w:adjustRightInd w:val="0"/>
              <w:snapToGrid w:val="0"/>
              <w:jc w:val="center"/>
              <w:rPr>
                <w:rFonts w:hint="default" w:ascii="Times New Roman" w:hAnsi="Times New Roman" w:cs="Times New Roman"/>
                <w:sz w:val="24"/>
              </w:rPr>
            </w:pP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vAlign w:val="center"/>
          </w:tcPr>
          <w:p>
            <w:pPr>
              <w:adjustRightInd w:val="0"/>
              <w:snapToGrid w:val="0"/>
              <w:jc w:val="center"/>
              <w:rPr>
                <w:rFonts w:hint="default" w:ascii="Times New Roman" w:hAnsi="Times New Roman" w:cs="Times New Roman"/>
                <w:color w:val="000000"/>
                <w:sz w:val="24"/>
              </w:rPr>
            </w:pPr>
          </w:p>
        </w:tc>
        <w:tc>
          <w:tcPr>
            <w:tcW w:w="553" w:type="dxa"/>
            <w:vMerge w:val="continue"/>
            <w:vAlign w:val="center"/>
          </w:tcPr>
          <w:p>
            <w:pPr>
              <w:adjustRightInd w:val="0"/>
              <w:snapToGrid w:val="0"/>
              <w:jc w:val="center"/>
              <w:rPr>
                <w:rFonts w:hint="default" w:ascii="Times New Roman" w:hAnsi="Times New Roman" w:cs="Times New Roman"/>
                <w:color w:val="000000"/>
                <w:sz w:val="24"/>
              </w:rPr>
            </w:pPr>
          </w:p>
        </w:tc>
        <w:tc>
          <w:tcPr>
            <w:tcW w:w="1106"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sz w:val="24"/>
              </w:rPr>
              <w:t>厂区内车间外1m</w:t>
            </w:r>
          </w:p>
        </w:tc>
        <w:tc>
          <w:tcPr>
            <w:tcW w:w="1505"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非甲烷总烃</w:t>
            </w:r>
          </w:p>
        </w:tc>
        <w:tc>
          <w:tcPr>
            <w:tcW w:w="1679"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w:t>
            </w:r>
          </w:p>
        </w:tc>
        <w:tc>
          <w:tcPr>
            <w:tcW w:w="229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地表水环境</w:t>
            </w:r>
          </w:p>
        </w:tc>
        <w:tc>
          <w:tcPr>
            <w:tcW w:w="1659" w:type="dxa"/>
            <w:gridSpan w:val="2"/>
            <w:vAlign w:val="center"/>
          </w:tcPr>
          <w:p>
            <w:pPr>
              <w:adjustRightInd w:val="0"/>
              <w:snapToGrid w:val="0"/>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生活污水</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食堂废水</w:t>
            </w:r>
          </w:p>
        </w:tc>
        <w:tc>
          <w:tcPr>
            <w:tcW w:w="1505" w:type="dxa"/>
            <w:vAlign w:val="center"/>
          </w:tcPr>
          <w:p>
            <w:pPr>
              <w:adjustRightInd w:val="0"/>
              <w:snapToGrid w:val="0"/>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pH、COD、SS、NH</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-N、TP、TN</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动植物油</w:t>
            </w:r>
          </w:p>
        </w:tc>
        <w:tc>
          <w:tcPr>
            <w:tcW w:w="167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经化粪池</w:t>
            </w:r>
            <w:r>
              <w:rPr>
                <w:rFonts w:hint="default" w:ascii="Times New Roman" w:hAnsi="Times New Roman" w:cs="Times New Roman"/>
                <w:color w:val="000000"/>
                <w:sz w:val="24"/>
                <w:lang w:val="en-US" w:eastAsia="zh-CN"/>
              </w:rPr>
              <w:t>+隔油池</w:t>
            </w:r>
            <w:r>
              <w:rPr>
                <w:rFonts w:hint="default" w:ascii="Times New Roman" w:hAnsi="Times New Roman" w:cs="Times New Roman"/>
                <w:color w:val="000000"/>
                <w:sz w:val="24"/>
              </w:rPr>
              <w:t>处理后接管至如皋市搬经污水处理厂</w:t>
            </w:r>
          </w:p>
        </w:tc>
        <w:tc>
          <w:tcPr>
            <w:tcW w:w="2296"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sz w:val="24"/>
              </w:rPr>
              <w:t>《污水综合排放标准》（GB89781996）、《污水排入城镇下水道水质标准》（GB/T31962-2015）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声环境</w:t>
            </w:r>
          </w:p>
        </w:tc>
        <w:tc>
          <w:tcPr>
            <w:tcW w:w="1659" w:type="dxa"/>
            <w:gridSpan w:val="2"/>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 xml:space="preserve">设备噪声 </w:t>
            </w:r>
          </w:p>
        </w:tc>
        <w:tc>
          <w:tcPr>
            <w:tcW w:w="1505"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Leq(A)</w:t>
            </w:r>
          </w:p>
        </w:tc>
        <w:tc>
          <w:tcPr>
            <w:tcW w:w="167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kern w:val="0"/>
                <w:sz w:val="24"/>
              </w:rPr>
              <w:t>基础减震、厂房隔声、距离衰减</w:t>
            </w:r>
          </w:p>
        </w:tc>
        <w:tc>
          <w:tcPr>
            <w:tcW w:w="2296"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工业企业厂界</w:t>
            </w:r>
          </w:p>
          <w:p>
            <w:pPr>
              <w:adjustRightInd w:val="0"/>
              <w:snapToGrid w:val="0"/>
              <w:jc w:val="center"/>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rPr>
              <w:t>环境噪声排放标准</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GB12348-2008</w:t>
            </w:r>
            <w:r>
              <w:rPr>
                <w:rFonts w:hint="default" w:ascii="Times New Roman" w:hAnsi="Times New Roman" w:cs="Times New Roman"/>
                <w:color w:val="000000"/>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电磁辐射</w:t>
            </w:r>
          </w:p>
        </w:tc>
        <w:tc>
          <w:tcPr>
            <w:tcW w:w="1659" w:type="dxa"/>
            <w:gridSpan w:val="2"/>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05"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79"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2296" w:type="dxa"/>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61"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固体废物</w:t>
            </w:r>
          </w:p>
        </w:tc>
        <w:tc>
          <w:tcPr>
            <w:tcW w:w="7139" w:type="dxa"/>
            <w:gridSpan w:val="5"/>
            <w:vAlign w:val="center"/>
          </w:tcPr>
          <w:p>
            <w:pPr>
              <w:adjustRightInd w:val="0"/>
              <w:snapToGrid w:val="0"/>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一般工业固废暂存于一般工业固废库，执行《一般工业固体废物贮存和填埋污染控制标准》（GB18599-2020）；</w:t>
            </w:r>
            <w:r>
              <w:rPr>
                <w:rStyle w:val="78"/>
                <w:rFonts w:hint="default" w:ascii="Times New Roman" w:hAnsi="Times New Roman" w:cs="Times New Roman"/>
                <w:color w:val="000000"/>
                <w:sz w:val="24"/>
              </w:rPr>
              <w:t>危险废物暂存执行《危险废物贮存污染控制标准》（GB18597-2023）</w:t>
            </w:r>
            <w:r>
              <w:rPr>
                <w:rFonts w:hint="default" w:ascii="Times New Roman" w:hAnsi="Times New Roman" w:cs="Times New Roman"/>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661"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土壤及地下水</w:t>
            </w:r>
          </w:p>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污染防治措施</w:t>
            </w:r>
          </w:p>
        </w:tc>
        <w:tc>
          <w:tcPr>
            <w:tcW w:w="7139" w:type="dxa"/>
            <w:gridSpan w:val="5"/>
            <w:vAlign w:val="center"/>
          </w:tcPr>
          <w:p>
            <w:pPr>
              <w:adjustRightInd w:val="0"/>
              <w:snapToGrid w:val="0"/>
              <w:jc w:val="left"/>
              <w:rPr>
                <w:rFonts w:hint="default" w:ascii="Times New Roman" w:hAnsi="Times New Roman" w:cs="Times New Roman"/>
                <w:color w:val="000000"/>
                <w:sz w:val="24"/>
              </w:rPr>
            </w:pPr>
            <w:r>
              <w:rPr>
                <w:rFonts w:hint="default" w:ascii="Times New Roman" w:hAnsi="Times New Roman" w:cs="Times New Roman"/>
                <w:color w:val="000000"/>
                <w:sz w:val="24"/>
              </w:rPr>
              <w:t>分区防控。主要包括污染区地面的防渗措施和泄漏、渗漏污染物收集措施，即在污染区地面进行防渗处理，防止洒落地面的污染物渗入地下，从而避免对地下水的污染。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661" w:type="dxa"/>
            <w:vAlign w:val="center"/>
          </w:tcPr>
          <w:p>
            <w:pPr>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生态保护措施</w:t>
            </w:r>
          </w:p>
        </w:tc>
        <w:tc>
          <w:tcPr>
            <w:tcW w:w="7139" w:type="dxa"/>
            <w:gridSpan w:val="5"/>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661" w:type="dxa"/>
            <w:vAlign w:val="center"/>
          </w:tcPr>
          <w:p>
            <w:pPr>
              <w:adjustRightInd w:val="0"/>
              <w:snapToGrid w:val="0"/>
              <w:jc w:val="center"/>
              <w:rPr>
                <w:rFonts w:hint="default" w:ascii="Times New Roman" w:hAnsi="Times New Roman" w:cs="Times New Roman"/>
                <w:b/>
                <w:bCs/>
                <w:color w:val="000000"/>
                <w:spacing w:val="-8"/>
                <w:sz w:val="24"/>
              </w:rPr>
            </w:pPr>
            <w:r>
              <w:rPr>
                <w:rFonts w:hint="default" w:ascii="Times New Roman" w:hAnsi="Times New Roman" w:cs="Times New Roman"/>
                <w:b/>
                <w:bCs/>
                <w:color w:val="000000"/>
                <w:spacing w:val="-8"/>
                <w:sz w:val="24"/>
              </w:rPr>
              <w:t>环境风险</w:t>
            </w:r>
          </w:p>
          <w:p>
            <w:pPr>
              <w:adjustRightInd w:val="0"/>
              <w:snapToGrid w:val="0"/>
              <w:jc w:val="center"/>
              <w:rPr>
                <w:rFonts w:hint="default" w:ascii="Times New Roman" w:hAnsi="Times New Roman" w:cs="Times New Roman"/>
                <w:b/>
                <w:bCs/>
                <w:color w:val="000000"/>
                <w:spacing w:val="-8"/>
                <w:sz w:val="24"/>
              </w:rPr>
            </w:pPr>
            <w:r>
              <w:rPr>
                <w:rFonts w:hint="default" w:ascii="Times New Roman" w:hAnsi="Times New Roman" w:cs="Times New Roman"/>
                <w:b/>
                <w:bCs/>
                <w:color w:val="000000"/>
                <w:spacing w:val="-8"/>
                <w:sz w:val="24"/>
              </w:rPr>
              <w:t>防范措施</w:t>
            </w:r>
          </w:p>
        </w:tc>
        <w:tc>
          <w:tcPr>
            <w:tcW w:w="7139" w:type="dxa"/>
            <w:gridSpan w:val="5"/>
            <w:vAlign w:val="center"/>
          </w:tcPr>
          <w:p>
            <w:pPr>
              <w:adjustRightInd w:val="0"/>
              <w:snapToGrid w:val="0"/>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①生产车间及仓库设置监控，杜绝明火；危废仓库采取防渗措施，四周设置导流槽和收集池；</w:t>
            </w:r>
          </w:p>
          <w:p>
            <w:pPr>
              <w:adjustRightInd w:val="0"/>
              <w:snapToGrid w:val="0"/>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②为了防止偶然火灾事故造成重大人身伤亡和设备损失，设计有完整、高效的消防报警系统，整个系统包括烟感系统、应急疏散系统、室内外消防装置系统、排烟系统和应急照明及疏散指示系统。</w:t>
            </w:r>
          </w:p>
          <w:p>
            <w:pPr>
              <w:adjustRightInd w:val="0"/>
              <w:snapToGrid w:val="0"/>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③厂内粘贴禁止烟火的标志牌，并配置一定数量的灭火器等消防器材、应急救援物资，便于紧急情况下使用。</w:t>
            </w:r>
          </w:p>
          <w:p>
            <w:pPr>
              <w:adjustRightInd w:val="0"/>
              <w:snapToGrid w:val="0"/>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④健全雨、污管网系统，在雨水、排水管网的总出口前端设置雨、污切换阀门，发生泄漏和火灾事故产生消防废水后，及时关闭雨水阀门同时打开事故池阀门，保证事故后废水能及时排入事故池，防止有毒物质和消防废水通过雨水管网排入外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61" w:type="dxa"/>
            <w:vAlign w:val="center"/>
          </w:tcPr>
          <w:p>
            <w:pPr>
              <w:adjustRightInd w:val="0"/>
              <w:snapToGrid w:val="0"/>
              <w:jc w:val="center"/>
              <w:rPr>
                <w:rFonts w:hint="default" w:ascii="Times New Roman" w:hAnsi="Times New Roman" w:cs="Times New Roman"/>
                <w:b/>
                <w:bCs/>
                <w:color w:val="000000"/>
                <w:spacing w:val="-8"/>
                <w:sz w:val="24"/>
              </w:rPr>
            </w:pPr>
            <w:r>
              <w:rPr>
                <w:rFonts w:hint="default" w:ascii="Times New Roman" w:hAnsi="Times New Roman" w:cs="Times New Roman"/>
                <w:b/>
                <w:bCs/>
                <w:color w:val="000000"/>
                <w:spacing w:val="-8"/>
                <w:sz w:val="24"/>
              </w:rPr>
              <w:t>其他环境</w:t>
            </w:r>
          </w:p>
          <w:p>
            <w:pPr>
              <w:adjustRightInd w:val="0"/>
              <w:snapToGrid w:val="0"/>
              <w:jc w:val="center"/>
              <w:rPr>
                <w:rFonts w:hint="default" w:ascii="Times New Roman" w:hAnsi="Times New Roman" w:cs="Times New Roman"/>
                <w:b/>
                <w:bCs/>
                <w:color w:val="000000"/>
                <w:spacing w:val="-8"/>
                <w:sz w:val="24"/>
              </w:rPr>
            </w:pPr>
            <w:r>
              <w:rPr>
                <w:rFonts w:hint="default" w:ascii="Times New Roman" w:hAnsi="Times New Roman" w:cs="Times New Roman"/>
                <w:b/>
                <w:bCs/>
                <w:color w:val="000000"/>
                <w:spacing w:val="-8"/>
                <w:sz w:val="24"/>
              </w:rPr>
              <w:t>管理要求</w:t>
            </w:r>
          </w:p>
        </w:tc>
        <w:tc>
          <w:tcPr>
            <w:tcW w:w="7139" w:type="dxa"/>
            <w:gridSpan w:val="5"/>
            <w:vAlign w:val="center"/>
          </w:tcPr>
          <w:p>
            <w:pPr>
              <w:adjustRightInd w:val="0"/>
              <w:snapToGrid w:val="0"/>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本项目配套建设的环境保护设施必须与主体工程同时建成和投产使用，并按规定程序实施竣工环境保护验收，验收合格方可投入生产。</w:t>
            </w:r>
          </w:p>
        </w:tc>
      </w:tr>
    </w:tbl>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cs="Times New Roman"/>
          <w:snapToGrid w:val="0"/>
          <w:color w:val="000000"/>
        </w:rPr>
        <w:br w:type="page"/>
      </w:r>
      <w:r>
        <w:rPr>
          <w:rFonts w:hint="default" w:ascii="Times New Roman" w:hAnsi="Times New Roman" w:eastAsia="黑体" w:cs="Times New Roman"/>
          <w:snapToGrid w:val="0"/>
          <w:color w:val="000000"/>
          <w:sz w:val="30"/>
          <w:szCs w:val="30"/>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46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符合国家及地方相关产业政策，选址符合当地总体规划及环境规划。项目具有较明显的社会效益、经济效益与环境效益，采取的各项污染防治措施合理、有效。废气、废水、噪声及固废均可实现达标排放和安全处置，对周边环境影响较小。项目环保投资可基本满足污染控制需要，如能严格落实本报告提出的各项环保措施，并持之以恒加以管理，可控制环境污染，确保当地的环境质量不会因本项目的运营而下降。</w:t>
            </w:r>
          </w:p>
          <w:p>
            <w:pPr>
              <w:spacing w:line="46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因此，本报告认为，从环保角度来看，该项目环境影响是可行的。</w:t>
            </w:r>
          </w:p>
        </w:tc>
      </w:tr>
    </w:tbl>
    <w:p>
      <w:pPr>
        <w:rPr>
          <w:rFonts w:hint="default" w:ascii="Times New Roman" w:hAnsi="Times New Roman" w:cs="Times New Roman"/>
          <w:color w:val="00000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000000"/>
          <w:sz w:val="32"/>
          <w:szCs w:val="32"/>
        </w:rPr>
      </w:pPr>
      <w:r>
        <w:rPr>
          <w:rFonts w:hint="default" w:ascii="Times New Roman" w:hAnsi="Times New Roman" w:eastAsia="黑体" w:cs="Times New Roman"/>
          <w:snapToGrid w:val="0"/>
          <w:color w:val="000000"/>
          <w:sz w:val="32"/>
          <w:szCs w:val="32"/>
        </w:rPr>
        <w:t>附表</w:t>
      </w:r>
    </w:p>
    <w:p>
      <w:pPr>
        <w:pStyle w:val="22"/>
        <w:adjustRightInd w:val="0"/>
        <w:snapToGrid w:val="0"/>
        <w:spacing w:before="0" w:beforeAutospacing="0" w:after="0" w:afterAutospacing="0" w:line="552" w:lineRule="auto"/>
        <w:jc w:val="center"/>
        <w:rPr>
          <w:rFonts w:hint="default" w:ascii="Times New Roman" w:hAnsi="Times New Roman" w:eastAsia="方正小标宋_GBK" w:cs="Times New Roman"/>
          <w:snapToGrid w:val="0"/>
          <w:color w:val="000000"/>
          <w:sz w:val="38"/>
          <w:szCs w:val="38"/>
        </w:rPr>
      </w:pPr>
      <w:r>
        <w:rPr>
          <w:rFonts w:hint="default" w:ascii="Times New Roman" w:hAnsi="Times New Roman" w:eastAsia="方正小标宋_GBK" w:cs="Times New Roman"/>
          <w:snapToGrid w:val="0"/>
          <w:color w:val="000000"/>
          <w:sz w:val="38"/>
          <w:szCs w:val="38"/>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4"/>
        <w:gridCol w:w="476"/>
        <w:gridCol w:w="941"/>
        <w:gridCol w:w="1701"/>
        <w:gridCol w:w="1276"/>
        <w:gridCol w:w="1701"/>
        <w:gridCol w:w="1559"/>
        <w:gridCol w:w="1761"/>
        <w:gridCol w:w="1689"/>
        <w:gridCol w:w="1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 xml:space="preserve">      项目</w:t>
            </w:r>
          </w:p>
          <w:p>
            <w:pPr>
              <w:pStyle w:val="55"/>
              <w:spacing w:beforeLines="0" w:afterLines="0" w:line="240" w:lineRule="auto"/>
              <w:ind w:firstLine="0" w:firstLineChars="0"/>
              <w:jc w:val="both"/>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分类</w:t>
            </w:r>
          </w:p>
        </w:tc>
        <w:tc>
          <w:tcPr>
            <w:tcW w:w="1417" w:type="dxa"/>
            <w:gridSpan w:val="2"/>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污染物名称</w:t>
            </w:r>
          </w:p>
        </w:tc>
        <w:tc>
          <w:tcPr>
            <w:tcW w:w="1701"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现有工程</w:t>
            </w:r>
          </w:p>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排放量（固体废物产生量）</w:t>
            </w:r>
            <w:r>
              <w:rPr>
                <w:rFonts w:hint="default" w:ascii="Times New Roman" w:hAnsi="Times New Roman" w:cs="Times New Roman"/>
                <w:snapToGrid w:val="0"/>
                <w:color w:val="000000"/>
                <w:spacing w:val="-6"/>
                <w:kern w:val="21"/>
                <w:sz w:val="24"/>
                <w:szCs w:val="24"/>
              </w:rPr>
              <w:fldChar w:fldCharType="begin"/>
            </w:r>
            <w:r>
              <w:rPr>
                <w:rFonts w:hint="default" w:ascii="Times New Roman" w:hAnsi="Times New Roman" w:cs="Times New Roman"/>
                <w:snapToGrid w:val="0"/>
                <w:color w:val="000000"/>
                <w:spacing w:val="-6"/>
                <w:kern w:val="21"/>
                <w:sz w:val="24"/>
                <w:szCs w:val="24"/>
              </w:rPr>
              <w:instrText xml:space="preserve"> = 1 \* GB3 \* MERGEFORMAT </w:instrText>
            </w:r>
            <w:r>
              <w:rPr>
                <w:rFonts w:hint="default" w:ascii="Times New Roman" w:hAnsi="Times New Roman" w:cs="Times New Roman"/>
                <w:snapToGrid w:val="0"/>
                <w:color w:val="000000"/>
                <w:spacing w:val="-6"/>
                <w:kern w:val="21"/>
                <w:sz w:val="24"/>
                <w:szCs w:val="24"/>
              </w:rPr>
              <w:fldChar w:fldCharType="separate"/>
            </w:r>
            <w:r>
              <w:rPr>
                <w:rFonts w:hint="default" w:ascii="Times New Roman" w:hAnsi="Times New Roman" w:cs="Times New Roman"/>
                <w:color w:val="000000"/>
                <w:kern w:val="2"/>
                <w:sz w:val="24"/>
                <w:szCs w:val="24"/>
              </w:rPr>
              <w:t>①</w:t>
            </w:r>
            <w:r>
              <w:rPr>
                <w:rFonts w:hint="default" w:ascii="Times New Roman" w:hAnsi="Times New Roman" w:cs="Times New Roman"/>
                <w:snapToGrid w:val="0"/>
                <w:color w:val="000000"/>
                <w:spacing w:val="-6"/>
                <w:kern w:val="21"/>
                <w:sz w:val="24"/>
                <w:szCs w:val="24"/>
              </w:rPr>
              <w:fldChar w:fldCharType="end"/>
            </w:r>
          </w:p>
        </w:tc>
        <w:tc>
          <w:tcPr>
            <w:tcW w:w="1276"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现有工程</w:t>
            </w:r>
          </w:p>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许可排放量</w:t>
            </w:r>
          </w:p>
          <w:p>
            <w:pPr>
              <w:pStyle w:val="55"/>
              <w:spacing w:beforeLines="0" w:afterLines="0"/>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fldChar w:fldCharType="begin"/>
            </w:r>
            <w:r>
              <w:rPr>
                <w:rFonts w:hint="default" w:ascii="Times New Roman" w:hAnsi="Times New Roman" w:cs="Times New Roman"/>
                <w:snapToGrid w:val="0"/>
                <w:color w:val="000000"/>
                <w:spacing w:val="-6"/>
                <w:kern w:val="21"/>
                <w:sz w:val="24"/>
                <w:szCs w:val="24"/>
              </w:rPr>
              <w:instrText xml:space="preserve"> = 2 \* GB3 \* MERGEFORMAT </w:instrText>
            </w:r>
            <w:r>
              <w:rPr>
                <w:rFonts w:hint="default" w:ascii="Times New Roman" w:hAnsi="Times New Roman" w:cs="Times New Roman"/>
                <w:snapToGrid w:val="0"/>
                <w:color w:val="000000"/>
                <w:spacing w:val="-6"/>
                <w:kern w:val="21"/>
                <w:sz w:val="24"/>
                <w:szCs w:val="24"/>
              </w:rPr>
              <w:fldChar w:fldCharType="separate"/>
            </w:r>
            <w:r>
              <w:rPr>
                <w:rFonts w:hint="default" w:ascii="Times New Roman" w:hAnsi="Times New Roman" w:cs="Times New Roman"/>
                <w:snapToGrid w:val="0"/>
                <w:color w:val="000000"/>
                <w:spacing w:val="-6"/>
                <w:kern w:val="21"/>
                <w:sz w:val="24"/>
                <w:szCs w:val="24"/>
              </w:rPr>
              <w:t>②</w:t>
            </w:r>
            <w:r>
              <w:rPr>
                <w:rFonts w:hint="default" w:ascii="Times New Roman" w:hAnsi="Times New Roman" w:cs="Times New Roman"/>
                <w:snapToGrid w:val="0"/>
                <w:color w:val="000000"/>
                <w:spacing w:val="-6"/>
                <w:kern w:val="21"/>
                <w:sz w:val="24"/>
                <w:szCs w:val="24"/>
              </w:rPr>
              <w:fldChar w:fldCharType="end"/>
            </w:r>
          </w:p>
        </w:tc>
        <w:tc>
          <w:tcPr>
            <w:tcW w:w="1701"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在建工程</w:t>
            </w:r>
          </w:p>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排放量（固体废物产生量）</w:t>
            </w:r>
            <w:r>
              <w:rPr>
                <w:rFonts w:hint="default" w:ascii="Times New Roman" w:hAnsi="Times New Roman" w:cs="Times New Roman"/>
                <w:snapToGrid w:val="0"/>
                <w:color w:val="000000"/>
                <w:spacing w:val="-6"/>
                <w:kern w:val="21"/>
                <w:sz w:val="24"/>
                <w:szCs w:val="24"/>
              </w:rPr>
              <w:fldChar w:fldCharType="begin"/>
            </w:r>
            <w:r>
              <w:rPr>
                <w:rFonts w:hint="default" w:ascii="Times New Roman" w:hAnsi="Times New Roman" w:cs="Times New Roman"/>
                <w:snapToGrid w:val="0"/>
                <w:color w:val="000000"/>
                <w:spacing w:val="-6"/>
                <w:kern w:val="21"/>
                <w:sz w:val="24"/>
                <w:szCs w:val="24"/>
              </w:rPr>
              <w:instrText xml:space="preserve"> = 3 \* GB3 \* MERGEFORMAT </w:instrText>
            </w:r>
            <w:r>
              <w:rPr>
                <w:rFonts w:hint="default" w:ascii="Times New Roman" w:hAnsi="Times New Roman" w:cs="Times New Roman"/>
                <w:snapToGrid w:val="0"/>
                <w:color w:val="000000"/>
                <w:spacing w:val="-6"/>
                <w:kern w:val="21"/>
                <w:sz w:val="24"/>
                <w:szCs w:val="24"/>
              </w:rPr>
              <w:fldChar w:fldCharType="separate"/>
            </w:r>
            <w:r>
              <w:rPr>
                <w:rFonts w:hint="default" w:ascii="Times New Roman" w:hAnsi="Times New Roman" w:cs="Times New Roman"/>
                <w:color w:val="000000"/>
                <w:kern w:val="2"/>
                <w:sz w:val="24"/>
                <w:szCs w:val="24"/>
              </w:rPr>
              <w:t>③</w:t>
            </w:r>
            <w:r>
              <w:rPr>
                <w:rFonts w:hint="default" w:ascii="Times New Roman" w:hAnsi="Times New Roman" w:cs="Times New Roman"/>
                <w:snapToGrid w:val="0"/>
                <w:color w:val="000000"/>
                <w:spacing w:val="-6"/>
                <w:kern w:val="21"/>
                <w:sz w:val="24"/>
                <w:szCs w:val="24"/>
              </w:rPr>
              <w:fldChar w:fldCharType="end"/>
            </w:r>
          </w:p>
        </w:tc>
        <w:tc>
          <w:tcPr>
            <w:tcW w:w="1559"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本项目</w:t>
            </w:r>
          </w:p>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排放量（固体废物产生量）</w:t>
            </w:r>
            <w:r>
              <w:rPr>
                <w:rFonts w:hint="default" w:ascii="Times New Roman" w:hAnsi="Times New Roman" w:cs="Times New Roman"/>
                <w:snapToGrid w:val="0"/>
                <w:color w:val="000000"/>
                <w:spacing w:val="-6"/>
                <w:kern w:val="21"/>
                <w:sz w:val="24"/>
                <w:szCs w:val="24"/>
              </w:rPr>
              <w:fldChar w:fldCharType="begin"/>
            </w:r>
            <w:r>
              <w:rPr>
                <w:rFonts w:hint="default" w:ascii="Times New Roman" w:hAnsi="Times New Roman" w:cs="Times New Roman"/>
                <w:snapToGrid w:val="0"/>
                <w:color w:val="000000"/>
                <w:spacing w:val="-6"/>
                <w:kern w:val="21"/>
                <w:sz w:val="24"/>
                <w:szCs w:val="24"/>
              </w:rPr>
              <w:instrText xml:space="preserve"> = 4 \* GB3 \* MERGEFORMAT </w:instrText>
            </w:r>
            <w:r>
              <w:rPr>
                <w:rFonts w:hint="default" w:ascii="Times New Roman" w:hAnsi="Times New Roman" w:cs="Times New Roman"/>
                <w:snapToGrid w:val="0"/>
                <w:color w:val="000000"/>
                <w:spacing w:val="-6"/>
                <w:kern w:val="21"/>
                <w:sz w:val="24"/>
                <w:szCs w:val="24"/>
              </w:rPr>
              <w:fldChar w:fldCharType="separate"/>
            </w:r>
            <w:r>
              <w:rPr>
                <w:rFonts w:hint="default" w:ascii="Times New Roman" w:hAnsi="Times New Roman" w:cs="Times New Roman"/>
                <w:color w:val="000000"/>
                <w:kern w:val="2"/>
                <w:sz w:val="24"/>
                <w:szCs w:val="24"/>
              </w:rPr>
              <w:t>④</w:t>
            </w:r>
            <w:r>
              <w:rPr>
                <w:rFonts w:hint="default" w:ascii="Times New Roman" w:hAnsi="Times New Roman" w:cs="Times New Roman"/>
                <w:snapToGrid w:val="0"/>
                <w:color w:val="000000"/>
                <w:spacing w:val="-6"/>
                <w:kern w:val="21"/>
                <w:sz w:val="24"/>
                <w:szCs w:val="24"/>
              </w:rPr>
              <w:fldChar w:fldCharType="end"/>
            </w:r>
          </w:p>
        </w:tc>
        <w:tc>
          <w:tcPr>
            <w:tcW w:w="1761"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16"/>
                <w:kern w:val="21"/>
                <w:sz w:val="24"/>
                <w:szCs w:val="24"/>
              </w:rPr>
            </w:pPr>
            <w:r>
              <w:rPr>
                <w:rFonts w:hint="default" w:ascii="Times New Roman" w:hAnsi="Times New Roman" w:cs="Times New Roman"/>
                <w:snapToGrid w:val="0"/>
                <w:color w:val="000000"/>
                <w:spacing w:val="-16"/>
                <w:kern w:val="21"/>
                <w:sz w:val="24"/>
                <w:szCs w:val="24"/>
              </w:rPr>
              <w:t>以新带老削减量</w:t>
            </w:r>
          </w:p>
          <w:p>
            <w:pPr>
              <w:pStyle w:val="55"/>
              <w:spacing w:beforeLines="0" w:afterLines="0" w:line="240" w:lineRule="auto"/>
              <w:ind w:firstLine="0" w:firstLineChars="0"/>
              <w:rPr>
                <w:rFonts w:hint="default" w:ascii="Times New Roman" w:hAnsi="Times New Roman" w:cs="Times New Roman"/>
                <w:snapToGrid w:val="0"/>
                <w:color w:val="000000"/>
                <w:spacing w:val="-16"/>
                <w:kern w:val="21"/>
                <w:sz w:val="24"/>
                <w:szCs w:val="24"/>
              </w:rPr>
            </w:pPr>
            <w:r>
              <w:rPr>
                <w:rFonts w:hint="default" w:ascii="Times New Roman" w:hAnsi="Times New Roman" w:cs="Times New Roman"/>
                <w:snapToGrid w:val="0"/>
                <w:color w:val="000000"/>
                <w:spacing w:val="-16"/>
                <w:kern w:val="21"/>
                <w:sz w:val="24"/>
                <w:szCs w:val="24"/>
              </w:rPr>
              <w:t>（新建项目不填）</w:t>
            </w:r>
            <w:r>
              <w:rPr>
                <w:rFonts w:hint="default" w:ascii="Times New Roman" w:hAnsi="Times New Roman" w:cs="Times New Roman"/>
                <w:snapToGrid w:val="0"/>
                <w:color w:val="000000"/>
                <w:spacing w:val="-16"/>
                <w:kern w:val="21"/>
                <w:sz w:val="24"/>
                <w:szCs w:val="24"/>
              </w:rPr>
              <w:fldChar w:fldCharType="begin"/>
            </w:r>
            <w:r>
              <w:rPr>
                <w:rFonts w:hint="default" w:ascii="Times New Roman" w:hAnsi="Times New Roman" w:cs="Times New Roman"/>
                <w:snapToGrid w:val="0"/>
                <w:color w:val="000000"/>
                <w:spacing w:val="-16"/>
                <w:kern w:val="21"/>
                <w:sz w:val="24"/>
                <w:szCs w:val="24"/>
              </w:rPr>
              <w:instrText xml:space="preserve"> = 5 \* GB3 \* MERGEFORMAT </w:instrText>
            </w:r>
            <w:r>
              <w:rPr>
                <w:rFonts w:hint="default" w:ascii="Times New Roman" w:hAnsi="Times New Roman" w:cs="Times New Roman"/>
                <w:snapToGrid w:val="0"/>
                <w:color w:val="000000"/>
                <w:spacing w:val="-16"/>
                <w:kern w:val="21"/>
                <w:sz w:val="24"/>
                <w:szCs w:val="24"/>
              </w:rPr>
              <w:fldChar w:fldCharType="separate"/>
            </w:r>
            <w:r>
              <w:rPr>
                <w:rFonts w:hint="default" w:ascii="Times New Roman" w:hAnsi="Times New Roman" w:cs="Times New Roman"/>
                <w:color w:val="000000"/>
                <w:kern w:val="2"/>
                <w:sz w:val="24"/>
                <w:szCs w:val="24"/>
              </w:rPr>
              <w:t>⑤</w:t>
            </w:r>
            <w:r>
              <w:rPr>
                <w:rFonts w:hint="default" w:ascii="Times New Roman" w:hAnsi="Times New Roman" w:cs="Times New Roman"/>
                <w:snapToGrid w:val="0"/>
                <w:color w:val="000000"/>
                <w:spacing w:val="-16"/>
                <w:kern w:val="21"/>
                <w:sz w:val="24"/>
                <w:szCs w:val="24"/>
              </w:rPr>
              <w:fldChar w:fldCharType="end"/>
            </w:r>
          </w:p>
        </w:tc>
        <w:tc>
          <w:tcPr>
            <w:tcW w:w="1689"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16"/>
                <w:kern w:val="21"/>
                <w:sz w:val="24"/>
                <w:szCs w:val="24"/>
              </w:rPr>
            </w:pPr>
            <w:r>
              <w:rPr>
                <w:rFonts w:hint="default" w:ascii="Times New Roman" w:hAnsi="Times New Roman" w:cs="Times New Roman"/>
                <w:snapToGrid w:val="0"/>
                <w:color w:val="000000"/>
                <w:spacing w:val="-16"/>
                <w:kern w:val="21"/>
                <w:sz w:val="24"/>
                <w:szCs w:val="24"/>
              </w:rPr>
              <w:t>本项目建成后</w:t>
            </w:r>
          </w:p>
          <w:p>
            <w:pPr>
              <w:pStyle w:val="55"/>
              <w:spacing w:beforeLines="0" w:afterLines="0" w:line="240" w:lineRule="auto"/>
              <w:ind w:firstLine="0" w:firstLineChars="0"/>
              <w:rPr>
                <w:rFonts w:hint="default" w:ascii="Times New Roman" w:hAnsi="Times New Roman" w:cs="Times New Roman"/>
                <w:snapToGrid w:val="0"/>
                <w:color w:val="000000"/>
                <w:spacing w:val="-16"/>
                <w:kern w:val="21"/>
                <w:sz w:val="24"/>
                <w:szCs w:val="24"/>
              </w:rPr>
            </w:pPr>
            <w:r>
              <w:rPr>
                <w:rFonts w:hint="default" w:ascii="Times New Roman" w:hAnsi="Times New Roman" w:cs="Times New Roman"/>
                <w:snapToGrid w:val="0"/>
                <w:color w:val="000000"/>
                <w:spacing w:val="-16"/>
                <w:kern w:val="21"/>
                <w:sz w:val="24"/>
                <w:szCs w:val="24"/>
              </w:rPr>
              <w:t>全厂排放量（固体废物产生量）</w:t>
            </w:r>
            <w:r>
              <w:rPr>
                <w:rFonts w:hint="default" w:ascii="Times New Roman" w:hAnsi="Times New Roman" w:cs="Times New Roman"/>
                <w:snapToGrid w:val="0"/>
                <w:color w:val="000000"/>
                <w:spacing w:val="-16"/>
                <w:kern w:val="21"/>
                <w:sz w:val="24"/>
                <w:szCs w:val="24"/>
              </w:rPr>
              <w:fldChar w:fldCharType="begin"/>
            </w:r>
            <w:r>
              <w:rPr>
                <w:rFonts w:hint="default" w:ascii="Times New Roman" w:hAnsi="Times New Roman" w:cs="Times New Roman"/>
                <w:snapToGrid w:val="0"/>
                <w:color w:val="000000"/>
                <w:spacing w:val="-16"/>
                <w:kern w:val="21"/>
                <w:sz w:val="24"/>
                <w:szCs w:val="24"/>
              </w:rPr>
              <w:instrText xml:space="preserve"> = 6 \* GB3 \* MERGEFORMAT </w:instrText>
            </w:r>
            <w:r>
              <w:rPr>
                <w:rFonts w:hint="default" w:ascii="Times New Roman" w:hAnsi="Times New Roman" w:cs="Times New Roman"/>
                <w:snapToGrid w:val="0"/>
                <w:color w:val="000000"/>
                <w:spacing w:val="-16"/>
                <w:kern w:val="21"/>
                <w:sz w:val="24"/>
                <w:szCs w:val="24"/>
              </w:rPr>
              <w:fldChar w:fldCharType="separate"/>
            </w:r>
            <w:r>
              <w:rPr>
                <w:rFonts w:hint="default" w:ascii="Times New Roman" w:hAnsi="Times New Roman" w:cs="Times New Roman"/>
                <w:color w:val="000000"/>
                <w:kern w:val="2"/>
                <w:sz w:val="24"/>
                <w:szCs w:val="24"/>
              </w:rPr>
              <w:t>⑥</w:t>
            </w:r>
            <w:r>
              <w:rPr>
                <w:rFonts w:hint="default" w:ascii="Times New Roman" w:hAnsi="Times New Roman" w:cs="Times New Roman"/>
                <w:snapToGrid w:val="0"/>
                <w:color w:val="000000"/>
                <w:spacing w:val="-16"/>
                <w:kern w:val="21"/>
                <w:sz w:val="24"/>
                <w:szCs w:val="24"/>
              </w:rPr>
              <w:fldChar w:fldCharType="end"/>
            </w:r>
          </w:p>
        </w:tc>
        <w:tc>
          <w:tcPr>
            <w:tcW w:w="1096" w:type="dxa"/>
            <w:tcMar>
              <w:left w:w="28" w:type="dxa"/>
              <w:right w:w="28" w:type="dxa"/>
            </w:tcMar>
            <w:vAlign w:val="center"/>
          </w:tcPr>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t>变化量</w:t>
            </w:r>
          </w:p>
          <w:p>
            <w:pPr>
              <w:pStyle w:val="55"/>
              <w:spacing w:beforeLines="0" w:afterLines="0" w:line="240" w:lineRule="auto"/>
              <w:ind w:firstLine="0" w:firstLineChars="0"/>
              <w:rPr>
                <w:rFonts w:hint="default" w:ascii="Times New Roman" w:hAnsi="Times New Roman" w:cs="Times New Roman"/>
                <w:snapToGrid w:val="0"/>
                <w:color w:val="000000"/>
                <w:spacing w:val="-6"/>
                <w:kern w:val="21"/>
                <w:sz w:val="24"/>
                <w:szCs w:val="24"/>
              </w:rPr>
            </w:pPr>
            <w:r>
              <w:rPr>
                <w:rFonts w:hint="default" w:ascii="Times New Roman" w:hAnsi="Times New Roman" w:cs="Times New Roman"/>
                <w:snapToGrid w:val="0"/>
                <w:color w:val="000000"/>
                <w:spacing w:val="-6"/>
                <w:kern w:val="21"/>
                <w:sz w:val="24"/>
                <w:szCs w:val="24"/>
              </w:rPr>
              <w:fldChar w:fldCharType="begin"/>
            </w:r>
            <w:r>
              <w:rPr>
                <w:rFonts w:hint="default" w:ascii="Times New Roman" w:hAnsi="Times New Roman" w:cs="Times New Roman"/>
                <w:snapToGrid w:val="0"/>
                <w:color w:val="000000"/>
                <w:spacing w:val="-6"/>
                <w:kern w:val="21"/>
                <w:sz w:val="24"/>
                <w:szCs w:val="24"/>
              </w:rPr>
              <w:instrText xml:space="preserve"> = 7 \* GB3 \* MERGEFORMAT </w:instrText>
            </w:r>
            <w:r>
              <w:rPr>
                <w:rFonts w:hint="default" w:ascii="Times New Roman" w:hAnsi="Times New Roman" w:cs="Times New Roman"/>
                <w:snapToGrid w:val="0"/>
                <w:color w:val="000000"/>
                <w:spacing w:val="-6"/>
                <w:kern w:val="21"/>
                <w:sz w:val="24"/>
                <w:szCs w:val="24"/>
              </w:rPr>
              <w:fldChar w:fldCharType="separate"/>
            </w:r>
            <w:r>
              <w:rPr>
                <w:rFonts w:hint="default" w:ascii="Times New Roman" w:hAnsi="Times New Roman" w:cs="Times New Roman"/>
                <w:color w:val="000000"/>
                <w:kern w:val="2"/>
                <w:sz w:val="24"/>
                <w:szCs w:val="24"/>
              </w:rPr>
              <w:t>⑦</w:t>
            </w:r>
            <w:r>
              <w:rPr>
                <w:rFonts w:hint="default" w:ascii="Times New Roman" w:hAnsi="Times New Roman" w:cs="Times New Roman"/>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Align w:val="center"/>
          </w:tcPr>
          <w:p>
            <w:pPr>
              <w:pStyle w:val="55"/>
              <w:spacing w:beforeLines="0" w:afterLines="0" w:line="320" w:lineRule="exact"/>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单位</w:t>
            </w:r>
          </w:p>
        </w:tc>
        <w:tc>
          <w:tcPr>
            <w:tcW w:w="1417" w:type="dxa"/>
            <w:gridSpan w:val="2"/>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r>
              <w:rPr>
                <w:rFonts w:hint="default" w:ascii="Times New Roman" w:hAnsi="Times New Roman" w:cs="Times New Roman"/>
                <w:snapToGrid w:val="0"/>
                <w:color w:val="000000"/>
                <w:kern w:val="21"/>
                <w:sz w:val="24"/>
                <w:szCs w:val="24"/>
              </w:rPr>
              <w:t>t/a</w:t>
            </w:r>
          </w:p>
        </w:tc>
        <w:tc>
          <w:tcPr>
            <w:tcW w:w="1701" w:type="dxa"/>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t/a</w:t>
            </w:r>
          </w:p>
        </w:tc>
        <w:tc>
          <w:tcPr>
            <w:tcW w:w="1276" w:type="dxa"/>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r>
              <w:rPr>
                <w:rFonts w:hint="default" w:ascii="Times New Roman" w:hAnsi="Times New Roman" w:cs="Times New Roman"/>
                <w:snapToGrid w:val="0"/>
                <w:color w:val="000000"/>
                <w:kern w:val="21"/>
                <w:sz w:val="24"/>
                <w:szCs w:val="24"/>
              </w:rPr>
              <w:t>t/a</w:t>
            </w:r>
          </w:p>
        </w:tc>
        <w:tc>
          <w:tcPr>
            <w:tcW w:w="1701" w:type="dxa"/>
            <w:vAlign w:val="center"/>
          </w:tcPr>
          <w:p>
            <w:pPr>
              <w:pStyle w:val="22"/>
              <w:widowControl w:val="0"/>
              <w:tabs>
                <w:tab w:val="left" w:pos="277"/>
                <w:tab w:val="left" w:pos="600"/>
                <w:tab w:val="left" w:pos="780"/>
                <w:tab w:val="left" w:pos="2517"/>
              </w:tabs>
              <w:adjustRightInd w:val="0"/>
              <w:snapToGrid w:val="0"/>
              <w:spacing w:before="0" w:beforeAutospacing="0" w:after="0" w:afterAutospacing="0" w:line="320" w:lineRule="exact"/>
              <w:jc w:val="center"/>
              <w:rPr>
                <w:rFonts w:hint="default" w:ascii="Times New Roman" w:hAnsi="Times New Roman" w:cs="Times New Roman"/>
                <w:color w:val="000000"/>
                <w:szCs w:val="24"/>
              </w:rPr>
            </w:pPr>
            <w:r>
              <w:rPr>
                <w:rFonts w:hint="default" w:ascii="Times New Roman" w:hAnsi="Times New Roman" w:cs="Times New Roman"/>
                <w:snapToGrid w:val="0"/>
                <w:color w:val="000000"/>
                <w:kern w:val="21"/>
                <w:szCs w:val="24"/>
              </w:rPr>
              <w:t>t/a</w:t>
            </w:r>
          </w:p>
        </w:tc>
        <w:tc>
          <w:tcPr>
            <w:tcW w:w="1559" w:type="dxa"/>
            <w:vAlign w:val="center"/>
          </w:tcPr>
          <w:p>
            <w:pPr>
              <w:pStyle w:val="13"/>
              <w:spacing w:line="320" w:lineRule="exact"/>
              <w:jc w:val="center"/>
              <w:rPr>
                <w:rFonts w:hint="default" w:ascii="Times New Roman" w:hAnsi="Times New Roman" w:cs="Times New Roman"/>
                <w:color w:val="000000"/>
                <w:sz w:val="24"/>
              </w:rPr>
            </w:pPr>
            <w:r>
              <w:rPr>
                <w:rFonts w:hint="default" w:ascii="Times New Roman" w:hAnsi="Times New Roman" w:cs="Times New Roman"/>
                <w:snapToGrid w:val="0"/>
                <w:color w:val="000000"/>
                <w:kern w:val="21"/>
                <w:sz w:val="24"/>
              </w:rPr>
              <w:t>t/a</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snapToGrid w:val="0"/>
                <w:color w:val="000000"/>
                <w:kern w:val="21"/>
                <w:sz w:val="24"/>
              </w:rPr>
              <w:t>t/a</w:t>
            </w:r>
          </w:p>
        </w:tc>
        <w:tc>
          <w:tcPr>
            <w:tcW w:w="1689" w:type="dxa"/>
            <w:vAlign w:val="center"/>
          </w:tcPr>
          <w:p>
            <w:pPr>
              <w:pStyle w:val="13"/>
              <w:spacing w:line="320" w:lineRule="exact"/>
              <w:jc w:val="center"/>
              <w:rPr>
                <w:rFonts w:hint="default" w:ascii="Times New Roman" w:hAnsi="Times New Roman" w:cs="Times New Roman"/>
                <w:color w:val="000000"/>
                <w:sz w:val="24"/>
              </w:rPr>
            </w:pPr>
            <w:r>
              <w:rPr>
                <w:rFonts w:hint="default" w:ascii="Times New Roman" w:hAnsi="Times New Roman" w:cs="Times New Roman"/>
                <w:snapToGrid w:val="0"/>
                <w:color w:val="000000"/>
                <w:kern w:val="21"/>
                <w:sz w:val="24"/>
              </w:rPr>
              <w:t>t/a</w:t>
            </w:r>
          </w:p>
        </w:tc>
        <w:tc>
          <w:tcPr>
            <w:tcW w:w="1096" w:type="dxa"/>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snapToGrid w:val="0"/>
                <w:color w:val="000000"/>
                <w:kern w:val="21"/>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restart"/>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废气</w:t>
            </w:r>
          </w:p>
        </w:tc>
        <w:tc>
          <w:tcPr>
            <w:tcW w:w="794" w:type="dxa"/>
            <w:vMerge w:val="restart"/>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有组织</w:t>
            </w:r>
          </w:p>
        </w:tc>
        <w:tc>
          <w:tcPr>
            <w:tcW w:w="1417" w:type="dxa"/>
            <w:gridSpan w:val="2"/>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颗粒物</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rPr>
            </w:pPr>
            <w:r>
              <w:rPr>
                <w:rFonts w:hint="eastAsia" w:cs="Times New Roman"/>
                <w:bCs/>
                <w:color w:val="000000"/>
                <w:sz w:val="24"/>
                <w:lang w:val="en-US" w:eastAsia="zh-CN"/>
              </w:rPr>
              <w:t>0.1519</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0.1519</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+0.1519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b/>
                <w:bCs/>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1417" w:type="dxa"/>
            <w:gridSpan w:val="2"/>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非甲烷总烃</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cs="Times New Roman"/>
                <w:bCs/>
                <w:color w:val="000000"/>
                <w:sz w:val="24"/>
                <w:lang w:val="en-US"/>
              </w:rPr>
            </w:pPr>
            <w:r>
              <w:rPr>
                <w:rFonts w:hint="eastAsia" w:cs="Times New Roman"/>
                <w:bCs/>
                <w:color w:val="000000"/>
                <w:sz w:val="24"/>
                <w:lang w:val="en-US" w:eastAsia="zh-CN"/>
              </w:rPr>
              <w:t>0.2972</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bCs/>
                <w:color w:val="000000"/>
                <w:sz w:val="24"/>
                <w:lang w:val="en-US" w:eastAsia="zh-CN"/>
              </w:rPr>
              <w:t>0.2972</w:t>
            </w:r>
          </w:p>
        </w:tc>
        <w:tc>
          <w:tcPr>
            <w:tcW w:w="1096" w:type="dxa"/>
            <w:vAlign w:val="center"/>
          </w:tcPr>
          <w:p>
            <w:pPr>
              <w:jc w:val="center"/>
              <w:rPr>
                <w:rFonts w:hint="default" w:ascii="Times New Roman" w:hAnsi="Times New Roman" w:cs="Times New Roman"/>
                <w:bCs/>
                <w:color w:val="000000"/>
                <w:sz w:val="24"/>
              </w:rPr>
            </w:pPr>
            <w:r>
              <w:rPr>
                <w:rFonts w:hint="eastAsia" w:cs="Times New Roman"/>
                <w:bCs/>
                <w:color w:val="000000"/>
                <w:sz w:val="24"/>
                <w:lang w:val="en-US" w:eastAsia="zh-CN"/>
              </w:rPr>
              <w:t>+0.2972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476" w:type="dxa"/>
            <w:vMerge w:val="restart"/>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其中</w:t>
            </w:r>
          </w:p>
        </w:tc>
        <w:tc>
          <w:tcPr>
            <w:tcW w:w="941" w:type="dxa"/>
            <w:vAlign w:val="center"/>
          </w:tcPr>
          <w:p>
            <w:pPr>
              <w:pStyle w:val="55"/>
              <w:spacing w:beforeLines="0" w:afterLines="0" w:line="320" w:lineRule="exact"/>
              <w:ind w:firstLine="0" w:firstLineChars="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rPr>
              <w:t>三乙胺</w:t>
            </w:r>
          </w:p>
        </w:tc>
        <w:tc>
          <w:tcPr>
            <w:tcW w:w="1701"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276"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701"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559" w:type="dxa"/>
            <w:shd w:val="clear" w:color="auto" w:fill="auto"/>
            <w:vAlign w:val="center"/>
          </w:tcPr>
          <w:p>
            <w:pPr>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lang w:val="en-US" w:eastAsia="zh-CN"/>
              </w:rPr>
              <w:t>0.0001</w:t>
            </w:r>
          </w:p>
        </w:tc>
        <w:tc>
          <w:tcPr>
            <w:tcW w:w="1761"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689" w:type="dxa"/>
            <w:shd w:val="clear" w:color="auto" w:fill="auto"/>
            <w:vAlign w:val="center"/>
          </w:tcPr>
          <w:p>
            <w:pPr>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lang w:val="en-US" w:eastAsia="zh-CN"/>
              </w:rPr>
              <w:t>0.0001</w:t>
            </w:r>
          </w:p>
        </w:tc>
        <w:tc>
          <w:tcPr>
            <w:tcW w:w="1096" w:type="dxa"/>
            <w:shd w:val="clear" w:color="auto" w:fill="auto"/>
            <w:vAlign w:val="center"/>
          </w:tcPr>
          <w:p>
            <w:pPr>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lang w:val="en-US" w:eastAsia="zh-CN"/>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甲醛</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rPr>
            </w:pPr>
            <w:r>
              <w:rPr>
                <w:rFonts w:hint="eastAsia" w:cs="Times New Roman"/>
                <w:bCs/>
                <w:color w:val="000000"/>
                <w:sz w:val="24"/>
                <w:lang w:val="en-US" w:eastAsia="zh-CN"/>
              </w:rPr>
              <w:t>0.0002</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0.0002</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酚类</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rPr>
            </w:pPr>
            <w:r>
              <w:rPr>
                <w:rFonts w:hint="eastAsia" w:cs="Times New Roman"/>
                <w:bCs/>
                <w:color w:val="000000"/>
                <w:sz w:val="24"/>
                <w:lang w:val="en-US" w:eastAsia="zh-CN"/>
              </w:rPr>
              <w:t>0.0008</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0.0008</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二甲苯</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0.0465</w:t>
            </w:r>
          </w:p>
        </w:tc>
        <w:tc>
          <w:tcPr>
            <w:tcW w:w="1761" w:type="dxa"/>
            <w:vAlign w:val="center"/>
          </w:tcPr>
          <w:p>
            <w:pPr>
              <w:widowControl/>
              <w:jc w:val="center"/>
              <w:textAlignment w:val="center"/>
              <w:rPr>
                <w:rFonts w:hint="default" w:ascii="Times New Roman" w:hAnsi="Times New Roman" w:cs="Times New Roman"/>
                <w:color w:val="000000"/>
                <w:sz w:val="24"/>
              </w:rPr>
            </w:pPr>
          </w:p>
        </w:tc>
        <w:tc>
          <w:tcPr>
            <w:tcW w:w="168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0.0465</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+0.0465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苯系物</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rPr>
            </w:pPr>
            <w:r>
              <w:rPr>
                <w:rFonts w:hint="eastAsia" w:cs="Times New Roman"/>
                <w:bCs/>
                <w:color w:val="000000"/>
                <w:sz w:val="24"/>
                <w:lang w:val="en-US" w:eastAsia="zh-CN"/>
              </w:rPr>
              <w:t>0.0287</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0.0287</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+0.0287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1417" w:type="dxa"/>
            <w:gridSpan w:val="2"/>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二氧化硫</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bCs/>
                <w:color w:val="000000"/>
                <w:sz w:val="24"/>
                <w:lang w:val="en-US" w:eastAsia="zh-CN"/>
              </w:rPr>
              <w:t>0.016</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bCs/>
                <w:color w:val="000000"/>
                <w:sz w:val="24"/>
                <w:lang w:val="en-US" w:eastAsia="zh-CN"/>
              </w:rPr>
              <w:t>0.016</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color w:val="000000"/>
                <w:sz w:val="24"/>
                <w:szCs w:val="24"/>
              </w:rPr>
            </w:pPr>
          </w:p>
        </w:tc>
        <w:tc>
          <w:tcPr>
            <w:tcW w:w="794" w:type="dxa"/>
            <w:vMerge w:val="continue"/>
            <w:vAlign w:val="center"/>
          </w:tcPr>
          <w:p>
            <w:pPr>
              <w:jc w:val="center"/>
              <w:rPr>
                <w:rFonts w:hint="default" w:ascii="Times New Roman" w:hAnsi="Times New Roman" w:cs="Times New Roman"/>
                <w:color w:val="000000"/>
                <w:sz w:val="24"/>
              </w:rPr>
            </w:pPr>
          </w:p>
        </w:tc>
        <w:tc>
          <w:tcPr>
            <w:tcW w:w="1417" w:type="dxa"/>
            <w:gridSpan w:val="2"/>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氮氧化物</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bCs/>
                <w:color w:val="000000"/>
                <w:sz w:val="24"/>
                <w:lang w:val="en-US" w:eastAsia="zh-CN"/>
              </w:rPr>
              <w:t>0.0242</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bCs/>
                <w:color w:val="000000"/>
                <w:sz w:val="24"/>
                <w:lang w:val="en-US" w:eastAsia="zh-CN"/>
              </w:rPr>
              <w:t>0.0242</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0.0242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restart"/>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无组织</w:t>
            </w:r>
          </w:p>
        </w:tc>
        <w:tc>
          <w:tcPr>
            <w:tcW w:w="1417" w:type="dxa"/>
            <w:gridSpan w:val="2"/>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rPr>
              <w:t>颗粒物</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0.4182</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0.4182</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+0.4182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非甲烷总烃</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0.2266</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bCs/>
                <w:color w:val="000000"/>
                <w:sz w:val="24"/>
                <w:lang w:val="en-US" w:eastAsia="zh-CN"/>
              </w:rPr>
              <w:t>0.2266</w:t>
            </w:r>
          </w:p>
        </w:tc>
        <w:tc>
          <w:tcPr>
            <w:tcW w:w="1096" w:type="dxa"/>
            <w:vAlign w:val="center"/>
          </w:tcPr>
          <w:p>
            <w:pPr>
              <w:jc w:val="center"/>
              <w:rPr>
                <w:rFonts w:hint="default" w:ascii="Times New Roman" w:hAnsi="Times New Roman" w:cs="Times New Roman"/>
                <w:bCs/>
                <w:color w:val="000000"/>
                <w:sz w:val="24"/>
              </w:rPr>
            </w:pPr>
            <w:r>
              <w:rPr>
                <w:rFonts w:hint="eastAsia" w:cs="Times New Roman"/>
                <w:bCs/>
                <w:color w:val="000000"/>
                <w:sz w:val="24"/>
                <w:lang w:val="en-US" w:eastAsia="zh-CN"/>
              </w:rPr>
              <w:t>+0.2266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476" w:type="dxa"/>
            <w:vMerge w:val="restart"/>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其中</w:t>
            </w:r>
          </w:p>
        </w:tc>
        <w:tc>
          <w:tcPr>
            <w:tcW w:w="941" w:type="dxa"/>
            <w:vAlign w:val="center"/>
          </w:tcPr>
          <w:p>
            <w:pPr>
              <w:pStyle w:val="55"/>
              <w:spacing w:beforeLines="0" w:afterLines="0" w:line="320" w:lineRule="exact"/>
              <w:ind w:firstLine="0" w:firstLineChars="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rPr>
              <w:t>三乙胺</w:t>
            </w:r>
          </w:p>
        </w:tc>
        <w:tc>
          <w:tcPr>
            <w:tcW w:w="1701"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276"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701"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559" w:type="dxa"/>
            <w:shd w:val="clear" w:color="auto" w:fill="auto"/>
            <w:vAlign w:val="center"/>
          </w:tcPr>
          <w:p>
            <w:pPr>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lang w:val="en-US" w:eastAsia="zh-CN"/>
              </w:rPr>
              <w:t>0.0016</w:t>
            </w:r>
          </w:p>
        </w:tc>
        <w:tc>
          <w:tcPr>
            <w:tcW w:w="1761" w:type="dxa"/>
            <w:shd w:val="clear" w:color="auto" w:fill="auto"/>
            <w:vAlign w:val="center"/>
          </w:tcPr>
          <w:p>
            <w:pPr>
              <w:widowControl/>
              <w:jc w:val="center"/>
              <w:textAlignment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lang w:val="en-US" w:eastAsia="zh-CN"/>
              </w:rPr>
              <w:t>/</w:t>
            </w:r>
          </w:p>
        </w:tc>
        <w:tc>
          <w:tcPr>
            <w:tcW w:w="1689" w:type="dxa"/>
            <w:shd w:val="clear" w:color="auto" w:fill="auto"/>
            <w:vAlign w:val="center"/>
          </w:tcPr>
          <w:p>
            <w:pPr>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lang w:val="en-US" w:eastAsia="zh-CN"/>
              </w:rPr>
              <w:t>0.0016</w:t>
            </w:r>
          </w:p>
        </w:tc>
        <w:tc>
          <w:tcPr>
            <w:tcW w:w="1096" w:type="dxa"/>
            <w:shd w:val="clear" w:color="auto" w:fill="auto"/>
            <w:vAlign w:val="center"/>
          </w:tcPr>
          <w:p>
            <w:pPr>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lang w:val="en-US" w:eastAsia="zh-CN"/>
              </w:rPr>
              <w:t>+0.0016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甲醛</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0.0002</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0.0002</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酚类</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0.0009</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0.0009</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二甲苯</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0.0245</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0.0245</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794" w:type="dxa"/>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476" w:type="dxa"/>
            <w:vMerge w:val="continue"/>
            <w:vAlign w:val="center"/>
          </w:tcPr>
          <w:p>
            <w:pPr>
              <w:pStyle w:val="55"/>
              <w:spacing w:beforeLines="0" w:afterLines="0" w:line="320" w:lineRule="exact"/>
              <w:ind w:firstLine="0" w:firstLineChars="0"/>
              <w:rPr>
                <w:rFonts w:hint="default" w:ascii="Times New Roman" w:hAnsi="Times New Roman" w:cs="Times New Roman"/>
                <w:color w:val="000000"/>
                <w:sz w:val="24"/>
                <w:szCs w:val="24"/>
              </w:rPr>
            </w:pPr>
          </w:p>
        </w:tc>
        <w:tc>
          <w:tcPr>
            <w:tcW w:w="941" w:type="dxa"/>
            <w:vAlign w:val="center"/>
          </w:tcPr>
          <w:p>
            <w:pPr>
              <w:pStyle w:val="55"/>
              <w:spacing w:beforeLines="0" w:afterLines="0" w:line="320" w:lineRule="exact"/>
              <w:ind w:firstLine="0" w:firstLineChars="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苯系物</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0.05</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0.05</w:t>
            </w:r>
          </w:p>
        </w:tc>
        <w:tc>
          <w:tcPr>
            <w:tcW w:w="1096" w:type="dxa"/>
            <w:vAlign w:val="center"/>
          </w:tcPr>
          <w:p>
            <w:pPr>
              <w:jc w:val="center"/>
              <w:rPr>
                <w:rFonts w:hint="default" w:ascii="Times New Roman" w:hAnsi="Times New Roman" w:cs="Times New Roman"/>
                <w:color w:val="000000"/>
                <w:sz w:val="24"/>
              </w:rPr>
            </w:pPr>
            <w:r>
              <w:rPr>
                <w:rFonts w:hint="eastAsia" w:cs="Times New Roman"/>
                <w:bCs/>
                <w:color w:val="000000"/>
                <w:sz w:val="24"/>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r>
              <w:rPr>
                <w:rFonts w:hint="default" w:ascii="Times New Roman" w:hAnsi="Times New Roman" w:cs="Times New Roman"/>
                <w:b/>
                <w:bCs/>
                <w:snapToGrid w:val="0"/>
                <w:color w:val="000000"/>
                <w:kern w:val="21"/>
                <w:sz w:val="24"/>
                <w:szCs w:val="24"/>
              </w:rPr>
              <w:t>废水</w:t>
            </w:r>
          </w:p>
        </w:tc>
        <w:tc>
          <w:tcPr>
            <w:tcW w:w="1417" w:type="dxa"/>
            <w:gridSpan w:val="2"/>
            <w:vAlign w:val="center"/>
          </w:tcPr>
          <w:p>
            <w:pPr>
              <w:jc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废水量</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1560</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1560</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1560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jc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COD</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0.3182</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0.3182</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0.3182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jc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SS</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0.156</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0.156</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jc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NH</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-N</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0.0457</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0.0457</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0.0457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jc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TN</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0.0629</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0.0629</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0.0629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jc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TP</w:t>
            </w:r>
          </w:p>
        </w:tc>
        <w:tc>
          <w:tcPr>
            <w:tcW w:w="170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70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0.0053</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0.0053</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0.0053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snapToGrid w:val="0"/>
                <w:color w:val="000000"/>
                <w:kern w:val="21"/>
                <w:sz w:val="24"/>
                <w:szCs w:val="24"/>
              </w:rPr>
            </w:pPr>
          </w:p>
        </w:tc>
        <w:tc>
          <w:tcPr>
            <w:tcW w:w="1417" w:type="dxa"/>
            <w:gridSpan w:val="2"/>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动植物油</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0.0022</w:t>
            </w:r>
          </w:p>
        </w:tc>
        <w:tc>
          <w:tcPr>
            <w:tcW w:w="1761"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lang w:val="en-US" w:eastAsia="zh-CN"/>
              </w:rPr>
            </w:pPr>
            <w:r>
              <w:rPr>
                <w:rFonts w:hint="default" w:ascii="Times New Roman" w:hAnsi="Times New Roman" w:cs="Times New Roman"/>
                <w:bCs/>
                <w:color w:val="000000"/>
                <w:sz w:val="24"/>
                <w:lang w:val="en-US" w:eastAsia="zh-CN"/>
              </w:rPr>
              <w:t>0.0022</w:t>
            </w:r>
          </w:p>
        </w:tc>
        <w:tc>
          <w:tcPr>
            <w:tcW w:w="1096" w:type="dxa"/>
            <w:vAlign w:val="center"/>
          </w:tcPr>
          <w:p>
            <w:pPr>
              <w:jc w:val="center"/>
              <w:rPr>
                <w:rFonts w:hint="default" w:ascii="Times New Roman" w:hAnsi="Times New Roman" w:cs="Times New Roman"/>
                <w:bCs/>
                <w:color w:val="000000"/>
                <w:sz w:val="24"/>
                <w:lang w:val="en-US" w:eastAsia="zh-CN"/>
              </w:rPr>
            </w:pPr>
            <w:r>
              <w:rPr>
                <w:rFonts w:hint="eastAsia" w:cs="Times New Roman"/>
                <w:bCs/>
                <w:color w:val="000000"/>
                <w:sz w:val="24"/>
                <w:lang w:val="en-US" w:eastAsia="zh-CN"/>
              </w:rPr>
              <w:t>+</w:t>
            </w:r>
            <w:r>
              <w:rPr>
                <w:rFonts w:hint="default" w:ascii="Times New Roman" w:hAnsi="Times New Roman" w:cs="Times New Roman"/>
                <w:bCs/>
                <w:color w:val="000000"/>
                <w:sz w:val="24"/>
                <w:lang w:val="en-US" w:eastAsia="zh-CN"/>
              </w:rPr>
              <w:t>0.0022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r>
              <w:rPr>
                <w:rFonts w:hint="default" w:ascii="Times New Roman" w:hAnsi="Times New Roman" w:cs="Times New Roman"/>
                <w:b/>
                <w:bCs/>
                <w:snapToGrid w:val="0"/>
                <w:color w:val="000000"/>
                <w:kern w:val="21"/>
                <w:sz w:val="24"/>
                <w:szCs w:val="24"/>
              </w:rPr>
              <w:t>一般工业</w:t>
            </w:r>
          </w:p>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r>
              <w:rPr>
                <w:rFonts w:hint="default" w:ascii="Times New Roman" w:hAnsi="Times New Roman" w:cs="Times New Roman"/>
                <w:b/>
                <w:bCs/>
                <w:snapToGrid w:val="0"/>
                <w:color w:val="000000"/>
                <w:kern w:val="21"/>
                <w:sz w:val="24"/>
                <w:szCs w:val="24"/>
              </w:rPr>
              <w:t>固体废物</w:t>
            </w: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废边角料</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4.8</w:t>
            </w:r>
          </w:p>
        </w:tc>
        <w:tc>
          <w:tcPr>
            <w:tcW w:w="176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4.8</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废包装材料</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176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1</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焊渣</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0.065</w:t>
            </w:r>
          </w:p>
        </w:tc>
        <w:tc>
          <w:tcPr>
            <w:tcW w:w="176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0.065</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0.065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废钢丸</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1</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废塑粉</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0.024</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0.024</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集尘灰</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lang w:val="en-US"/>
              </w:rPr>
            </w:pPr>
            <w:r>
              <w:rPr>
                <w:rFonts w:hint="eastAsia" w:cs="Times New Roman"/>
                <w:color w:val="000000"/>
                <w:sz w:val="24"/>
                <w:lang w:val="en-US" w:eastAsia="zh-CN"/>
              </w:rPr>
              <w:t>3.6686</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3.6686</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+3.6686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废滤材</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0.21</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0.21</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废砂纸</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0.06</w:t>
            </w:r>
          </w:p>
        </w:tc>
        <w:tc>
          <w:tcPr>
            <w:tcW w:w="176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0.06</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r>
              <w:rPr>
                <w:rFonts w:hint="default" w:ascii="Times New Roman" w:hAnsi="Times New Roman" w:cs="Times New Roman"/>
                <w:b/>
                <w:bCs/>
                <w:snapToGrid w:val="0"/>
                <w:color w:val="000000"/>
                <w:kern w:val="21"/>
                <w:sz w:val="24"/>
                <w:szCs w:val="24"/>
              </w:rPr>
              <w:t>危险废物</w:t>
            </w: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废油泥</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2.2</w:t>
            </w:r>
          </w:p>
        </w:tc>
        <w:tc>
          <w:tcPr>
            <w:tcW w:w="1761" w:type="dxa"/>
            <w:vAlign w:val="center"/>
          </w:tcPr>
          <w:p>
            <w:pPr>
              <w:widowControl/>
              <w:jc w:val="center"/>
              <w:textAlignment w:val="center"/>
              <w:rPr>
                <w:rFonts w:hint="default" w:ascii="Times New Roman" w:hAnsi="Times New Roman" w:cs="Times New Roman"/>
                <w:snapToGrid w:val="0"/>
                <w:color w:val="000000"/>
                <w:kern w:val="21"/>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2.2</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漆渣</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0.7798</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0.7798</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+0.7798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废包装桶</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lang w:val="en-US"/>
              </w:rPr>
            </w:pPr>
            <w:r>
              <w:rPr>
                <w:rFonts w:hint="eastAsia" w:cs="Times New Roman"/>
                <w:color w:val="000000"/>
                <w:sz w:val="24"/>
                <w:lang w:val="en-US" w:eastAsia="zh-CN"/>
              </w:rPr>
              <w:t>1.384</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1.384</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+1.384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废油桶</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0.4</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lang w:val="en-US" w:eastAsia="zh-CN"/>
              </w:rPr>
              <w:t>0.4</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喷枪头清洗废液</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0.0</w:t>
            </w:r>
            <w:r>
              <w:rPr>
                <w:rFonts w:hint="default" w:ascii="Times New Roman" w:hAnsi="Times New Roman" w:cs="Times New Roman"/>
                <w:color w:val="000000"/>
                <w:sz w:val="24"/>
                <w:lang w:val="en-US" w:eastAsia="zh-CN"/>
              </w:rPr>
              <w:t>046</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0.0</w:t>
            </w:r>
            <w:r>
              <w:rPr>
                <w:rFonts w:hint="default" w:ascii="Times New Roman" w:hAnsi="Times New Roman" w:cs="Times New Roman"/>
                <w:color w:val="000000"/>
                <w:sz w:val="24"/>
                <w:lang w:val="en-US" w:eastAsia="zh-CN"/>
              </w:rPr>
              <w:t>046</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0.0</w:t>
            </w:r>
            <w:r>
              <w:rPr>
                <w:rFonts w:hint="default" w:ascii="Times New Roman" w:hAnsi="Times New Roman" w:cs="Times New Roman"/>
                <w:color w:val="000000"/>
                <w:sz w:val="24"/>
                <w:lang w:val="en-US" w:eastAsia="zh-CN"/>
              </w:rPr>
              <w:t>046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lang w:val="en-US" w:eastAsia="zh-CN"/>
              </w:rPr>
            </w:pPr>
            <w:r>
              <w:rPr>
                <w:rFonts w:hint="eastAsia" w:cs="Times New Roman"/>
                <w:color w:val="000000"/>
                <w:sz w:val="24"/>
                <w:lang w:val="en-US" w:eastAsia="zh-CN"/>
              </w:rPr>
              <w:t>废挂具</w:t>
            </w:r>
          </w:p>
        </w:tc>
        <w:tc>
          <w:tcPr>
            <w:tcW w:w="1701" w:type="dxa"/>
            <w:vAlign w:val="center"/>
          </w:tcPr>
          <w:p>
            <w:pPr>
              <w:jc w:val="center"/>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w:t>
            </w:r>
          </w:p>
        </w:tc>
        <w:tc>
          <w:tcPr>
            <w:tcW w:w="1276" w:type="dxa"/>
            <w:vAlign w:val="center"/>
          </w:tcPr>
          <w:p>
            <w:pPr>
              <w:jc w:val="center"/>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w:t>
            </w:r>
          </w:p>
        </w:tc>
        <w:tc>
          <w:tcPr>
            <w:tcW w:w="1701" w:type="dxa"/>
            <w:vAlign w:val="center"/>
          </w:tcPr>
          <w:p>
            <w:pPr>
              <w:jc w:val="center"/>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w:t>
            </w:r>
          </w:p>
        </w:tc>
        <w:tc>
          <w:tcPr>
            <w:tcW w:w="1559" w:type="dxa"/>
            <w:vAlign w:val="center"/>
          </w:tcPr>
          <w:p>
            <w:pPr>
              <w:jc w:val="center"/>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1</w:t>
            </w:r>
          </w:p>
        </w:tc>
        <w:tc>
          <w:tcPr>
            <w:tcW w:w="1761" w:type="dxa"/>
            <w:vAlign w:val="center"/>
          </w:tcPr>
          <w:p>
            <w:pPr>
              <w:widowControl/>
              <w:jc w:val="center"/>
              <w:textAlignment w:val="center"/>
              <w:rPr>
                <w:rFonts w:hint="default" w:ascii="Times New Roman" w:hAnsi="Times New Roman" w:cs="Times New Roman"/>
                <w:color w:val="000000"/>
                <w:sz w:val="24"/>
                <w:lang w:val="en-US" w:eastAsia="zh-CN"/>
              </w:rPr>
            </w:pPr>
            <w:r>
              <w:rPr>
                <w:rFonts w:hint="eastAsia" w:cs="Times New Roman"/>
                <w:color w:val="000000"/>
                <w:sz w:val="24"/>
                <w:lang w:val="en-US" w:eastAsia="zh-CN"/>
              </w:rPr>
              <w:t>/</w:t>
            </w:r>
          </w:p>
        </w:tc>
        <w:tc>
          <w:tcPr>
            <w:tcW w:w="1689" w:type="dxa"/>
            <w:vAlign w:val="center"/>
          </w:tcPr>
          <w:p>
            <w:pPr>
              <w:jc w:val="center"/>
              <w:rPr>
                <w:rFonts w:hint="default" w:ascii="Times New Roman" w:hAnsi="Times New Roman" w:cs="Times New Roman"/>
                <w:color w:val="000000"/>
                <w:sz w:val="24"/>
              </w:rPr>
            </w:pPr>
            <w:r>
              <w:rPr>
                <w:rFonts w:hint="eastAsia" w:cs="Times New Roman"/>
                <w:color w:val="000000"/>
                <w:sz w:val="24"/>
                <w:lang w:val="en-US" w:eastAsia="zh-CN"/>
              </w:rPr>
              <w:t>1</w:t>
            </w:r>
          </w:p>
        </w:tc>
        <w:tc>
          <w:tcPr>
            <w:tcW w:w="1096" w:type="dxa"/>
            <w:vAlign w:val="center"/>
          </w:tcPr>
          <w:p>
            <w:pPr>
              <w:jc w:val="center"/>
              <w:rPr>
                <w:rFonts w:hint="default" w:ascii="Times New Roman" w:hAnsi="Times New Roman" w:cs="Times New Roman"/>
                <w:color w:val="000000"/>
                <w:sz w:val="24"/>
                <w:lang w:val="en-US" w:eastAsia="zh-CN"/>
              </w:rPr>
            </w:pPr>
            <w:r>
              <w:rPr>
                <w:rFonts w:hint="eastAsia" w:cs="Times New Roman"/>
                <w:color w:val="000000"/>
                <w:sz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废过滤材料</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0.3992</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0.3992</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+0.3992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废活性炭</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lang w:val="en-US"/>
              </w:rPr>
            </w:pPr>
            <w:r>
              <w:rPr>
                <w:rFonts w:hint="eastAsia" w:cs="Times New Roman"/>
                <w:color w:val="000000"/>
                <w:sz w:val="24"/>
                <w:lang w:val="en-US" w:eastAsia="zh-CN"/>
              </w:rPr>
              <w:t>51.759</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51.759</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+51.759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空压机含油废水</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1.578</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1.578</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1.578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eastAsia="zh-CN"/>
              </w:rPr>
              <w:t>废劳保用品</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0.1</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0.1</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磷酸</w:t>
            </w:r>
            <w:r>
              <w:rPr>
                <w:rFonts w:hint="default" w:ascii="Times New Roman" w:hAnsi="Times New Roman" w:cs="Times New Roman"/>
                <w:color w:val="000000"/>
                <w:sz w:val="24"/>
                <w:lang w:eastAsia="zh-CN"/>
              </w:rPr>
              <w:t>喷淋废液</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276"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701"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55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41.28</w:t>
            </w:r>
          </w:p>
        </w:tc>
        <w:tc>
          <w:tcPr>
            <w:tcW w:w="1761" w:type="dxa"/>
            <w:vAlign w:val="center"/>
          </w:tcPr>
          <w:p>
            <w:pPr>
              <w:widowControl/>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sz w:val="24"/>
              </w:rPr>
              <w:t>/</w:t>
            </w:r>
          </w:p>
        </w:tc>
        <w:tc>
          <w:tcPr>
            <w:tcW w:w="1689" w:type="dxa"/>
            <w:vAlign w:val="center"/>
          </w:tcPr>
          <w:p>
            <w:pPr>
              <w:jc w:val="center"/>
              <w:rPr>
                <w:rFonts w:hint="default" w:ascii="Times New Roman" w:hAnsi="Times New Roman" w:cs="Times New Roman"/>
                <w:bCs/>
                <w:color w:val="000000"/>
                <w:sz w:val="24"/>
              </w:rPr>
            </w:pPr>
            <w:r>
              <w:rPr>
                <w:rFonts w:hint="default" w:ascii="Times New Roman" w:hAnsi="Times New Roman" w:cs="Times New Roman"/>
                <w:color w:val="000000"/>
                <w:sz w:val="24"/>
              </w:rPr>
              <w:t>41.28</w:t>
            </w:r>
          </w:p>
        </w:tc>
        <w:tc>
          <w:tcPr>
            <w:tcW w:w="1096" w:type="dxa"/>
            <w:vAlign w:val="center"/>
          </w:tcPr>
          <w:p>
            <w:pPr>
              <w:jc w:val="center"/>
              <w:rPr>
                <w:rFonts w:hint="default" w:ascii="Times New Roman" w:hAnsi="Times New Roman" w:cs="Times New Roman"/>
                <w:bCs/>
                <w:color w:val="000000"/>
                <w:sz w:val="24"/>
              </w:rPr>
            </w:pPr>
            <w:r>
              <w:rPr>
                <w:rFonts w:hint="eastAsia" w:cs="Times New Roman"/>
                <w:color w:val="000000"/>
                <w:sz w:val="24"/>
                <w:lang w:val="en-US" w:eastAsia="zh-CN"/>
              </w:rPr>
              <w:t>+</w:t>
            </w:r>
            <w:r>
              <w:rPr>
                <w:rFonts w:hint="default" w:ascii="Times New Roman" w:hAnsi="Times New Roman" w:cs="Times New Roman"/>
                <w:color w:val="000000"/>
                <w:sz w:val="24"/>
              </w:rPr>
              <w:t>41.28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55"/>
              <w:spacing w:beforeLines="0" w:afterLines="0" w:line="240" w:lineRule="auto"/>
              <w:ind w:firstLine="0" w:firstLineChars="0"/>
              <w:rPr>
                <w:rFonts w:hint="default" w:ascii="Times New Roman" w:hAnsi="Times New Roman" w:eastAsia="宋体" w:cs="Times New Roman"/>
                <w:b/>
                <w:bCs/>
                <w:snapToGrid w:val="0"/>
                <w:color w:val="000000"/>
                <w:kern w:val="21"/>
                <w:sz w:val="24"/>
                <w:szCs w:val="24"/>
                <w:lang w:val="en-US" w:eastAsia="zh-CN"/>
              </w:rPr>
            </w:pPr>
            <w:r>
              <w:rPr>
                <w:rFonts w:hint="default" w:ascii="Times New Roman" w:hAnsi="Times New Roman" w:cs="Times New Roman"/>
                <w:b/>
                <w:bCs/>
                <w:snapToGrid w:val="0"/>
                <w:color w:val="000000"/>
                <w:kern w:val="21"/>
                <w:sz w:val="24"/>
                <w:szCs w:val="24"/>
                <w:lang w:val="en-US" w:eastAsia="zh-CN"/>
              </w:rPr>
              <w:t>生活垃圾</w:t>
            </w:r>
          </w:p>
        </w:tc>
        <w:tc>
          <w:tcPr>
            <w:tcW w:w="1417" w:type="dxa"/>
            <w:gridSpan w:val="2"/>
            <w:vAlign w:val="center"/>
          </w:tcPr>
          <w:p>
            <w:pPr>
              <w:jc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生活垃圾</w:t>
            </w:r>
          </w:p>
        </w:tc>
        <w:tc>
          <w:tcPr>
            <w:tcW w:w="1701"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30</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30</w:t>
            </w:r>
          </w:p>
        </w:tc>
        <w:tc>
          <w:tcPr>
            <w:tcW w:w="1096" w:type="dxa"/>
            <w:vAlign w:val="center"/>
          </w:tcPr>
          <w:p>
            <w:pPr>
              <w:jc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废油脂</w:t>
            </w:r>
          </w:p>
        </w:tc>
        <w:tc>
          <w:tcPr>
            <w:tcW w:w="1701"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0.0086</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0.0086</w:t>
            </w:r>
          </w:p>
        </w:tc>
        <w:tc>
          <w:tcPr>
            <w:tcW w:w="1096" w:type="dxa"/>
            <w:vAlign w:val="center"/>
          </w:tcPr>
          <w:p>
            <w:pPr>
              <w:jc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+0.0086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55"/>
              <w:spacing w:beforeLines="0" w:afterLines="0" w:line="240" w:lineRule="auto"/>
              <w:ind w:firstLine="0" w:firstLineChars="0"/>
              <w:rPr>
                <w:rFonts w:hint="default" w:ascii="Times New Roman" w:hAnsi="Times New Roman" w:cs="Times New Roman"/>
                <w:b/>
                <w:bCs/>
                <w:snapToGrid w:val="0"/>
                <w:color w:val="000000"/>
                <w:kern w:val="21"/>
                <w:sz w:val="24"/>
                <w:szCs w:val="24"/>
              </w:rPr>
            </w:pPr>
          </w:p>
        </w:tc>
        <w:tc>
          <w:tcPr>
            <w:tcW w:w="1417" w:type="dxa"/>
            <w:gridSpan w:val="2"/>
            <w:vAlign w:val="center"/>
          </w:tcPr>
          <w:p>
            <w:pPr>
              <w:jc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化粪池污泥</w:t>
            </w:r>
          </w:p>
        </w:tc>
        <w:tc>
          <w:tcPr>
            <w:tcW w:w="1701"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276"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701"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559" w:type="dxa"/>
            <w:vAlign w:val="center"/>
          </w:tcPr>
          <w:p>
            <w:pPr>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6</w:t>
            </w:r>
          </w:p>
        </w:tc>
        <w:tc>
          <w:tcPr>
            <w:tcW w:w="1761" w:type="dxa"/>
            <w:vAlign w:val="center"/>
          </w:tcPr>
          <w:p>
            <w:pPr>
              <w:widowControl/>
              <w:jc w:val="center"/>
              <w:textAlignment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w:t>
            </w:r>
          </w:p>
        </w:tc>
        <w:tc>
          <w:tcPr>
            <w:tcW w:w="1689" w:type="dxa"/>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6</w:t>
            </w:r>
          </w:p>
        </w:tc>
        <w:tc>
          <w:tcPr>
            <w:tcW w:w="1096" w:type="dxa"/>
            <w:vAlign w:val="center"/>
          </w:tcPr>
          <w:p>
            <w:pPr>
              <w:jc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+6</w:t>
            </w:r>
          </w:p>
        </w:tc>
      </w:tr>
    </w:tbl>
    <w:p>
      <w:pPr>
        <w:pStyle w:val="55"/>
        <w:spacing w:before="192" w:beforeLines="80" w:after="24"/>
        <w:ind w:firstLine="420"/>
        <w:jc w:val="left"/>
        <w:rPr>
          <w:rFonts w:hint="default" w:ascii="Times New Roman" w:hAnsi="Times New Roman" w:eastAsia="黑体" w:cs="Times New Roman"/>
          <w:color w:val="000000"/>
        </w:r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color w:val="000000"/>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color w:val="000000"/>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color w:val="000000"/>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①</w:t>
      </w:r>
      <w:r>
        <w:rPr>
          <w:rFonts w:hint="default" w:ascii="Times New Roman" w:hAnsi="Times New Roman" w:cs="Times New Roman"/>
          <w:snapToGrid w:val="0"/>
          <w:color w:val="000000"/>
          <w:spacing w:val="-6"/>
          <w:kern w:val="21"/>
          <w:szCs w:val="21"/>
        </w:rPr>
        <w:fldChar w:fldCharType="end"/>
      </w:r>
    </w:p>
    <w:p>
      <w:pPr>
        <w:rPr>
          <w:rFonts w:hint="default" w:ascii="Times New Roman" w:hAnsi="Times New Roman" w:cs="Times New Roman"/>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auto"/>
    <w:pitch w:val="default"/>
    <w:sig w:usb0="00000000" w:usb1="00000000"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decorative"/>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宋体-18030">
    <w:altName w:val="微软雅黑"/>
    <w:panose1 w:val="00000000000000000000"/>
    <w:charset w:val="86"/>
    <w:family w:val="modern"/>
    <w:pitch w:val="default"/>
    <w:sig w:usb0="00000000" w:usb1="00000000" w:usb2="000A005E" w:usb3="00000000" w:csb0="00040001" w:csb1="00000000"/>
  </w:font>
  <w:font w:name="Arial Black">
    <w:altName w:val="DejaVu Sans"/>
    <w:panose1 w:val="020B0A04020102020204"/>
    <w:charset w:val="00"/>
    <w:family w:val="swiss"/>
    <w:pitch w:val="default"/>
    <w:sig w:usb0="00000000" w:usb1="00000000" w:usb2="00000000" w:usb3="00000000" w:csb0="6000009F" w:csb1="DFD70000"/>
  </w:font>
  <w:font w:name="..ì.">
    <w:altName w:val="黑体"/>
    <w:panose1 w:val="00000000000000000000"/>
    <w:charset w:val="86"/>
    <w:family w:val="modern"/>
    <w:pitch w:val="default"/>
    <w:sig w:usb0="00000000" w:usb1="00000000" w:usb2="00000010" w:usb3="00000000" w:csb0="00040000" w:csb1="00000000"/>
  </w:font>
  <w:font w:name="Arial Unicode MS">
    <w:altName w:val="DejaVu Sans"/>
    <w:panose1 w:val="020B0604020202020204"/>
    <w:charset w:val="86"/>
    <w:family w:val="swiss"/>
    <w:pitch w:val="default"/>
    <w:sig w:usb0="00000000" w:usb1="00000000" w:usb2="0000007F" w:usb3="00000000" w:csb0="203F01FF" w:csb1="DFFF0000"/>
  </w:font>
  <w:font w:name="仿宋">
    <w:altName w:val="微软雅黑"/>
    <w:panose1 w:val="02010609060101010101"/>
    <w:charset w:val="86"/>
    <w:family w:val="modern"/>
    <w:pitch w:val="default"/>
    <w:sig w:usb0="00000000" w:usb1="00000000" w:usb2="00000016" w:usb3="00000000" w:csb0="00040001" w:csb1="00000000"/>
  </w:font>
  <w:font w:name="方正小标宋_GBK">
    <w:panose1 w:val="03000502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altName w:val="MathJax_Vector"/>
    <w:panose1 w:val="05020102010507070707"/>
    <w:charset w:val="02"/>
    <w:family w:val="roman"/>
    <w:pitch w:val="default"/>
    <w:sig w:usb0="00000000" w:usb1="00000000" w:usb2="00000000" w:usb3="00000000" w:csb0="80000000" w:csb1="00000000"/>
  </w:font>
  <w:font w:name="MathJax_Vector">
    <w:panose1 w:val="02000603000000000000"/>
    <w:charset w:val="00"/>
    <w:family w:val="auto"/>
    <w:pitch w:val="default"/>
    <w:sig w:usb0="00000001" w:usb1="00000020" w:usb2="00000000" w:usb3="00000000" w:csb0="00000001" w:csb1="00000000"/>
  </w:font>
  <w:font w:name="CIDFont">
    <w:altName w:val="微软雅黑"/>
    <w:panose1 w:val="00000000000000000000"/>
    <w:charset w:val="00"/>
    <w:family w:val="auto"/>
    <w:pitch w:val="default"/>
    <w:sig w:usb0="00000000" w:usb1="00000000" w:usb2="00000000"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方正仿宋_GBK">
    <w:panose1 w:val="02000000000000000000"/>
    <w:charset w:val="86"/>
    <w:family w:val="auto"/>
    <w:pitch w:val="default"/>
    <w:sig w:usb0="00000001" w:usb1="08000000" w:usb2="00000000" w:usb3="00000000" w:csb0="00040000" w:csb1="00000000"/>
  </w:font>
  <w:font w:name="Noto Sans CJK HK">
    <w:panose1 w:val="020B0500000000000000"/>
    <w:charset w:val="88"/>
    <w:family w:val="auto"/>
    <w:pitch w:val="default"/>
    <w:sig w:usb0="30000083" w:usb1="2BDF3C10" w:usb2="00000016" w:usb3="00000000" w:csb0="603A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lSD0MgIAAGEEAAAOAAAAZHJz&#10;L2Uyb0RvYy54bWytVM2O0zAQviPxDpbvNGkRq27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KVIPQyAgAAYQQAAA4AAAAAAAAAAQAgAAAA&#10;NQEAAGRycy9lMm9Eb2MueG1sUEsFBgAAAAAGAAYAWQEAANkFAAAAAA==&#10;">
              <v:fill on="f" focussize="0,0"/>
              <v:stroke on="f" weight="0.5pt"/>
              <v:imagedata o:title=""/>
              <o:lock v:ext="edit" aspectratio="f"/>
              <v:textbox inset="0mm,0mm,0mm,0mm" style="mso-fit-shape-to-text:t;">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qK+V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IkMUyj4pfv3y4/fl1+fiU4g0C1C3PE7RwiY/PWNggezgMOE++m9Dp9wYjAD6zz&#10;VV7RRMLTpdl0NhvDxeEbNsDPHq87H+I7YTVJRk496tfKyk7bELvQISRlM3YjlWprqAypc3rz+s24&#10;vXD1AFwZ5EgkuscmKzb7pme2t8UZxLzteiM4vpFIvmUhPjCPZsCDMS7xHkupLJLY3qKksv7Lv85T&#10;PGoELyU1miunBrNEiXpvUDsAxsHwg7EfDHPUdxbdOsEYOt6auOCjGszSW/0ZM7RKOeBihiNTTuNg&#10;3sWuwTGDXKxWbdDReXmougvoPMfi1uwcT2mSkMGtjhFithongTpVet3Qe22V+jlJzf3nvo16/Dc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qaivlTECAABjBAAADgAAAAAAAAABACAAAAA1&#10;AQAAZHJzL2Uyb0RvYy54bWxQSwUGAAAAAAYABgBZAQAA2AUAAAAA&#10;">
              <v:fill on="f" focussize="0,0"/>
              <v:stroke on="f" weight="0.5pt"/>
              <v:imagedata o:title=""/>
              <o:lock v:ext="edit" aspectratio="f"/>
              <v:textbox inset="0mm,0mm,0mm,0mm" style="mso-fit-shape-to-text:t;">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vGR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MKUEsM0Kn75/u3y49fl51eCMwhUuzBH3M4hMjZvbYPg4TzgMPFuSq/TF4wI/JD3&#10;fJVXNJHwdGk2nc3GcHH4hg3ws8frzof4TlhNkpFTj/q1srLTNsQudAhJ2YzdSKXaGipD6pzevH4z&#10;bi9cPQBXBjkSie6xyYrNvumZ7W1xBjFvu94Ijm8kkm9ZiA/MoxnwYIxLvMdSKosktrcoqaz/8q/z&#10;FI8awUtJjebKqcEsUaLeG9QOgHEw/GDsB8Mc9Z1Ft04who63Ji74qAaz9FZ/xgytUg64mOHIlNM4&#10;mHexa3DMIBerVRt0dF4equ4COs+xuDU7x1OaJGRwq2OEmK3GSaBOlV439F5bpX5OUnP/uW+jHv8N&#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bP7xkTECAABjBAAADgAAAAAAAAABACAAAAA1&#10;AQAAZHJzL2Uyb0RvYy54bWxQSwUGAAAAAAYABgBZAQAA2AUAAAAA&#10;">
              <v:fill on="f" focussize="0,0"/>
              <v:stroke on="f" weight="0.5pt"/>
              <v:imagedata o:title=""/>
              <o:lock v:ext="edit" aspectratio="f"/>
              <v:textbox inset="0mm,0mm,0mm,0mm" style="mso-fit-shape-to-text:t;">
                <w:txbxContent>
                  <w:p>
                    <w:pPr>
                      <w:pStyle w:val="17"/>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3F978"/>
    <w:multiLevelType w:val="singleLevel"/>
    <w:tmpl w:val="8C73F978"/>
    <w:lvl w:ilvl="0" w:tentative="0">
      <w:start w:val="2"/>
      <w:numFmt w:val="decimal"/>
      <w:suff w:val="nothing"/>
      <w:lvlText w:val="（%1）"/>
      <w:lvlJc w:val="left"/>
    </w:lvl>
  </w:abstractNum>
  <w:abstractNum w:abstractNumId="1">
    <w:nsid w:val="D90D94F9"/>
    <w:multiLevelType w:val="singleLevel"/>
    <w:tmpl w:val="D90D94F9"/>
    <w:lvl w:ilvl="0" w:tentative="0">
      <w:start w:val="2"/>
      <w:numFmt w:val="upperLetter"/>
      <w:suff w:val="nothing"/>
      <w:lvlText w:val="%1-"/>
      <w:lvlJc w:val="left"/>
    </w:lvl>
  </w:abstractNum>
  <w:abstractNum w:abstractNumId="2">
    <w:nsid w:val="DEE383B0"/>
    <w:multiLevelType w:val="singleLevel"/>
    <w:tmpl w:val="DEE383B0"/>
    <w:lvl w:ilvl="0" w:tentative="0">
      <w:start w:val="1"/>
      <w:numFmt w:val="decimal"/>
      <w:suff w:val="nothing"/>
      <w:lvlText w:val="%1、"/>
      <w:lvlJc w:val="left"/>
    </w:lvl>
  </w:abstractNum>
  <w:abstractNum w:abstractNumId="3">
    <w:nsid w:val="DEF19F24"/>
    <w:multiLevelType w:val="singleLevel"/>
    <w:tmpl w:val="DEF19F24"/>
    <w:lvl w:ilvl="0" w:tentative="0">
      <w:start w:val="1"/>
      <w:numFmt w:val="decimal"/>
      <w:suff w:val="nothing"/>
      <w:lvlText w:val="%1、"/>
      <w:lvlJc w:val="left"/>
    </w:lvl>
  </w:abstractNum>
  <w:abstractNum w:abstractNumId="4">
    <w:nsid w:val="F32BB238"/>
    <w:multiLevelType w:val="singleLevel"/>
    <w:tmpl w:val="F32BB238"/>
    <w:lvl w:ilvl="0" w:tentative="0">
      <w:start w:val="1"/>
      <w:numFmt w:val="decimal"/>
      <w:suff w:val="nothing"/>
      <w:lvlText w:val="%1、"/>
      <w:lvlJc w:val="left"/>
    </w:lvl>
  </w:abstractNum>
  <w:abstractNum w:abstractNumId="5">
    <w:nsid w:val="FB534C7D"/>
    <w:multiLevelType w:val="singleLevel"/>
    <w:tmpl w:val="FB534C7D"/>
    <w:lvl w:ilvl="0" w:tentative="0">
      <w:start w:val="4"/>
      <w:numFmt w:val="decimal"/>
      <w:suff w:val="nothing"/>
      <w:lvlText w:val="%1、"/>
      <w:lvlJc w:val="left"/>
    </w:lvl>
  </w:abstractNum>
  <w:abstractNum w:abstractNumId="6">
    <w:nsid w:val="1888A6C7"/>
    <w:multiLevelType w:val="singleLevel"/>
    <w:tmpl w:val="1888A6C7"/>
    <w:lvl w:ilvl="0" w:tentative="0">
      <w:start w:val="2"/>
      <w:numFmt w:val="decimal"/>
      <w:suff w:val="nothing"/>
      <w:lvlText w:val="（%1）"/>
      <w:lvlJc w:val="left"/>
    </w:lvl>
  </w:abstractNum>
  <w:abstractNum w:abstractNumId="7">
    <w:nsid w:val="1B00F429"/>
    <w:multiLevelType w:val="singleLevel"/>
    <w:tmpl w:val="1B00F429"/>
    <w:lvl w:ilvl="0" w:tentative="0">
      <w:start w:val="2"/>
      <w:numFmt w:val="decimal"/>
      <w:suff w:val="nothing"/>
      <w:lvlText w:val="%1）"/>
      <w:lvlJc w:val="left"/>
    </w:lvl>
  </w:abstractNum>
  <w:abstractNum w:abstractNumId="8">
    <w:nsid w:val="231AB0EE"/>
    <w:multiLevelType w:val="singleLevel"/>
    <w:tmpl w:val="231AB0EE"/>
    <w:lvl w:ilvl="0" w:tentative="0">
      <w:start w:val="1"/>
      <w:numFmt w:val="decimal"/>
      <w:suff w:val="nothing"/>
      <w:lvlText w:val="%1、"/>
      <w:lvlJc w:val="left"/>
    </w:lvl>
  </w:abstractNum>
  <w:abstractNum w:abstractNumId="9">
    <w:nsid w:val="28DF2290"/>
    <w:multiLevelType w:val="singleLevel"/>
    <w:tmpl w:val="28DF2290"/>
    <w:lvl w:ilvl="0" w:tentative="0">
      <w:start w:val="1"/>
      <w:numFmt w:val="decimal"/>
      <w:suff w:val="nothing"/>
      <w:lvlText w:val="%1、"/>
      <w:lvlJc w:val="left"/>
    </w:lvl>
  </w:abstractNum>
  <w:abstractNum w:abstractNumId="10">
    <w:nsid w:val="3382BAA2"/>
    <w:multiLevelType w:val="singleLevel"/>
    <w:tmpl w:val="3382BAA2"/>
    <w:lvl w:ilvl="0" w:tentative="0">
      <w:start w:val="3"/>
      <w:numFmt w:val="upperLetter"/>
      <w:suff w:val="nothing"/>
      <w:lvlText w:val="%1-"/>
      <w:lvlJc w:val="left"/>
    </w:lvl>
  </w:abstractNum>
  <w:abstractNum w:abstractNumId="11">
    <w:nsid w:val="46DC4A49"/>
    <w:multiLevelType w:val="singleLevel"/>
    <w:tmpl w:val="46DC4A49"/>
    <w:lvl w:ilvl="0" w:tentative="0">
      <w:start w:val="1"/>
      <w:numFmt w:val="decimal"/>
      <w:suff w:val="nothing"/>
      <w:lvlText w:val="%1、"/>
      <w:lvlJc w:val="left"/>
    </w:lvl>
  </w:abstractNum>
  <w:abstractNum w:abstractNumId="12">
    <w:nsid w:val="5AD18E8C"/>
    <w:multiLevelType w:val="singleLevel"/>
    <w:tmpl w:val="5AD18E8C"/>
    <w:lvl w:ilvl="0" w:tentative="0">
      <w:start w:val="1"/>
      <w:numFmt w:val="decimal"/>
      <w:suff w:val="nothing"/>
      <w:lvlText w:val="%1、"/>
      <w:lvlJc w:val="left"/>
    </w:lvl>
  </w:abstractNum>
  <w:abstractNum w:abstractNumId="13">
    <w:nsid w:val="5CF5F527"/>
    <w:multiLevelType w:val="singleLevel"/>
    <w:tmpl w:val="5CF5F527"/>
    <w:lvl w:ilvl="0" w:tentative="0">
      <w:start w:val="1"/>
      <w:numFmt w:val="decimal"/>
      <w:suff w:val="nothing"/>
      <w:lvlText w:val="%1、"/>
      <w:lvlJc w:val="left"/>
    </w:lvl>
  </w:abstractNum>
  <w:abstractNum w:abstractNumId="14">
    <w:nsid w:val="5EC66158"/>
    <w:multiLevelType w:val="singleLevel"/>
    <w:tmpl w:val="5EC66158"/>
    <w:lvl w:ilvl="0" w:tentative="0">
      <w:start w:val="2"/>
      <w:numFmt w:val="decimal"/>
      <w:suff w:val="nothing"/>
      <w:lvlText w:val="%1、"/>
      <w:lvlJc w:val="left"/>
    </w:lvl>
  </w:abstractNum>
  <w:abstractNum w:abstractNumId="15">
    <w:nsid w:val="665B81A4"/>
    <w:multiLevelType w:val="singleLevel"/>
    <w:tmpl w:val="665B81A4"/>
    <w:lvl w:ilvl="0" w:tentative="0">
      <w:start w:val="2"/>
      <w:numFmt w:val="decimal"/>
      <w:suff w:val="nothing"/>
      <w:lvlText w:val="（%1）"/>
      <w:lvlJc w:val="left"/>
    </w:lvl>
  </w:abstractNum>
  <w:abstractNum w:abstractNumId="16">
    <w:nsid w:val="6AC4F27C"/>
    <w:multiLevelType w:val="singleLevel"/>
    <w:tmpl w:val="6AC4F27C"/>
    <w:lvl w:ilvl="0" w:tentative="0">
      <w:start w:val="17"/>
      <w:numFmt w:val="upperLetter"/>
      <w:suff w:val="nothing"/>
      <w:lvlText w:val="%1-"/>
      <w:lvlJc w:val="left"/>
    </w:lvl>
  </w:abstractNum>
  <w:abstractNum w:abstractNumId="17">
    <w:nsid w:val="6B2A4D91"/>
    <w:multiLevelType w:val="singleLevel"/>
    <w:tmpl w:val="6B2A4D91"/>
    <w:lvl w:ilvl="0" w:tentative="0">
      <w:start w:val="1"/>
      <w:numFmt w:val="decimal"/>
      <w:suff w:val="nothing"/>
      <w:lvlText w:val="%1、"/>
      <w:lvlJc w:val="left"/>
    </w:lvl>
  </w:abstractNum>
  <w:abstractNum w:abstractNumId="18">
    <w:nsid w:val="6FD2A0D6"/>
    <w:multiLevelType w:val="singleLevel"/>
    <w:tmpl w:val="6FD2A0D6"/>
    <w:lvl w:ilvl="0" w:tentative="0">
      <w:start w:val="1"/>
      <w:numFmt w:val="decimal"/>
      <w:suff w:val="nothing"/>
      <w:lvlText w:val="%1、"/>
      <w:lvlJc w:val="left"/>
    </w:lvl>
  </w:abstractNum>
  <w:abstractNum w:abstractNumId="19">
    <w:nsid w:val="748C659E"/>
    <w:multiLevelType w:val="singleLevel"/>
    <w:tmpl w:val="748C659E"/>
    <w:lvl w:ilvl="0" w:tentative="0">
      <w:start w:val="1"/>
      <w:numFmt w:val="decimal"/>
      <w:suff w:val="nothing"/>
      <w:lvlText w:val="%1、"/>
      <w:lvlJc w:val="left"/>
    </w:lvl>
  </w:abstractNum>
  <w:num w:numId="1">
    <w:abstractNumId w:val="14"/>
  </w:num>
  <w:num w:numId="2">
    <w:abstractNumId w:val="2"/>
  </w:num>
  <w:num w:numId="3">
    <w:abstractNumId w:val="19"/>
  </w:num>
  <w:num w:numId="4">
    <w:abstractNumId w:val="11"/>
  </w:num>
  <w:num w:numId="5">
    <w:abstractNumId w:val="13"/>
  </w:num>
  <w:num w:numId="6">
    <w:abstractNumId w:val="8"/>
  </w:num>
  <w:num w:numId="7">
    <w:abstractNumId w:val="18"/>
  </w:num>
  <w:num w:numId="8">
    <w:abstractNumId w:val="4"/>
  </w:num>
  <w:num w:numId="9">
    <w:abstractNumId w:val="3"/>
  </w:num>
  <w:num w:numId="10">
    <w:abstractNumId w:val="17"/>
  </w:num>
  <w:num w:numId="11">
    <w:abstractNumId w:val="12"/>
  </w:num>
  <w:num w:numId="12">
    <w:abstractNumId w:val="9"/>
  </w:num>
  <w:num w:numId="13">
    <w:abstractNumId w:val="1"/>
  </w:num>
  <w:num w:numId="14">
    <w:abstractNumId w:val="15"/>
  </w:num>
  <w:num w:numId="15">
    <w:abstractNumId w:val="16"/>
  </w:num>
  <w:num w:numId="16">
    <w:abstractNumId w:val="10"/>
  </w:num>
  <w:num w:numId="17">
    <w:abstractNumId w:val="7"/>
  </w:num>
  <w:num w:numId="18">
    <w:abstractNumId w:val="6"/>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kYjc0NzkxZDdlYzJkMmViMDdjYmVjYTFiM2IwM2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3019"/>
    <w:rsid w:val="000C767F"/>
    <w:rsid w:val="000D293D"/>
    <w:rsid w:val="000D5A44"/>
    <w:rsid w:val="000E3ED2"/>
    <w:rsid w:val="000F192C"/>
    <w:rsid w:val="00131F42"/>
    <w:rsid w:val="001357F1"/>
    <w:rsid w:val="00140FA8"/>
    <w:rsid w:val="00142FEB"/>
    <w:rsid w:val="00143A2D"/>
    <w:rsid w:val="00145A41"/>
    <w:rsid w:val="00145CC0"/>
    <w:rsid w:val="00151675"/>
    <w:rsid w:val="00157435"/>
    <w:rsid w:val="00172A27"/>
    <w:rsid w:val="0017504D"/>
    <w:rsid w:val="0017671A"/>
    <w:rsid w:val="00177422"/>
    <w:rsid w:val="00184590"/>
    <w:rsid w:val="001870D1"/>
    <w:rsid w:val="0018781E"/>
    <w:rsid w:val="0019262D"/>
    <w:rsid w:val="00197499"/>
    <w:rsid w:val="001A1B35"/>
    <w:rsid w:val="001A48A2"/>
    <w:rsid w:val="001A6F61"/>
    <w:rsid w:val="001B72B8"/>
    <w:rsid w:val="001C69B3"/>
    <w:rsid w:val="001D5595"/>
    <w:rsid w:val="001D7874"/>
    <w:rsid w:val="001D7F22"/>
    <w:rsid w:val="001F0F17"/>
    <w:rsid w:val="001F3347"/>
    <w:rsid w:val="001F5302"/>
    <w:rsid w:val="001F69E4"/>
    <w:rsid w:val="002125B4"/>
    <w:rsid w:val="002155B8"/>
    <w:rsid w:val="00224839"/>
    <w:rsid w:val="002249B2"/>
    <w:rsid w:val="00226574"/>
    <w:rsid w:val="002278EC"/>
    <w:rsid w:val="0023280E"/>
    <w:rsid w:val="002377D1"/>
    <w:rsid w:val="002506BC"/>
    <w:rsid w:val="00254345"/>
    <w:rsid w:val="002604BC"/>
    <w:rsid w:val="00264557"/>
    <w:rsid w:val="002750BE"/>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176DB"/>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210D"/>
    <w:rsid w:val="003A4BF3"/>
    <w:rsid w:val="003B420D"/>
    <w:rsid w:val="003C6C16"/>
    <w:rsid w:val="003D794D"/>
    <w:rsid w:val="003E3058"/>
    <w:rsid w:val="003E76A9"/>
    <w:rsid w:val="003F0809"/>
    <w:rsid w:val="003F6A8C"/>
    <w:rsid w:val="003F755C"/>
    <w:rsid w:val="00402691"/>
    <w:rsid w:val="00406F01"/>
    <w:rsid w:val="00416D50"/>
    <w:rsid w:val="00416FD5"/>
    <w:rsid w:val="0041732B"/>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39A0"/>
    <w:rsid w:val="00554A7B"/>
    <w:rsid w:val="00554F8D"/>
    <w:rsid w:val="0055572C"/>
    <w:rsid w:val="0056106A"/>
    <w:rsid w:val="005720AE"/>
    <w:rsid w:val="0057756B"/>
    <w:rsid w:val="00582964"/>
    <w:rsid w:val="00594D77"/>
    <w:rsid w:val="005969E4"/>
    <w:rsid w:val="005A06B7"/>
    <w:rsid w:val="005A1759"/>
    <w:rsid w:val="005A68A7"/>
    <w:rsid w:val="005B5B26"/>
    <w:rsid w:val="005D36AB"/>
    <w:rsid w:val="00617CC3"/>
    <w:rsid w:val="006377A6"/>
    <w:rsid w:val="00637A3D"/>
    <w:rsid w:val="006411EF"/>
    <w:rsid w:val="00670FA4"/>
    <w:rsid w:val="006748B8"/>
    <w:rsid w:val="006775C3"/>
    <w:rsid w:val="006859DF"/>
    <w:rsid w:val="0069290A"/>
    <w:rsid w:val="0069775A"/>
    <w:rsid w:val="00697813"/>
    <w:rsid w:val="006A3EE8"/>
    <w:rsid w:val="006A72BF"/>
    <w:rsid w:val="006B03F2"/>
    <w:rsid w:val="006B37DC"/>
    <w:rsid w:val="006B4F68"/>
    <w:rsid w:val="006C0592"/>
    <w:rsid w:val="006C272E"/>
    <w:rsid w:val="006C5479"/>
    <w:rsid w:val="006D13B5"/>
    <w:rsid w:val="006E12FF"/>
    <w:rsid w:val="006E29B6"/>
    <w:rsid w:val="006E607E"/>
    <w:rsid w:val="0070637B"/>
    <w:rsid w:val="00706C5D"/>
    <w:rsid w:val="00732922"/>
    <w:rsid w:val="00736C29"/>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2C17"/>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3BA1"/>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6264"/>
    <w:rsid w:val="00A04F1B"/>
    <w:rsid w:val="00A0501B"/>
    <w:rsid w:val="00A14947"/>
    <w:rsid w:val="00A32A83"/>
    <w:rsid w:val="00A368DB"/>
    <w:rsid w:val="00A423AA"/>
    <w:rsid w:val="00A53EC6"/>
    <w:rsid w:val="00A55C0F"/>
    <w:rsid w:val="00A6114F"/>
    <w:rsid w:val="00A8713F"/>
    <w:rsid w:val="00A90131"/>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2B98"/>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74582"/>
    <w:rsid w:val="00D94A7C"/>
    <w:rsid w:val="00D95896"/>
    <w:rsid w:val="00DB0139"/>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3D48"/>
    <w:rsid w:val="00EA233A"/>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12331"/>
    <w:rsid w:val="011616BF"/>
    <w:rsid w:val="01203FAE"/>
    <w:rsid w:val="012634A4"/>
    <w:rsid w:val="01290F7E"/>
    <w:rsid w:val="01295435"/>
    <w:rsid w:val="012D0479"/>
    <w:rsid w:val="014B50BC"/>
    <w:rsid w:val="014F4893"/>
    <w:rsid w:val="015D1E09"/>
    <w:rsid w:val="017E2A82"/>
    <w:rsid w:val="01865AD0"/>
    <w:rsid w:val="018B0FC8"/>
    <w:rsid w:val="01983C60"/>
    <w:rsid w:val="01B15AD0"/>
    <w:rsid w:val="01DF28CB"/>
    <w:rsid w:val="01F56AD8"/>
    <w:rsid w:val="01F84801"/>
    <w:rsid w:val="022950E4"/>
    <w:rsid w:val="023F1970"/>
    <w:rsid w:val="025729D6"/>
    <w:rsid w:val="026003DA"/>
    <w:rsid w:val="02697903"/>
    <w:rsid w:val="028311D2"/>
    <w:rsid w:val="02933AA2"/>
    <w:rsid w:val="02C941D1"/>
    <w:rsid w:val="02D8125B"/>
    <w:rsid w:val="02EC31EC"/>
    <w:rsid w:val="02F96569"/>
    <w:rsid w:val="03457CFC"/>
    <w:rsid w:val="035148F2"/>
    <w:rsid w:val="03520A81"/>
    <w:rsid w:val="035C4C3E"/>
    <w:rsid w:val="03621338"/>
    <w:rsid w:val="03AC38D7"/>
    <w:rsid w:val="03EA7B21"/>
    <w:rsid w:val="03F02E1E"/>
    <w:rsid w:val="03F46B80"/>
    <w:rsid w:val="03FA4753"/>
    <w:rsid w:val="040556DD"/>
    <w:rsid w:val="04486CDD"/>
    <w:rsid w:val="04627993"/>
    <w:rsid w:val="04801A2C"/>
    <w:rsid w:val="0486410C"/>
    <w:rsid w:val="0486474D"/>
    <w:rsid w:val="04912D46"/>
    <w:rsid w:val="04943501"/>
    <w:rsid w:val="04A638AB"/>
    <w:rsid w:val="04A94B5F"/>
    <w:rsid w:val="04B2048A"/>
    <w:rsid w:val="05015EA4"/>
    <w:rsid w:val="050D65F7"/>
    <w:rsid w:val="056E3497"/>
    <w:rsid w:val="0599432F"/>
    <w:rsid w:val="059B1AAD"/>
    <w:rsid w:val="05A64D4A"/>
    <w:rsid w:val="05CD3FD8"/>
    <w:rsid w:val="05D47115"/>
    <w:rsid w:val="05E54FC3"/>
    <w:rsid w:val="05F219E5"/>
    <w:rsid w:val="05F83EAE"/>
    <w:rsid w:val="060C4F7A"/>
    <w:rsid w:val="0616048E"/>
    <w:rsid w:val="0624122F"/>
    <w:rsid w:val="063E506D"/>
    <w:rsid w:val="063E7D85"/>
    <w:rsid w:val="06450E2E"/>
    <w:rsid w:val="06497B03"/>
    <w:rsid w:val="066E20F0"/>
    <w:rsid w:val="0672713F"/>
    <w:rsid w:val="06A72A7B"/>
    <w:rsid w:val="06D60FB6"/>
    <w:rsid w:val="06E24C57"/>
    <w:rsid w:val="06E272C3"/>
    <w:rsid w:val="06E57242"/>
    <w:rsid w:val="07293586"/>
    <w:rsid w:val="07295285"/>
    <w:rsid w:val="0737795B"/>
    <w:rsid w:val="075C4B87"/>
    <w:rsid w:val="075D0149"/>
    <w:rsid w:val="07636392"/>
    <w:rsid w:val="076809D1"/>
    <w:rsid w:val="07770C56"/>
    <w:rsid w:val="07852DBD"/>
    <w:rsid w:val="07A70BDA"/>
    <w:rsid w:val="07AC02DC"/>
    <w:rsid w:val="07DC0503"/>
    <w:rsid w:val="07F85DB7"/>
    <w:rsid w:val="08181954"/>
    <w:rsid w:val="081D4041"/>
    <w:rsid w:val="08392487"/>
    <w:rsid w:val="084D31AF"/>
    <w:rsid w:val="087F6557"/>
    <w:rsid w:val="08812494"/>
    <w:rsid w:val="08A1381C"/>
    <w:rsid w:val="08A14073"/>
    <w:rsid w:val="08C01BD2"/>
    <w:rsid w:val="08D137DE"/>
    <w:rsid w:val="08E703A6"/>
    <w:rsid w:val="09024A47"/>
    <w:rsid w:val="090E6DE2"/>
    <w:rsid w:val="092217DD"/>
    <w:rsid w:val="092E25B4"/>
    <w:rsid w:val="09390988"/>
    <w:rsid w:val="093A7294"/>
    <w:rsid w:val="09412D13"/>
    <w:rsid w:val="09431CAA"/>
    <w:rsid w:val="094A4910"/>
    <w:rsid w:val="09510A7C"/>
    <w:rsid w:val="0963712E"/>
    <w:rsid w:val="09670595"/>
    <w:rsid w:val="0977417A"/>
    <w:rsid w:val="097E7AC3"/>
    <w:rsid w:val="09A81E9A"/>
    <w:rsid w:val="09B24F98"/>
    <w:rsid w:val="09D771D4"/>
    <w:rsid w:val="0A0C0E2E"/>
    <w:rsid w:val="0A0C71A7"/>
    <w:rsid w:val="0A263993"/>
    <w:rsid w:val="0A2D3AC2"/>
    <w:rsid w:val="0A4C7BC2"/>
    <w:rsid w:val="0A5E18B1"/>
    <w:rsid w:val="0A671ADA"/>
    <w:rsid w:val="0A773EFD"/>
    <w:rsid w:val="0A8A0AD2"/>
    <w:rsid w:val="0A963AA2"/>
    <w:rsid w:val="0AA755DF"/>
    <w:rsid w:val="0AC20E07"/>
    <w:rsid w:val="0AC45FF2"/>
    <w:rsid w:val="0AD96F7B"/>
    <w:rsid w:val="0AE147AE"/>
    <w:rsid w:val="0AE20526"/>
    <w:rsid w:val="0AF24999"/>
    <w:rsid w:val="0B0E20B4"/>
    <w:rsid w:val="0B120D44"/>
    <w:rsid w:val="0B7B6C32"/>
    <w:rsid w:val="0B901D30"/>
    <w:rsid w:val="0BA81739"/>
    <w:rsid w:val="0BB514C6"/>
    <w:rsid w:val="0BB77A01"/>
    <w:rsid w:val="0BCC7EE0"/>
    <w:rsid w:val="0BD065D0"/>
    <w:rsid w:val="0BD27BF6"/>
    <w:rsid w:val="0BDC5554"/>
    <w:rsid w:val="0BE60E6B"/>
    <w:rsid w:val="0C1C106F"/>
    <w:rsid w:val="0C3B3C7D"/>
    <w:rsid w:val="0C4D0749"/>
    <w:rsid w:val="0C535801"/>
    <w:rsid w:val="0C791519"/>
    <w:rsid w:val="0C7F438D"/>
    <w:rsid w:val="0C8864E6"/>
    <w:rsid w:val="0C994C14"/>
    <w:rsid w:val="0CA14B3C"/>
    <w:rsid w:val="0CAB2EAE"/>
    <w:rsid w:val="0CB92871"/>
    <w:rsid w:val="0CD12B32"/>
    <w:rsid w:val="0CE81DF6"/>
    <w:rsid w:val="0D19522B"/>
    <w:rsid w:val="0D2B56DC"/>
    <w:rsid w:val="0D307327"/>
    <w:rsid w:val="0D351DE1"/>
    <w:rsid w:val="0D4808A7"/>
    <w:rsid w:val="0D621C7D"/>
    <w:rsid w:val="0D627091"/>
    <w:rsid w:val="0D805326"/>
    <w:rsid w:val="0D8961AC"/>
    <w:rsid w:val="0DA970D9"/>
    <w:rsid w:val="0DAA00D3"/>
    <w:rsid w:val="0DD150E7"/>
    <w:rsid w:val="0DD21B0A"/>
    <w:rsid w:val="0DEA38B5"/>
    <w:rsid w:val="0DED6849"/>
    <w:rsid w:val="0E1447B8"/>
    <w:rsid w:val="0E183015"/>
    <w:rsid w:val="0E1C41C8"/>
    <w:rsid w:val="0E1C4FE4"/>
    <w:rsid w:val="0E323572"/>
    <w:rsid w:val="0E581C77"/>
    <w:rsid w:val="0E73034D"/>
    <w:rsid w:val="0E7F470B"/>
    <w:rsid w:val="0E8012D9"/>
    <w:rsid w:val="0E9B1E28"/>
    <w:rsid w:val="0EBE3D62"/>
    <w:rsid w:val="0EE06B2A"/>
    <w:rsid w:val="0F13775A"/>
    <w:rsid w:val="0F242EBB"/>
    <w:rsid w:val="0F384E5F"/>
    <w:rsid w:val="0F5F45FE"/>
    <w:rsid w:val="0F617E35"/>
    <w:rsid w:val="0F7C621D"/>
    <w:rsid w:val="0F9A112B"/>
    <w:rsid w:val="0FA77648"/>
    <w:rsid w:val="0FDA7A1E"/>
    <w:rsid w:val="0FE268D2"/>
    <w:rsid w:val="0FE809A6"/>
    <w:rsid w:val="0FFC01E3"/>
    <w:rsid w:val="100565B7"/>
    <w:rsid w:val="102F4B50"/>
    <w:rsid w:val="10520F1F"/>
    <w:rsid w:val="10610161"/>
    <w:rsid w:val="106D2F64"/>
    <w:rsid w:val="10721C05"/>
    <w:rsid w:val="107501BE"/>
    <w:rsid w:val="108C51BC"/>
    <w:rsid w:val="10914A2F"/>
    <w:rsid w:val="10B63710"/>
    <w:rsid w:val="10BA502A"/>
    <w:rsid w:val="10BB032D"/>
    <w:rsid w:val="10E90EEC"/>
    <w:rsid w:val="10F10820"/>
    <w:rsid w:val="111C2F7A"/>
    <w:rsid w:val="11270C74"/>
    <w:rsid w:val="114F1D45"/>
    <w:rsid w:val="115D13F6"/>
    <w:rsid w:val="11665CA1"/>
    <w:rsid w:val="117B42E9"/>
    <w:rsid w:val="11A01E2E"/>
    <w:rsid w:val="11A7470E"/>
    <w:rsid w:val="11BD75F7"/>
    <w:rsid w:val="11C91343"/>
    <w:rsid w:val="11DA5198"/>
    <w:rsid w:val="126E269F"/>
    <w:rsid w:val="12C02EFB"/>
    <w:rsid w:val="12C67543"/>
    <w:rsid w:val="12DA4EB3"/>
    <w:rsid w:val="12DB7A9D"/>
    <w:rsid w:val="133D279D"/>
    <w:rsid w:val="13951726"/>
    <w:rsid w:val="139D148E"/>
    <w:rsid w:val="139F5206"/>
    <w:rsid w:val="13C609E5"/>
    <w:rsid w:val="13F10FD8"/>
    <w:rsid w:val="13FD1F2D"/>
    <w:rsid w:val="141554C8"/>
    <w:rsid w:val="14213E6D"/>
    <w:rsid w:val="142D4213"/>
    <w:rsid w:val="143725C7"/>
    <w:rsid w:val="14396509"/>
    <w:rsid w:val="145B5AC6"/>
    <w:rsid w:val="14694215"/>
    <w:rsid w:val="14A068F2"/>
    <w:rsid w:val="14A267A2"/>
    <w:rsid w:val="14A46E3A"/>
    <w:rsid w:val="14B67EBB"/>
    <w:rsid w:val="14B76566"/>
    <w:rsid w:val="14BF754D"/>
    <w:rsid w:val="14D520FC"/>
    <w:rsid w:val="14DD2C3C"/>
    <w:rsid w:val="14E04EC4"/>
    <w:rsid w:val="15164037"/>
    <w:rsid w:val="152E22E5"/>
    <w:rsid w:val="15316075"/>
    <w:rsid w:val="155F4841"/>
    <w:rsid w:val="1579194A"/>
    <w:rsid w:val="159D101E"/>
    <w:rsid w:val="15A22C1A"/>
    <w:rsid w:val="15AB7DD0"/>
    <w:rsid w:val="15CB6F73"/>
    <w:rsid w:val="15DC1024"/>
    <w:rsid w:val="15EA028F"/>
    <w:rsid w:val="16087E1D"/>
    <w:rsid w:val="162C1AE8"/>
    <w:rsid w:val="164200CB"/>
    <w:rsid w:val="168E004D"/>
    <w:rsid w:val="16B34B25"/>
    <w:rsid w:val="16C15493"/>
    <w:rsid w:val="16E01DBD"/>
    <w:rsid w:val="16E32AEA"/>
    <w:rsid w:val="16E55626"/>
    <w:rsid w:val="16E82ABD"/>
    <w:rsid w:val="17033CFE"/>
    <w:rsid w:val="175B6477"/>
    <w:rsid w:val="1760737E"/>
    <w:rsid w:val="176679EC"/>
    <w:rsid w:val="176951BA"/>
    <w:rsid w:val="17701D14"/>
    <w:rsid w:val="17735226"/>
    <w:rsid w:val="1779331F"/>
    <w:rsid w:val="177B5416"/>
    <w:rsid w:val="177F79A0"/>
    <w:rsid w:val="178534DF"/>
    <w:rsid w:val="178A7DCB"/>
    <w:rsid w:val="17987CFE"/>
    <w:rsid w:val="17991F6C"/>
    <w:rsid w:val="179D327B"/>
    <w:rsid w:val="17A10E21"/>
    <w:rsid w:val="17A75B35"/>
    <w:rsid w:val="17AF5CEB"/>
    <w:rsid w:val="17C92852"/>
    <w:rsid w:val="17D060A0"/>
    <w:rsid w:val="17E15B14"/>
    <w:rsid w:val="17E21865"/>
    <w:rsid w:val="17EE212D"/>
    <w:rsid w:val="17F82789"/>
    <w:rsid w:val="17FE0B68"/>
    <w:rsid w:val="180657DC"/>
    <w:rsid w:val="18115297"/>
    <w:rsid w:val="18173A8C"/>
    <w:rsid w:val="181B370B"/>
    <w:rsid w:val="18331C1F"/>
    <w:rsid w:val="183521E7"/>
    <w:rsid w:val="1840063A"/>
    <w:rsid w:val="185222E5"/>
    <w:rsid w:val="18811B19"/>
    <w:rsid w:val="18950986"/>
    <w:rsid w:val="189F624C"/>
    <w:rsid w:val="18A64ED4"/>
    <w:rsid w:val="18A81AE2"/>
    <w:rsid w:val="18CD45C3"/>
    <w:rsid w:val="18FA746B"/>
    <w:rsid w:val="191C4C03"/>
    <w:rsid w:val="192E158C"/>
    <w:rsid w:val="19344AB0"/>
    <w:rsid w:val="194303E2"/>
    <w:rsid w:val="194D000B"/>
    <w:rsid w:val="197A5461"/>
    <w:rsid w:val="19AF0847"/>
    <w:rsid w:val="19B830B3"/>
    <w:rsid w:val="1A1C66C0"/>
    <w:rsid w:val="1A42393B"/>
    <w:rsid w:val="1A4D3C04"/>
    <w:rsid w:val="1A6E5F6D"/>
    <w:rsid w:val="1AA9696A"/>
    <w:rsid w:val="1AAD45DE"/>
    <w:rsid w:val="1AF26AEE"/>
    <w:rsid w:val="1AF547DC"/>
    <w:rsid w:val="1AF916A0"/>
    <w:rsid w:val="1B046F80"/>
    <w:rsid w:val="1B0E4768"/>
    <w:rsid w:val="1B1F79FF"/>
    <w:rsid w:val="1B217806"/>
    <w:rsid w:val="1B2E03F5"/>
    <w:rsid w:val="1B3267B5"/>
    <w:rsid w:val="1B40161D"/>
    <w:rsid w:val="1B441859"/>
    <w:rsid w:val="1B627436"/>
    <w:rsid w:val="1B6606B1"/>
    <w:rsid w:val="1B6B4C97"/>
    <w:rsid w:val="1B6F6331"/>
    <w:rsid w:val="1B7C0EDB"/>
    <w:rsid w:val="1B875261"/>
    <w:rsid w:val="1B8D7D55"/>
    <w:rsid w:val="1B932253"/>
    <w:rsid w:val="1B9703C5"/>
    <w:rsid w:val="1BB22A5F"/>
    <w:rsid w:val="1BF260EF"/>
    <w:rsid w:val="1C12748C"/>
    <w:rsid w:val="1C401235"/>
    <w:rsid w:val="1C513FDA"/>
    <w:rsid w:val="1C5229E9"/>
    <w:rsid w:val="1C5E7925"/>
    <w:rsid w:val="1C611B5B"/>
    <w:rsid w:val="1C693B39"/>
    <w:rsid w:val="1C746B04"/>
    <w:rsid w:val="1C8B3804"/>
    <w:rsid w:val="1C9E0E6A"/>
    <w:rsid w:val="1CA613B3"/>
    <w:rsid w:val="1CD75C4B"/>
    <w:rsid w:val="1CE575BC"/>
    <w:rsid w:val="1CF20386"/>
    <w:rsid w:val="1CFD070F"/>
    <w:rsid w:val="1D066304"/>
    <w:rsid w:val="1D3679F9"/>
    <w:rsid w:val="1D5202A2"/>
    <w:rsid w:val="1D532BBD"/>
    <w:rsid w:val="1D5F6196"/>
    <w:rsid w:val="1D6132A5"/>
    <w:rsid w:val="1D7B1107"/>
    <w:rsid w:val="1D8106F6"/>
    <w:rsid w:val="1D8E56D5"/>
    <w:rsid w:val="1DB83859"/>
    <w:rsid w:val="1DCA10D2"/>
    <w:rsid w:val="1DD44A27"/>
    <w:rsid w:val="1DEF2239"/>
    <w:rsid w:val="1DF0665E"/>
    <w:rsid w:val="1DF1740B"/>
    <w:rsid w:val="1E0A7720"/>
    <w:rsid w:val="1E164B2F"/>
    <w:rsid w:val="1E2D0F85"/>
    <w:rsid w:val="1E4A0464"/>
    <w:rsid w:val="1E693712"/>
    <w:rsid w:val="1E6B1012"/>
    <w:rsid w:val="1E7539C0"/>
    <w:rsid w:val="1E7A2AF8"/>
    <w:rsid w:val="1E7A43DA"/>
    <w:rsid w:val="1E937715"/>
    <w:rsid w:val="1E9B4F23"/>
    <w:rsid w:val="1ED158EA"/>
    <w:rsid w:val="1EDF6DFF"/>
    <w:rsid w:val="1EE77A61"/>
    <w:rsid w:val="1F100D66"/>
    <w:rsid w:val="1F422EEA"/>
    <w:rsid w:val="1F777037"/>
    <w:rsid w:val="1FE7539E"/>
    <w:rsid w:val="1FF4173C"/>
    <w:rsid w:val="1FF90B1F"/>
    <w:rsid w:val="2004283B"/>
    <w:rsid w:val="20055A87"/>
    <w:rsid w:val="20124F62"/>
    <w:rsid w:val="201523AC"/>
    <w:rsid w:val="2028425B"/>
    <w:rsid w:val="2042649F"/>
    <w:rsid w:val="204D5FEA"/>
    <w:rsid w:val="20671BE0"/>
    <w:rsid w:val="20726CD8"/>
    <w:rsid w:val="20880DD0"/>
    <w:rsid w:val="20963CB8"/>
    <w:rsid w:val="20A23CC0"/>
    <w:rsid w:val="20A5284B"/>
    <w:rsid w:val="20A81A1B"/>
    <w:rsid w:val="20B07FB6"/>
    <w:rsid w:val="20B47E17"/>
    <w:rsid w:val="20B646FB"/>
    <w:rsid w:val="20F32E04"/>
    <w:rsid w:val="21056955"/>
    <w:rsid w:val="210B3025"/>
    <w:rsid w:val="21117B79"/>
    <w:rsid w:val="211476D6"/>
    <w:rsid w:val="21154355"/>
    <w:rsid w:val="211D59BC"/>
    <w:rsid w:val="213845A4"/>
    <w:rsid w:val="213B74B1"/>
    <w:rsid w:val="214E2686"/>
    <w:rsid w:val="215855DA"/>
    <w:rsid w:val="215A2310"/>
    <w:rsid w:val="216A7E7D"/>
    <w:rsid w:val="217462B7"/>
    <w:rsid w:val="21751354"/>
    <w:rsid w:val="21947BAF"/>
    <w:rsid w:val="21AF49FC"/>
    <w:rsid w:val="21B31E7D"/>
    <w:rsid w:val="21C40162"/>
    <w:rsid w:val="21C760A1"/>
    <w:rsid w:val="21DE318A"/>
    <w:rsid w:val="21E07116"/>
    <w:rsid w:val="21EF5B80"/>
    <w:rsid w:val="220152DE"/>
    <w:rsid w:val="22105521"/>
    <w:rsid w:val="22144664"/>
    <w:rsid w:val="2216760B"/>
    <w:rsid w:val="22576990"/>
    <w:rsid w:val="226E4415"/>
    <w:rsid w:val="22877C60"/>
    <w:rsid w:val="229257DC"/>
    <w:rsid w:val="22BC5527"/>
    <w:rsid w:val="22BD1205"/>
    <w:rsid w:val="22D447A0"/>
    <w:rsid w:val="22F47480"/>
    <w:rsid w:val="22F63F99"/>
    <w:rsid w:val="22FB7172"/>
    <w:rsid w:val="22FD42C4"/>
    <w:rsid w:val="22FF7A6F"/>
    <w:rsid w:val="231C66A2"/>
    <w:rsid w:val="23212F56"/>
    <w:rsid w:val="23340FA1"/>
    <w:rsid w:val="23607DE2"/>
    <w:rsid w:val="236D2C2B"/>
    <w:rsid w:val="239372EB"/>
    <w:rsid w:val="239D2DE4"/>
    <w:rsid w:val="23AC24DF"/>
    <w:rsid w:val="23B720F8"/>
    <w:rsid w:val="23C9498F"/>
    <w:rsid w:val="23D41D37"/>
    <w:rsid w:val="23D83E1C"/>
    <w:rsid w:val="23DE1C48"/>
    <w:rsid w:val="23E175EA"/>
    <w:rsid w:val="23F61401"/>
    <w:rsid w:val="23FE7EAC"/>
    <w:rsid w:val="240210CD"/>
    <w:rsid w:val="24056D54"/>
    <w:rsid w:val="2415322B"/>
    <w:rsid w:val="244C2404"/>
    <w:rsid w:val="246630C3"/>
    <w:rsid w:val="24791B67"/>
    <w:rsid w:val="249A5C43"/>
    <w:rsid w:val="24AD1C0A"/>
    <w:rsid w:val="24BF09F7"/>
    <w:rsid w:val="24D243A2"/>
    <w:rsid w:val="24D65197"/>
    <w:rsid w:val="250A4A30"/>
    <w:rsid w:val="250C6E50"/>
    <w:rsid w:val="2511463D"/>
    <w:rsid w:val="25191B12"/>
    <w:rsid w:val="252D53FE"/>
    <w:rsid w:val="25375BDA"/>
    <w:rsid w:val="25397A50"/>
    <w:rsid w:val="25741467"/>
    <w:rsid w:val="257A09F7"/>
    <w:rsid w:val="25A820EA"/>
    <w:rsid w:val="25BF393D"/>
    <w:rsid w:val="25D664EA"/>
    <w:rsid w:val="25D71F51"/>
    <w:rsid w:val="25EC2D81"/>
    <w:rsid w:val="25FC7E3F"/>
    <w:rsid w:val="263E08AF"/>
    <w:rsid w:val="26590596"/>
    <w:rsid w:val="2685203A"/>
    <w:rsid w:val="26D93FBF"/>
    <w:rsid w:val="273B4DEE"/>
    <w:rsid w:val="277057A2"/>
    <w:rsid w:val="27C671F8"/>
    <w:rsid w:val="27D150E1"/>
    <w:rsid w:val="27F52753"/>
    <w:rsid w:val="27FB16CC"/>
    <w:rsid w:val="28004B71"/>
    <w:rsid w:val="28232BFC"/>
    <w:rsid w:val="28470B4F"/>
    <w:rsid w:val="287D00D0"/>
    <w:rsid w:val="288307FB"/>
    <w:rsid w:val="28EC7115"/>
    <w:rsid w:val="28ED3EC6"/>
    <w:rsid w:val="28F176CC"/>
    <w:rsid w:val="28F65471"/>
    <w:rsid w:val="28FD67FF"/>
    <w:rsid w:val="29036423"/>
    <w:rsid w:val="29206EB8"/>
    <w:rsid w:val="2928349A"/>
    <w:rsid w:val="293B10D5"/>
    <w:rsid w:val="293E2974"/>
    <w:rsid w:val="294D259A"/>
    <w:rsid w:val="29595666"/>
    <w:rsid w:val="29667E00"/>
    <w:rsid w:val="296A40E9"/>
    <w:rsid w:val="296F59CF"/>
    <w:rsid w:val="2971405C"/>
    <w:rsid w:val="29714315"/>
    <w:rsid w:val="29874881"/>
    <w:rsid w:val="29A14E20"/>
    <w:rsid w:val="29E325E0"/>
    <w:rsid w:val="2A027E45"/>
    <w:rsid w:val="2A40471F"/>
    <w:rsid w:val="2A452503"/>
    <w:rsid w:val="2A607F7E"/>
    <w:rsid w:val="2A910533"/>
    <w:rsid w:val="2ABB3D2F"/>
    <w:rsid w:val="2ACE2FFA"/>
    <w:rsid w:val="2AD24A76"/>
    <w:rsid w:val="2AE735EB"/>
    <w:rsid w:val="2B095C43"/>
    <w:rsid w:val="2B0F5B83"/>
    <w:rsid w:val="2B492711"/>
    <w:rsid w:val="2B5F4AA0"/>
    <w:rsid w:val="2BA936A8"/>
    <w:rsid w:val="2BAD5B8F"/>
    <w:rsid w:val="2BFF4898"/>
    <w:rsid w:val="2C315A5A"/>
    <w:rsid w:val="2C3652C5"/>
    <w:rsid w:val="2C477D91"/>
    <w:rsid w:val="2C4B1C25"/>
    <w:rsid w:val="2CB216AE"/>
    <w:rsid w:val="2CCF1A4A"/>
    <w:rsid w:val="2CD3540E"/>
    <w:rsid w:val="2CD86C3B"/>
    <w:rsid w:val="2CFA61F5"/>
    <w:rsid w:val="2D4137EF"/>
    <w:rsid w:val="2D483DC1"/>
    <w:rsid w:val="2D856DC3"/>
    <w:rsid w:val="2D893D52"/>
    <w:rsid w:val="2D9E56F5"/>
    <w:rsid w:val="2DA20AB1"/>
    <w:rsid w:val="2DCD1217"/>
    <w:rsid w:val="2DDA558F"/>
    <w:rsid w:val="2E0A6206"/>
    <w:rsid w:val="2E0B1E77"/>
    <w:rsid w:val="2E340BC1"/>
    <w:rsid w:val="2E496043"/>
    <w:rsid w:val="2E5F5866"/>
    <w:rsid w:val="2E667F96"/>
    <w:rsid w:val="2E6A4FCC"/>
    <w:rsid w:val="2E6E5F17"/>
    <w:rsid w:val="2E8226AB"/>
    <w:rsid w:val="2E836087"/>
    <w:rsid w:val="2E965A58"/>
    <w:rsid w:val="2EA36B0F"/>
    <w:rsid w:val="2EA84B6E"/>
    <w:rsid w:val="2EB46281"/>
    <w:rsid w:val="2EC456C9"/>
    <w:rsid w:val="2EC54EEA"/>
    <w:rsid w:val="2ECC3237"/>
    <w:rsid w:val="2ED718A0"/>
    <w:rsid w:val="2F1D0548"/>
    <w:rsid w:val="2F2148C9"/>
    <w:rsid w:val="2F4D655F"/>
    <w:rsid w:val="2F5015CA"/>
    <w:rsid w:val="2F572ED3"/>
    <w:rsid w:val="2F69244D"/>
    <w:rsid w:val="2F766259"/>
    <w:rsid w:val="2F8B6633"/>
    <w:rsid w:val="2FCD4421"/>
    <w:rsid w:val="2FD065E6"/>
    <w:rsid w:val="2FD96870"/>
    <w:rsid w:val="2FFD0E93"/>
    <w:rsid w:val="30202DD3"/>
    <w:rsid w:val="302428C3"/>
    <w:rsid w:val="3039298F"/>
    <w:rsid w:val="30580BC9"/>
    <w:rsid w:val="3075311F"/>
    <w:rsid w:val="30915BFA"/>
    <w:rsid w:val="30A85DD6"/>
    <w:rsid w:val="30B06913"/>
    <w:rsid w:val="30BA6A29"/>
    <w:rsid w:val="30C53578"/>
    <w:rsid w:val="30D23125"/>
    <w:rsid w:val="311E2ED7"/>
    <w:rsid w:val="311F752F"/>
    <w:rsid w:val="312334A2"/>
    <w:rsid w:val="313737F0"/>
    <w:rsid w:val="314A6E33"/>
    <w:rsid w:val="3156080E"/>
    <w:rsid w:val="315619EE"/>
    <w:rsid w:val="315C449C"/>
    <w:rsid w:val="319E474E"/>
    <w:rsid w:val="31A50EC7"/>
    <w:rsid w:val="31B70755"/>
    <w:rsid w:val="31B82709"/>
    <w:rsid w:val="31C300FD"/>
    <w:rsid w:val="31C47400"/>
    <w:rsid w:val="31D05482"/>
    <w:rsid w:val="31EE13DB"/>
    <w:rsid w:val="31F15225"/>
    <w:rsid w:val="323928D7"/>
    <w:rsid w:val="32400B34"/>
    <w:rsid w:val="327C7940"/>
    <w:rsid w:val="329E6876"/>
    <w:rsid w:val="32A47CEB"/>
    <w:rsid w:val="32BF120B"/>
    <w:rsid w:val="32EF59F2"/>
    <w:rsid w:val="32F36C2B"/>
    <w:rsid w:val="32F96629"/>
    <w:rsid w:val="32FB3683"/>
    <w:rsid w:val="33260599"/>
    <w:rsid w:val="333015F2"/>
    <w:rsid w:val="333A2336"/>
    <w:rsid w:val="333C43C8"/>
    <w:rsid w:val="334B6320"/>
    <w:rsid w:val="337B6D0E"/>
    <w:rsid w:val="337E678E"/>
    <w:rsid w:val="338873E8"/>
    <w:rsid w:val="33933A39"/>
    <w:rsid w:val="339B4038"/>
    <w:rsid w:val="33C1667B"/>
    <w:rsid w:val="33CE5371"/>
    <w:rsid w:val="33D04B10"/>
    <w:rsid w:val="33D934D4"/>
    <w:rsid w:val="33E518FA"/>
    <w:rsid w:val="33FE2F6A"/>
    <w:rsid w:val="340B25B7"/>
    <w:rsid w:val="340E07E5"/>
    <w:rsid w:val="34164C19"/>
    <w:rsid w:val="34235BF7"/>
    <w:rsid w:val="34265DF9"/>
    <w:rsid w:val="34306ECD"/>
    <w:rsid w:val="3431441E"/>
    <w:rsid w:val="34476B80"/>
    <w:rsid w:val="34677222"/>
    <w:rsid w:val="348C0B69"/>
    <w:rsid w:val="34B13D24"/>
    <w:rsid w:val="34BB131C"/>
    <w:rsid w:val="34E41468"/>
    <w:rsid w:val="34F53053"/>
    <w:rsid w:val="351156C1"/>
    <w:rsid w:val="351A3BB7"/>
    <w:rsid w:val="35275CCC"/>
    <w:rsid w:val="352D3D84"/>
    <w:rsid w:val="358C5FA8"/>
    <w:rsid w:val="35A6198F"/>
    <w:rsid w:val="35C15DF1"/>
    <w:rsid w:val="35D95EFE"/>
    <w:rsid w:val="36074A7F"/>
    <w:rsid w:val="360A255B"/>
    <w:rsid w:val="36363350"/>
    <w:rsid w:val="36453593"/>
    <w:rsid w:val="36817A92"/>
    <w:rsid w:val="368216D5"/>
    <w:rsid w:val="368A747F"/>
    <w:rsid w:val="368C2FF3"/>
    <w:rsid w:val="36923549"/>
    <w:rsid w:val="36A825EA"/>
    <w:rsid w:val="36B75FBF"/>
    <w:rsid w:val="36BD0C45"/>
    <w:rsid w:val="36E36908"/>
    <w:rsid w:val="370E0330"/>
    <w:rsid w:val="372B3420"/>
    <w:rsid w:val="374E393B"/>
    <w:rsid w:val="375B7008"/>
    <w:rsid w:val="37893954"/>
    <w:rsid w:val="379323FF"/>
    <w:rsid w:val="379C37FE"/>
    <w:rsid w:val="379E026D"/>
    <w:rsid w:val="379E73FF"/>
    <w:rsid w:val="37A61E10"/>
    <w:rsid w:val="37BE77D3"/>
    <w:rsid w:val="37E00298"/>
    <w:rsid w:val="37E20570"/>
    <w:rsid w:val="38150498"/>
    <w:rsid w:val="381A5E76"/>
    <w:rsid w:val="3835198A"/>
    <w:rsid w:val="38450240"/>
    <w:rsid w:val="384B37BA"/>
    <w:rsid w:val="38673C95"/>
    <w:rsid w:val="389205E6"/>
    <w:rsid w:val="389C11BD"/>
    <w:rsid w:val="38AA6EBD"/>
    <w:rsid w:val="38B302F9"/>
    <w:rsid w:val="38CF652D"/>
    <w:rsid w:val="38F12CD3"/>
    <w:rsid w:val="38F94775"/>
    <w:rsid w:val="39205BF2"/>
    <w:rsid w:val="392971ED"/>
    <w:rsid w:val="39325651"/>
    <w:rsid w:val="39462E83"/>
    <w:rsid w:val="394C278A"/>
    <w:rsid w:val="397D589A"/>
    <w:rsid w:val="39815450"/>
    <w:rsid w:val="39847220"/>
    <w:rsid w:val="39861EF9"/>
    <w:rsid w:val="39AE1450"/>
    <w:rsid w:val="3A557444"/>
    <w:rsid w:val="3A80103E"/>
    <w:rsid w:val="3A872856"/>
    <w:rsid w:val="3AA8283F"/>
    <w:rsid w:val="3AAB7108"/>
    <w:rsid w:val="3AB42374"/>
    <w:rsid w:val="3AC23405"/>
    <w:rsid w:val="3AC55DF3"/>
    <w:rsid w:val="3AD673AB"/>
    <w:rsid w:val="3B307B9A"/>
    <w:rsid w:val="3B3763D1"/>
    <w:rsid w:val="3B3D0FDF"/>
    <w:rsid w:val="3B4D3A10"/>
    <w:rsid w:val="3B5129DA"/>
    <w:rsid w:val="3B573637"/>
    <w:rsid w:val="3B6532D5"/>
    <w:rsid w:val="3B7E0E11"/>
    <w:rsid w:val="3B850B51"/>
    <w:rsid w:val="3B9A19A6"/>
    <w:rsid w:val="3B9A1C8B"/>
    <w:rsid w:val="3BAC19BF"/>
    <w:rsid w:val="3C15360D"/>
    <w:rsid w:val="3C1A101E"/>
    <w:rsid w:val="3C2F6E1E"/>
    <w:rsid w:val="3C354D6C"/>
    <w:rsid w:val="3C3562AC"/>
    <w:rsid w:val="3C4F64BA"/>
    <w:rsid w:val="3C5A58BF"/>
    <w:rsid w:val="3C7B033B"/>
    <w:rsid w:val="3CA07775"/>
    <w:rsid w:val="3CD83D46"/>
    <w:rsid w:val="3CDA245A"/>
    <w:rsid w:val="3CF316EE"/>
    <w:rsid w:val="3D08531B"/>
    <w:rsid w:val="3D1E06B7"/>
    <w:rsid w:val="3D204412"/>
    <w:rsid w:val="3D2C1009"/>
    <w:rsid w:val="3D43530C"/>
    <w:rsid w:val="3D811B22"/>
    <w:rsid w:val="3D8C3E1B"/>
    <w:rsid w:val="3D922CF0"/>
    <w:rsid w:val="3D9B61A1"/>
    <w:rsid w:val="3DC2371B"/>
    <w:rsid w:val="3E070D27"/>
    <w:rsid w:val="3E316894"/>
    <w:rsid w:val="3E3A1504"/>
    <w:rsid w:val="3E4208F8"/>
    <w:rsid w:val="3E7155A6"/>
    <w:rsid w:val="3E820890"/>
    <w:rsid w:val="3E845EA2"/>
    <w:rsid w:val="3E9713C0"/>
    <w:rsid w:val="3EA1384D"/>
    <w:rsid w:val="3EAC4DE8"/>
    <w:rsid w:val="3EAD4A34"/>
    <w:rsid w:val="3EB72AD6"/>
    <w:rsid w:val="3ECC2AA4"/>
    <w:rsid w:val="3ED76FB5"/>
    <w:rsid w:val="3EDA0523"/>
    <w:rsid w:val="3EE62FF1"/>
    <w:rsid w:val="3EF10CD2"/>
    <w:rsid w:val="3F0B4C4E"/>
    <w:rsid w:val="3F1F1CC7"/>
    <w:rsid w:val="3F3C3F70"/>
    <w:rsid w:val="3F4F5483"/>
    <w:rsid w:val="3F603A91"/>
    <w:rsid w:val="3F783934"/>
    <w:rsid w:val="3F7C00E2"/>
    <w:rsid w:val="3F8073EA"/>
    <w:rsid w:val="3F9A7FCD"/>
    <w:rsid w:val="3FC473EF"/>
    <w:rsid w:val="3FD27F37"/>
    <w:rsid w:val="3FDD483D"/>
    <w:rsid w:val="3FE00EAE"/>
    <w:rsid w:val="3FFE7FD8"/>
    <w:rsid w:val="400973E0"/>
    <w:rsid w:val="400F75B1"/>
    <w:rsid w:val="4057408C"/>
    <w:rsid w:val="407A6407"/>
    <w:rsid w:val="40965CD2"/>
    <w:rsid w:val="40AA6BB5"/>
    <w:rsid w:val="40E34069"/>
    <w:rsid w:val="4112510B"/>
    <w:rsid w:val="41464DB1"/>
    <w:rsid w:val="414839E0"/>
    <w:rsid w:val="415A1C8A"/>
    <w:rsid w:val="415E0AA4"/>
    <w:rsid w:val="417755B9"/>
    <w:rsid w:val="417C1C5F"/>
    <w:rsid w:val="41900003"/>
    <w:rsid w:val="419217F1"/>
    <w:rsid w:val="419B050B"/>
    <w:rsid w:val="41A52325"/>
    <w:rsid w:val="41B43829"/>
    <w:rsid w:val="41D60BCD"/>
    <w:rsid w:val="41E42FB0"/>
    <w:rsid w:val="4200449D"/>
    <w:rsid w:val="4203046B"/>
    <w:rsid w:val="4213285D"/>
    <w:rsid w:val="423A3BCC"/>
    <w:rsid w:val="423D5A66"/>
    <w:rsid w:val="424E57D2"/>
    <w:rsid w:val="42520B3D"/>
    <w:rsid w:val="42710808"/>
    <w:rsid w:val="42935686"/>
    <w:rsid w:val="42A52109"/>
    <w:rsid w:val="42B26C49"/>
    <w:rsid w:val="42B52EAB"/>
    <w:rsid w:val="42CB67CE"/>
    <w:rsid w:val="42CC1AD9"/>
    <w:rsid w:val="42E859D2"/>
    <w:rsid w:val="42FE0D52"/>
    <w:rsid w:val="430E6A24"/>
    <w:rsid w:val="43146583"/>
    <w:rsid w:val="43154F99"/>
    <w:rsid w:val="431F598E"/>
    <w:rsid w:val="432A6FFE"/>
    <w:rsid w:val="433A6FE6"/>
    <w:rsid w:val="43443180"/>
    <w:rsid w:val="43480868"/>
    <w:rsid w:val="4350713C"/>
    <w:rsid w:val="43610452"/>
    <w:rsid w:val="436653E0"/>
    <w:rsid w:val="437D7322"/>
    <w:rsid w:val="438110BA"/>
    <w:rsid w:val="438C716F"/>
    <w:rsid w:val="439E0290"/>
    <w:rsid w:val="43A739D1"/>
    <w:rsid w:val="43AF352E"/>
    <w:rsid w:val="43C4431A"/>
    <w:rsid w:val="43D81E1D"/>
    <w:rsid w:val="43E02B4D"/>
    <w:rsid w:val="43EF4B3E"/>
    <w:rsid w:val="44206E4F"/>
    <w:rsid w:val="44216126"/>
    <w:rsid w:val="445B21D4"/>
    <w:rsid w:val="4476157F"/>
    <w:rsid w:val="44861E24"/>
    <w:rsid w:val="449D7FBD"/>
    <w:rsid w:val="449F4DAD"/>
    <w:rsid w:val="44B951CC"/>
    <w:rsid w:val="44CD14E0"/>
    <w:rsid w:val="44CF5BFB"/>
    <w:rsid w:val="44D41620"/>
    <w:rsid w:val="44EA310E"/>
    <w:rsid w:val="44EA7E78"/>
    <w:rsid w:val="44F20B0B"/>
    <w:rsid w:val="452E5F4C"/>
    <w:rsid w:val="45470C7B"/>
    <w:rsid w:val="4548500B"/>
    <w:rsid w:val="455853A5"/>
    <w:rsid w:val="45612018"/>
    <w:rsid w:val="456E6494"/>
    <w:rsid w:val="45807551"/>
    <w:rsid w:val="458946E9"/>
    <w:rsid w:val="458A23AD"/>
    <w:rsid w:val="45992544"/>
    <w:rsid w:val="459F18B0"/>
    <w:rsid w:val="45A47C0E"/>
    <w:rsid w:val="45AC718B"/>
    <w:rsid w:val="45DA0110"/>
    <w:rsid w:val="45E561F9"/>
    <w:rsid w:val="46020B59"/>
    <w:rsid w:val="46227A5C"/>
    <w:rsid w:val="463F1DAD"/>
    <w:rsid w:val="46577FD6"/>
    <w:rsid w:val="465D7413"/>
    <w:rsid w:val="466156E6"/>
    <w:rsid w:val="467109B7"/>
    <w:rsid w:val="46841EB6"/>
    <w:rsid w:val="468A0B4E"/>
    <w:rsid w:val="46B1124A"/>
    <w:rsid w:val="46B72B3B"/>
    <w:rsid w:val="46B81B60"/>
    <w:rsid w:val="46CA14FC"/>
    <w:rsid w:val="46D0433C"/>
    <w:rsid w:val="46D208A5"/>
    <w:rsid w:val="46D4777B"/>
    <w:rsid w:val="46D955A7"/>
    <w:rsid w:val="46EA6212"/>
    <w:rsid w:val="46EC4182"/>
    <w:rsid w:val="46EF427B"/>
    <w:rsid w:val="47133957"/>
    <w:rsid w:val="474621AA"/>
    <w:rsid w:val="47560C1F"/>
    <w:rsid w:val="477D1A6B"/>
    <w:rsid w:val="479B74B7"/>
    <w:rsid w:val="47A07E0C"/>
    <w:rsid w:val="47BA35FD"/>
    <w:rsid w:val="47D91D8D"/>
    <w:rsid w:val="47DB0C21"/>
    <w:rsid w:val="47DE236C"/>
    <w:rsid w:val="47DF7789"/>
    <w:rsid w:val="47FD5DF2"/>
    <w:rsid w:val="4803505C"/>
    <w:rsid w:val="481132D5"/>
    <w:rsid w:val="482360D2"/>
    <w:rsid w:val="483C4181"/>
    <w:rsid w:val="48587A14"/>
    <w:rsid w:val="4860084B"/>
    <w:rsid w:val="4860425D"/>
    <w:rsid w:val="4870272E"/>
    <w:rsid w:val="487B5B30"/>
    <w:rsid w:val="487F405C"/>
    <w:rsid w:val="48A01E5A"/>
    <w:rsid w:val="48EB7FCA"/>
    <w:rsid w:val="49115557"/>
    <w:rsid w:val="491737F8"/>
    <w:rsid w:val="49532ABA"/>
    <w:rsid w:val="49562B34"/>
    <w:rsid w:val="499E4651"/>
    <w:rsid w:val="49C8030C"/>
    <w:rsid w:val="49D03CF9"/>
    <w:rsid w:val="49DC7715"/>
    <w:rsid w:val="49E71E13"/>
    <w:rsid w:val="49EF486E"/>
    <w:rsid w:val="49F11380"/>
    <w:rsid w:val="49F7299F"/>
    <w:rsid w:val="4A023139"/>
    <w:rsid w:val="4A332EE4"/>
    <w:rsid w:val="4A3805D3"/>
    <w:rsid w:val="4A3B288C"/>
    <w:rsid w:val="4A49144C"/>
    <w:rsid w:val="4A6F4C2B"/>
    <w:rsid w:val="4A7B576F"/>
    <w:rsid w:val="4A8C520C"/>
    <w:rsid w:val="4A9C7F9B"/>
    <w:rsid w:val="4AAE79C0"/>
    <w:rsid w:val="4AB32D6A"/>
    <w:rsid w:val="4AD8632C"/>
    <w:rsid w:val="4AF561A9"/>
    <w:rsid w:val="4B0A5209"/>
    <w:rsid w:val="4B2138A1"/>
    <w:rsid w:val="4B2D35EC"/>
    <w:rsid w:val="4B30329B"/>
    <w:rsid w:val="4B3859D9"/>
    <w:rsid w:val="4B8B339F"/>
    <w:rsid w:val="4B9E5ED6"/>
    <w:rsid w:val="4BB3570A"/>
    <w:rsid w:val="4BCD4A3C"/>
    <w:rsid w:val="4BD56708"/>
    <w:rsid w:val="4BD56D10"/>
    <w:rsid w:val="4BD60402"/>
    <w:rsid w:val="4BDB2578"/>
    <w:rsid w:val="4BF65490"/>
    <w:rsid w:val="4C006274"/>
    <w:rsid w:val="4C236E6B"/>
    <w:rsid w:val="4C3801D3"/>
    <w:rsid w:val="4C417D2D"/>
    <w:rsid w:val="4C483303"/>
    <w:rsid w:val="4C4A0649"/>
    <w:rsid w:val="4C7E5ECA"/>
    <w:rsid w:val="4C876AA5"/>
    <w:rsid w:val="4C8C5620"/>
    <w:rsid w:val="4CAF130F"/>
    <w:rsid w:val="4CE51278"/>
    <w:rsid w:val="4D095EAB"/>
    <w:rsid w:val="4D0A75F6"/>
    <w:rsid w:val="4D0E00FB"/>
    <w:rsid w:val="4D176606"/>
    <w:rsid w:val="4D1B711B"/>
    <w:rsid w:val="4D241C6C"/>
    <w:rsid w:val="4D3A0957"/>
    <w:rsid w:val="4D66778E"/>
    <w:rsid w:val="4D6A7408"/>
    <w:rsid w:val="4D764FBA"/>
    <w:rsid w:val="4D7F7123"/>
    <w:rsid w:val="4D987FF5"/>
    <w:rsid w:val="4DD80D25"/>
    <w:rsid w:val="4DEC4FB0"/>
    <w:rsid w:val="4E075D8A"/>
    <w:rsid w:val="4E4D0E9A"/>
    <w:rsid w:val="4E6D3F02"/>
    <w:rsid w:val="4E830CA5"/>
    <w:rsid w:val="4E9D4749"/>
    <w:rsid w:val="4EA62763"/>
    <w:rsid w:val="4EB1136E"/>
    <w:rsid w:val="4EC00FAD"/>
    <w:rsid w:val="4ECC7F56"/>
    <w:rsid w:val="4ED07AB5"/>
    <w:rsid w:val="4EDB1CEB"/>
    <w:rsid w:val="4EE86626"/>
    <w:rsid w:val="4F0C47F7"/>
    <w:rsid w:val="4F166C4D"/>
    <w:rsid w:val="4F283122"/>
    <w:rsid w:val="4F3946EC"/>
    <w:rsid w:val="4F4817CD"/>
    <w:rsid w:val="4F563CC4"/>
    <w:rsid w:val="4F5E23EC"/>
    <w:rsid w:val="4F7F321A"/>
    <w:rsid w:val="4F8A3DD9"/>
    <w:rsid w:val="4F9843DC"/>
    <w:rsid w:val="4FA03070"/>
    <w:rsid w:val="4FA273ED"/>
    <w:rsid w:val="4FA40ED3"/>
    <w:rsid w:val="4FB150E2"/>
    <w:rsid w:val="4FBE01E7"/>
    <w:rsid w:val="4FC62A8C"/>
    <w:rsid w:val="4FD31AC3"/>
    <w:rsid w:val="4FD36DD8"/>
    <w:rsid w:val="4FD65B55"/>
    <w:rsid w:val="4FE20F0D"/>
    <w:rsid w:val="4FE51552"/>
    <w:rsid w:val="50084FB8"/>
    <w:rsid w:val="500A342C"/>
    <w:rsid w:val="502F1BE9"/>
    <w:rsid w:val="50504C4B"/>
    <w:rsid w:val="507A452D"/>
    <w:rsid w:val="508A021B"/>
    <w:rsid w:val="50947199"/>
    <w:rsid w:val="509C6E7C"/>
    <w:rsid w:val="50B734E0"/>
    <w:rsid w:val="5115438B"/>
    <w:rsid w:val="51273B6A"/>
    <w:rsid w:val="51275918"/>
    <w:rsid w:val="512A670B"/>
    <w:rsid w:val="514F4E6E"/>
    <w:rsid w:val="515A3F3F"/>
    <w:rsid w:val="5162104E"/>
    <w:rsid w:val="516618B3"/>
    <w:rsid w:val="516B1460"/>
    <w:rsid w:val="518853A6"/>
    <w:rsid w:val="519B00B4"/>
    <w:rsid w:val="51A8357A"/>
    <w:rsid w:val="51E05BBD"/>
    <w:rsid w:val="51F16D0E"/>
    <w:rsid w:val="52223EDA"/>
    <w:rsid w:val="523A0A5D"/>
    <w:rsid w:val="525550C6"/>
    <w:rsid w:val="52573FC0"/>
    <w:rsid w:val="52592B7B"/>
    <w:rsid w:val="526F4F52"/>
    <w:rsid w:val="52920990"/>
    <w:rsid w:val="52B70F1D"/>
    <w:rsid w:val="52E635B0"/>
    <w:rsid w:val="53071EA5"/>
    <w:rsid w:val="53474EC8"/>
    <w:rsid w:val="535B3F9E"/>
    <w:rsid w:val="5361355D"/>
    <w:rsid w:val="53631031"/>
    <w:rsid w:val="53715570"/>
    <w:rsid w:val="5384081E"/>
    <w:rsid w:val="53996C37"/>
    <w:rsid w:val="53A039CC"/>
    <w:rsid w:val="53A1505A"/>
    <w:rsid w:val="53A45545"/>
    <w:rsid w:val="53A505C8"/>
    <w:rsid w:val="53C30FAF"/>
    <w:rsid w:val="53F817ED"/>
    <w:rsid w:val="54042715"/>
    <w:rsid w:val="54056B43"/>
    <w:rsid w:val="54063E08"/>
    <w:rsid w:val="54064005"/>
    <w:rsid w:val="543437E8"/>
    <w:rsid w:val="543458D4"/>
    <w:rsid w:val="54413194"/>
    <w:rsid w:val="54456004"/>
    <w:rsid w:val="54514F32"/>
    <w:rsid w:val="547C11A9"/>
    <w:rsid w:val="548D374D"/>
    <w:rsid w:val="54B54FC0"/>
    <w:rsid w:val="54F73313"/>
    <w:rsid w:val="54F80955"/>
    <w:rsid w:val="55056941"/>
    <w:rsid w:val="55277B39"/>
    <w:rsid w:val="553F25EE"/>
    <w:rsid w:val="555170A7"/>
    <w:rsid w:val="55580DE3"/>
    <w:rsid w:val="555D3FFE"/>
    <w:rsid w:val="557650C0"/>
    <w:rsid w:val="5587536D"/>
    <w:rsid w:val="559316EA"/>
    <w:rsid w:val="559725D5"/>
    <w:rsid w:val="55992B5C"/>
    <w:rsid w:val="559B174B"/>
    <w:rsid w:val="55CE0CF4"/>
    <w:rsid w:val="56101070"/>
    <w:rsid w:val="563D3137"/>
    <w:rsid w:val="564E1B99"/>
    <w:rsid w:val="56A35D42"/>
    <w:rsid w:val="56B0716F"/>
    <w:rsid w:val="56B22A9C"/>
    <w:rsid w:val="56EF546F"/>
    <w:rsid w:val="56F90C47"/>
    <w:rsid w:val="57113016"/>
    <w:rsid w:val="57342B3C"/>
    <w:rsid w:val="5739766F"/>
    <w:rsid w:val="57400709"/>
    <w:rsid w:val="57432CFF"/>
    <w:rsid w:val="57486F2E"/>
    <w:rsid w:val="575B7169"/>
    <w:rsid w:val="577764A7"/>
    <w:rsid w:val="5789732C"/>
    <w:rsid w:val="57AB7F1F"/>
    <w:rsid w:val="57B123DF"/>
    <w:rsid w:val="57B72A76"/>
    <w:rsid w:val="57C240FE"/>
    <w:rsid w:val="57C3426C"/>
    <w:rsid w:val="57CE1F93"/>
    <w:rsid w:val="57F22B10"/>
    <w:rsid w:val="57F34BCC"/>
    <w:rsid w:val="57FD367A"/>
    <w:rsid w:val="5853767F"/>
    <w:rsid w:val="58675193"/>
    <w:rsid w:val="586B4C53"/>
    <w:rsid w:val="587C0588"/>
    <w:rsid w:val="588743D1"/>
    <w:rsid w:val="5887701A"/>
    <w:rsid w:val="588C25B9"/>
    <w:rsid w:val="5898359F"/>
    <w:rsid w:val="589D79CE"/>
    <w:rsid w:val="58E660B8"/>
    <w:rsid w:val="58E9149D"/>
    <w:rsid w:val="58FE16DB"/>
    <w:rsid w:val="5909575A"/>
    <w:rsid w:val="59301A29"/>
    <w:rsid w:val="59385527"/>
    <w:rsid w:val="594C62E5"/>
    <w:rsid w:val="59536918"/>
    <w:rsid w:val="595B11E0"/>
    <w:rsid w:val="595E1DF5"/>
    <w:rsid w:val="596F60AE"/>
    <w:rsid w:val="597436C4"/>
    <w:rsid w:val="59BE7035"/>
    <w:rsid w:val="59C0439F"/>
    <w:rsid w:val="59C208D3"/>
    <w:rsid w:val="59C521BA"/>
    <w:rsid w:val="59C976F9"/>
    <w:rsid w:val="5A025EE6"/>
    <w:rsid w:val="5A2D1654"/>
    <w:rsid w:val="5A5D684E"/>
    <w:rsid w:val="5A5F37F7"/>
    <w:rsid w:val="5A610DD7"/>
    <w:rsid w:val="5A6E2967"/>
    <w:rsid w:val="5A860E8B"/>
    <w:rsid w:val="5AA4447D"/>
    <w:rsid w:val="5AA813C5"/>
    <w:rsid w:val="5AAA2399"/>
    <w:rsid w:val="5ABE2233"/>
    <w:rsid w:val="5ADA65A8"/>
    <w:rsid w:val="5ADC30C6"/>
    <w:rsid w:val="5AE23EE6"/>
    <w:rsid w:val="5AF56A87"/>
    <w:rsid w:val="5B527E23"/>
    <w:rsid w:val="5B8D7C5D"/>
    <w:rsid w:val="5B903F17"/>
    <w:rsid w:val="5BBB6EE2"/>
    <w:rsid w:val="5BDC2821"/>
    <w:rsid w:val="5BDF5D95"/>
    <w:rsid w:val="5BFE7528"/>
    <w:rsid w:val="5C0F4DAD"/>
    <w:rsid w:val="5C1B635E"/>
    <w:rsid w:val="5C1D03F7"/>
    <w:rsid w:val="5C240609"/>
    <w:rsid w:val="5C38645D"/>
    <w:rsid w:val="5C583771"/>
    <w:rsid w:val="5C6F122F"/>
    <w:rsid w:val="5C9F224C"/>
    <w:rsid w:val="5CAE4F2C"/>
    <w:rsid w:val="5CB92483"/>
    <w:rsid w:val="5CBC4E89"/>
    <w:rsid w:val="5CE92243"/>
    <w:rsid w:val="5D053352"/>
    <w:rsid w:val="5D24060E"/>
    <w:rsid w:val="5D2D075A"/>
    <w:rsid w:val="5D3537CA"/>
    <w:rsid w:val="5D485612"/>
    <w:rsid w:val="5D764A4E"/>
    <w:rsid w:val="5D924A61"/>
    <w:rsid w:val="5DCA244C"/>
    <w:rsid w:val="5DE6548E"/>
    <w:rsid w:val="5DF62E28"/>
    <w:rsid w:val="5E064B52"/>
    <w:rsid w:val="5E2467F1"/>
    <w:rsid w:val="5E2F0501"/>
    <w:rsid w:val="5E4B41EE"/>
    <w:rsid w:val="5E501272"/>
    <w:rsid w:val="5E567302"/>
    <w:rsid w:val="5E6A3C95"/>
    <w:rsid w:val="5E6F08FE"/>
    <w:rsid w:val="5E940365"/>
    <w:rsid w:val="5E953432"/>
    <w:rsid w:val="5EB86749"/>
    <w:rsid w:val="5EBD3CCB"/>
    <w:rsid w:val="5ECB3DA3"/>
    <w:rsid w:val="5F096FA4"/>
    <w:rsid w:val="5F1A2B43"/>
    <w:rsid w:val="5F1F4206"/>
    <w:rsid w:val="5F265F3D"/>
    <w:rsid w:val="5F2E69CE"/>
    <w:rsid w:val="5F4A781B"/>
    <w:rsid w:val="5F557AF4"/>
    <w:rsid w:val="5F630AFE"/>
    <w:rsid w:val="5F766F82"/>
    <w:rsid w:val="5F9C3975"/>
    <w:rsid w:val="5FA67458"/>
    <w:rsid w:val="5FB201C3"/>
    <w:rsid w:val="5FB30703"/>
    <w:rsid w:val="5FB837BB"/>
    <w:rsid w:val="5FF627C7"/>
    <w:rsid w:val="602F47E9"/>
    <w:rsid w:val="603718EF"/>
    <w:rsid w:val="60483136"/>
    <w:rsid w:val="606E3563"/>
    <w:rsid w:val="607C0D21"/>
    <w:rsid w:val="60AE3145"/>
    <w:rsid w:val="60BD0047"/>
    <w:rsid w:val="60BF5B6D"/>
    <w:rsid w:val="60CC405A"/>
    <w:rsid w:val="60CF1B28"/>
    <w:rsid w:val="60EF600F"/>
    <w:rsid w:val="60F4207F"/>
    <w:rsid w:val="611063C8"/>
    <w:rsid w:val="61497B2C"/>
    <w:rsid w:val="61554B37"/>
    <w:rsid w:val="61581B1D"/>
    <w:rsid w:val="61777FDF"/>
    <w:rsid w:val="61804040"/>
    <w:rsid w:val="61854E56"/>
    <w:rsid w:val="61A66601"/>
    <w:rsid w:val="61B91E36"/>
    <w:rsid w:val="61B958AD"/>
    <w:rsid w:val="61C12168"/>
    <w:rsid w:val="61C73F05"/>
    <w:rsid w:val="61E07569"/>
    <w:rsid w:val="61E215D8"/>
    <w:rsid w:val="61EF6442"/>
    <w:rsid w:val="61F25C2D"/>
    <w:rsid w:val="620836B9"/>
    <w:rsid w:val="621B3775"/>
    <w:rsid w:val="62233A0F"/>
    <w:rsid w:val="622B7232"/>
    <w:rsid w:val="62364782"/>
    <w:rsid w:val="6252656D"/>
    <w:rsid w:val="62571849"/>
    <w:rsid w:val="628250A4"/>
    <w:rsid w:val="629923ED"/>
    <w:rsid w:val="62B40FD5"/>
    <w:rsid w:val="632979B1"/>
    <w:rsid w:val="63301F64"/>
    <w:rsid w:val="634051F6"/>
    <w:rsid w:val="634D7520"/>
    <w:rsid w:val="6370314E"/>
    <w:rsid w:val="637233AA"/>
    <w:rsid w:val="63857E3E"/>
    <w:rsid w:val="6394356A"/>
    <w:rsid w:val="63B649EA"/>
    <w:rsid w:val="63C61B2C"/>
    <w:rsid w:val="63D40BE9"/>
    <w:rsid w:val="63F87DA2"/>
    <w:rsid w:val="64034473"/>
    <w:rsid w:val="640A35A3"/>
    <w:rsid w:val="64102431"/>
    <w:rsid w:val="641536A9"/>
    <w:rsid w:val="6428761B"/>
    <w:rsid w:val="642B07DF"/>
    <w:rsid w:val="642F3009"/>
    <w:rsid w:val="64442174"/>
    <w:rsid w:val="644D699F"/>
    <w:rsid w:val="64582A79"/>
    <w:rsid w:val="64947D16"/>
    <w:rsid w:val="649966D5"/>
    <w:rsid w:val="64A5243A"/>
    <w:rsid w:val="64A760F4"/>
    <w:rsid w:val="64AE1CD8"/>
    <w:rsid w:val="64E45089"/>
    <w:rsid w:val="64F531DE"/>
    <w:rsid w:val="650F6997"/>
    <w:rsid w:val="651421FF"/>
    <w:rsid w:val="651F1068"/>
    <w:rsid w:val="65227EAA"/>
    <w:rsid w:val="653012D4"/>
    <w:rsid w:val="65373578"/>
    <w:rsid w:val="656B6DB9"/>
    <w:rsid w:val="656E6E08"/>
    <w:rsid w:val="656E7B61"/>
    <w:rsid w:val="656F0669"/>
    <w:rsid w:val="6587477F"/>
    <w:rsid w:val="659456DE"/>
    <w:rsid w:val="65E322FD"/>
    <w:rsid w:val="65F8375E"/>
    <w:rsid w:val="6603474E"/>
    <w:rsid w:val="66081513"/>
    <w:rsid w:val="66182D39"/>
    <w:rsid w:val="662D5B47"/>
    <w:rsid w:val="664E4C32"/>
    <w:rsid w:val="665A5356"/>
    <w:rsid w:val="66932D32"/>
    <w:rsid w:val="66B03545"/>
    <w:rsid w:val="66B141AA"/>
    <w:rsid w:val="66B4434D"/>
    <w:rsid w:val="67024DA1"/>
    <w:rsid w:val="67030FDD"/>
    <w:rsid w:val="67112452"/>
    <w:rsid w:val="671D75E8"/>
    <w:rsid w:val="671F124A"/>
    <w:rsid w:val="672524A2"/>
    <w:rsid w:val="673646AF"/>
    <w:rsid w:val="673C79EA"/>
    <w:rsid w:val="674D2B5F"/>
    <w:rsid w:val="67613922"/>
    <w:rsid w:val="677A33C6"/>
    <w:rsid w:val="67DE6206"/>
    <w:rsid w:val="67EC1211"/>
    <w:rsid w:val="67F44A59"/>
    <w:rsid w:val="681D4348"/>
    <w:rsid w:val="681E586F"/>
    <w:rsid w:val="681F6961"/>
    <w:rsid w:val="68270967"/>
    <w:rsid w:val="682D5EC5"/>
    <w:rsid w:val="6846585C"/>
    <w:rsid w:val="68580783"/>
    <w:rsid w:val="68610A2F"/>
    <w:rsid w:val="686C2206"/>
    <w:rsid w:val="686E50C0"/>
    <w:rsid w:val="68805514"/>
    <w:rsid w:val="689654D1"/>
    <w:rsid w:val="68A17BEE"/>
    <w:rsid w:val="68B43298"/>
    <w:rsid w:val="6901702A"/>
    <w:rsid w:val="691E68CF"/>
    <w:rsid w:val="69316E2F"/>
    <w:rsid w:val="694E2071"/>
    <w:rsid w:val="695C1F70"/>
    <w:rsid w:val="696121A3"/>
    <w:rsid w:val="69734749"/>
    <w:rsid w:val="69766163"/>
    <w:rsid w:val="697A3B33"/>
    <w:rsid w:val="699639C6"/>
    <w:rsid w:val="69B95123"/>
    <w:rsid w:val="69D44760"/>
    <w:rsid w:val="69D87D3D"/>
    <w:rsid w:val="6A1646D3"/>
    <w:rsid w:val="6A1B2848"/>
    <w:rsid w:val="6A203073"/>
    <w:rsid w:val="6A241D10"/>
    <w:rsid w:val="6A471C17"/>
    <w:rsid w:val="6A481AA9"/>
    <w:rsid w:val="6A4F3D29"/>
    <w:rsid w:val="6A520EC7"/>
    <w:rsid w:val="6A6C45FA"/>
    <w:rsid w:val="6A723C50"/>
    <w:rsid w:val="6AB83FA2"/>
    <w:rsid w:val="6AC30431"/>
    <w:rsid w:val="6ACC6514"/>
    <w:rsid w:val="6AF03461"/>
    <w:rsid w:val="6AF87E20"/>
    <w:rsid w:val="6AF90DE3"/>
    <w:rsid w:val="6AFC2F8F"/>
    <w:rsid w:val="6B132F2E"/>
    <w:rsid w:val="6B160A7F"/>
    <w:rsid w:val="6B2C6190"/>
    <w:rsid w:val="6B2D1EA9"/>
    <w:rsid w:val="6B2D5529"/>
    <w:rsid w:val="6B322639"/>
    <w:rsid w:val="6B355FBB"/>
    <w:rsid w:val="6B3D0BB5"/>
    <w:rsid w:val="6B8005EE"/>
    <w:rsid w:val="6B845086"/>
    <w:rsid w:val="6B8867DC"/>
    <w:rsid w:val="6BBF43A9"/>
    <w:rsid w:val="6BDA16AB"/>
    <w:rsid w:val="6BFF06F8"/>
    <w:rsid w:val="6C0871BD"/>
    <w:rsid w:val="6C2E7E93"/>
    <w:rsid w:val="6C4514B6"/>
    <w:rsid w:val="6C6121CE"/>
    <w:rsid w:val="6C636C38"/>
    <w:rsid w:val="6C771024"/>
    <w:rsid w:val="6C8D761B"/>
    <w:rsid w:val="6C9C3206"/>
    <w:rsid w:val="6CD06CDB"/>
    <w:rsid w:val="6D2B5E36"/>
    <w:rsid w:val="6D377B05"/>
    <w:rsid w:val="6D5C086D"/>
    <w:rsid w:val="6D605124"/>
    <w:rsid w:val="6D655E2F"/>
    <w:rsid w:val="6D7266BD"/>
    <w:rsid w:val="6D803223"/>
    <w:rsid w:val="6D8E1EF1"/>
    <w:rsid w:val="6DB34098"/>
    <w:rsid w:val="6DB545B6"/>
    <w:rsid w:val="6DD16869"/>
    <w:rsid w:val="6DE02FB4"/>
    <w:rsid w:val="6DE75EA5"/>
    <w:rsid w:val="6DEE714D"/>
    <w:rsid w:val="6DF25309"/>
    <w:rsid w:val="6DFA2090"/>
    <w:rsid w:val="6E1E66B4"/>
    <w:rsid w:val="6E514CED"/>
    <w:rsid w:val="6E697425"/>
    <w:rsid w:val="6E7A54C7"/>
    <w:rsid w:val="6E9437BA"/>
    <w:rsid w:val="6EA2378D"/>
    <w:rsid w:val="6EA36ACE"/>
    <w:rsid w:val="6EB563D5"/>
    <w:rsid w:val="6EC441AA"/>
    <w:rsid w:val="6ED92677"/>
    <w:rsid w:val="6EDE6443"/>
    <w:rsid w:val="6F225983"/>
    <w:rsid w:val="6F2F1805"/>
    <w:rsid w:val="6F651447"/>
    <w:rsid w:val="6F8771F3"/>
    <w:rsid w:val="6F9D1DA6"/>
    <w:rsid w:val="6FD26F3F"/>
    <w:rsid w:val="6FEB7142"/>
    <w:rsid w:val="6FFC5590"/>
    <w:rsid w:val="70042157"/>
    <w:rsid w:val="701265B1"/>
    <w:rsid w:val="70266A24"/>
    <w:rsid w:val="702875E2"/>
    <w:rsid w:val="703B0F88"/>
    <w:rsid w:val="704A534B"/>
    <w:rsid w:val="70514F72"/>
    <w:rsid w:val="70575090"/>
    <w:rsid w:val="70616401"/>
    <w:rsid w:val="70653096"/>
    <w:rsid w:val="706D1DD0"/>
    <w:rsid w:val="706F2F57"/>
    <w:rsid w:val="7082162A"/>
    <w:rsid w:val="70856B87"/>
    <w:rsid w:val="708C17E3"/>
    <w:rsid w:val="70A40BE9"/>
    <w:rsid w:val="70AC7683"/>
    <w:rsid w:val="70BD199D"/>
    <w:rsid w:val="70CA3DA5"/>
    <w:rsid w:val="70D527EE"/>
    <w:rsid w:val="70F03B20"/>
    <w:rsid w:val="71067165"/>
    <w:rsid w:val="71264F1E"/>
    <w:rsid w:val="7130580C"/>
    <w:rsid w:val="71402D9F"/>
    <w:rsid w:val="71595953"/>
    <w:rsid w:val="715B5300"/>
    <w:rsid w:val="71A87F57"/>
    <w:rsid w:val="71BB412E"/>
    <w:rsid w:val="71CC2685"/>
    <w:rsid w:val="71D27F8A"/>
    <w:rsid w:val="71D90A58"/>
    <w:rsid w:val="72231B21"/>
    <w:rsid w:val="7238577F"/>
    <w:rsid w:val="72440F45"/>
    <w:rsid w:val="72477770"/>
    <w:rsid w:val="724A6876"/>
    <w:rsid w:val="724B6E41"/>
    <w:rsid w:val="72553024"/>
    <w:rsid w:val="7285335A"/>
    <w:rsid w:val="72952BD1"/>
    <w:rsid w:val="729B1591"/>
    <w:rsid w:val="72A65FE5"/>
    <w:rsid w:val="72AF4117"/>
    <w:rsid w:val="73017D83"/>
    <w:rsid w:val="73122968"/>
    <w:rsid w:val="731F5D5E"/>
    <w:rsid w:val="73327082"/>
    <w:rsid w:val="737444BA"/>
    <w:rsid w:val="73763CB3"/>
    <w:rsid w:val="738026EF"/>
    <w:rsid w:val="73C51AD5"/>
    <w:rsid w:val="73D17C39"/>
    <w:rsid w:val="73FB2F08"/>
    <w:rsid w:val="73FD46B4"/>
    <w:rsid w:val="7400051E"/>
    <w:rsid w:val="7400478C"/>
    <w:rsid w:val="741E793C"/>
    <w:rsid w:val="744D4DE6"/>
    <w:rsid w:val="745E3944"/>
    <w:rsid w:val="748F53FE"/>
    <w:rsid w:val="74C57072"/>
    <w:rsid w:val="74F4285A"/>
    <w:rsid w:val="750D1A10"/>
    <w:rsid w:val="75335A08"/>
    <w:rsid w:val="75342B70"/>
    <w:rsid w:val="7535469B"/>
    <w:rsid w:val="753F2B30"/>
    <w:rsid w:val="75427091"/>
    <w:rsid w:val="755B7885"/>
    <w:rsid w:val="75A1363B"/>
    <w:rsid w:val="75A650F5"/>
    <w:rsid w:val="75A95796"/>
    <w:rsid w:val="75BE0580"/>
    <w:rsid w:val="75D7492C"/>
    <w:rsid w:val="7605335E"/>
    <w:rsid w:val="76287DBE"/>
    <w:rsid w:val="7635099D"/>
    <w:rsid w:val="76402E54"/>
    <w:rsid w:val="76417F54"/>
    <w:rsid w:val="767D11E7"/>
    <w:rsid w:val="767F06B8"/>
    <w:rsid w:val="769136B0"/>
    <w:rsid w:val="76A100CB"/>
    <w:rsid w:val="76B22F6D"/>
    <w:rsid w:val="76DF3974"/>
    <w:rsid w:val="76EB6C30"/>
    <w:rsid w:val="77176BA7"/>
    <w:rsid w:val="773550B7"/>
    <w:rsid w:val="77490513"/>
    <w:rsid w:val="774D0C67"/>
    <w:rsid w:val="774E57D5"/>
    <w:rsid w:val="77762421"/>
    <w:rsid w:val="777A3855"/>
    <w:rsid w:val="777B7560"/>
    <w:rsid w:val="779B52FD"/>
    <w:rsid w:val="779C6A71"/>
    <w:rsid w:val="77A5731F"/>
    <w:rsid w:val="77B56B1F"/>
    <w:rsid w:val="77CF28E7"/>
    <w:rsid w:val="77D21DDD"/>
    <w:rsid w:val="780F09F4"/>
    <w:rsid w:val="78373060"/>
    <w:rsid w:val="78375964"/>
    <w:rsid w:val="78580EEC"/>
    <w:rsid w:val="786A240A"/>
    <w:rsid w:val="78880923"/>
    <w:rsid w:val="78883343"/>
    <w:rsid w:val="788A6608"/>
    <w:rsid w:val="788D7EA7"/>
    <w:rsid w:val="78A56F1A"/>
    <w:rsid w:val="78A90480"/>
    <w:rsid w:val="78C80CBE"/>
    <w:rsid w:val="78D67AA0"/>
    <w:rsid w:val="78D84463"/>
    <w:rsid w:val="79147C51"/>
    <w:rsid w:val="793303EF"/>
    <w:rsid w:val="79537342"/>
    <w:rsid w:val="79711576"/>
    <w:rsid w:val="798676AF"/>
    <w:rsid w:val="79974758"/>
    <w:rsid w:val="79975481"/>
    <w:rsid w:val="79AB2CDA"/>
    <w:rsid w:val="79B06543"/>
    <w:rsid w:val="79C00F8E"/>
    <w:rsid w:val="79D51B05"/>
    <w:rsid w:val="79E955B1"/>
    <w:rsid w:val="7A1414BB"/>
    <w:rsid w:val="7A22410F"/>
    <w:rsid w:val="7A364017"/>
    <w:rsid w:val="7A376F02"/>
    <w:rsid w:val="7A41363F"/>
    <w:rsid w:val="7A45729D"/>
    <w:rsid w:val="7A772BBC"/>
    <w:rsid w:val="7A812445"/>
    <w:rsid w:val="7A8265E1"/>
    <w:rsid w:val="7A8552D9"/>
    <w:rsid w:val="7A9943E3"/>
    <w:rsid w:val="7AA469C2"/>
    <w:rsid w:val="7AE55D78"/>
    <w:rsid w:val="7AE83ABA"/>
    <w:rsid w:val="7AFA1B89"/>
    <w:rsid w:val="7B243F06"/>
    <w:rsid w:val="7B346CFF"/>
    <w:rsid w:val="7B356625"/>
    <w:rsid w:val="7B531D9D"/>
    <w:rsid w:val="7B686D42"/>
    <w:rsid w:val="7B841746"/>
    <w:rsid w:val="7BA8201E"/>
    <w:rsid w:val="7BDF243B"/>
    <w:rsid w:val="7BFB0E89"/>
    <w:rsid w:val="7BFE7322"/>
    <w:rsid w:val="7C1032C9"/>
    <w:rsid w:val="7C1222C9"/>
    <w:rsid w:val="7C2559E9"/>
    <w:rsid w:val="7C336EAE"/>
    <w:rsid w:val="7C495C5B"/>
    <w:rsid w:val="7C6C5AC7"/>
    <w:rsid w:val="7C7515C0"/>
    <w:rsid w:val="7C7A7E03"/>
    <w:rsid w:val="7C9F63FA"/>
    <w:rsid w:val="7CA5314C"/>
    <w:rsid w:val="7CB6721A"/>
    <w:rsid w:val="7CC6544B"/>
    <w:rsid w:val="7CC66482"/>
    <w:rsid w:val="7CC851B8"/>
    <w:rsid w:val="7CC92247"/>
    <w:rsid w:val="7CE87DA1"/>
    <w:rsid w:val="7D0239FF"/>
    <w:rsid w:val="7D3262C6"/>
    <w:rsid w:val="7D466818"/>
    <w:rsid w:val="7D5764EE"/>
    <w:rsid w:val="7D5E40CD"/>
    <w:rsid w:val="7D8442EE"/>
    <w:rsid w:val="7DA43CC8"/>
    <w:rsid w:val="7DCD56F2"/>
    <w:rsid w:val="7DDF73F6"/>
    <w:rsid w:val="7DF6029C"/>
    <w:rsid w:val="7DF71EFF"/>
    <w:rsid w:val="7E075BE0"/>
    <w:rsid w:val="7E152423"/>
    <w:rsid w:val="7E221091"/>
    <w:rsid w:val="7E3B2F1E"/>
    <w:rsid w:val="7E3F2540"/>
    <w:rsid w:val="7E5C5697"/>
    <w:rsid w:val="7E6B7EE1"/>
    <w:rsid w:val="7E776334"/>
    <w:rsid w:val="7E7C69F3"/>
    <w:rsid w:val="7E845D64"/>
    <w:rsid w:val="7E9C4FE5"/>
    <w:rsid w:val="7EBA17D7"/>
    <w:rsid w:val="7ED92098"/>
    <w:rsid w:val="7EF81322"/>
    <w:rsid w:val="7F001CE7"/>
    <w:rsid w:val="7F1D5577"/>
    <w:rsid w:val="7F246657"/>
    <w:rsid w:val="7F4B5A3D"/>
    <w:rsid w:val="7F54786E"/>
    <w:rsid w:val="7F5A511F"/>
    <w:rsid w:val="7F635EC5"/>
    <w:rsid w:val="7FDB313B"/>
    <w:rsid w:val="7FE1060F"/>
    <w:rsid w:val="7FE231CE"/>
    <w:rsid w:val="7FE47E50"/>
    <w:rsid w:val="E7FF2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outlineLvl w:val="1"/>
    </w:pPr>
    <w:rPr>
      <w:rFonts w:ascii="Arial" w:hAnsi="Arial" w:eastAsia="黑体"/>
      <w:b/>
      <w:bCs/>
      <w:sz w:val="28"/>
      <w:szCs w:val="32"/>
    </w:rPr>
  </w:style>
  <w:style w:type="paragraph" w:styleId="2">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unhideWhenUsed/>
    <w:qFormat/>
    <w:locked/>
    <w:uiPriority w:val="0"/>
    <w:pPr>
      <w:spacing w:before="100" w:beforeAutospacing="1" w:after="100" w:afterAutospacing="1"/>
      <w:jc w:val="left"/>
      <w:outlineLvl w:val="3"/>
    </w:pPr>
    <w:rPr>
      <w:rFonts w:hint="eastAsia" w:ascii="宋体" w:hAnsi="宋体"/>
      <w:b/>
      <w:bCs/>
      <w:kern w:val="0"/>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List 3"/>
    <w:next w:val="1"/>
    <w:qFormat/>
    <w:locked/>
    <w:uiPriority w:val="0"/>
    <w:pPr>
      <w:widowControl w:val="0"/>
      <w:autoSpaceDE w:val="0"/>
      <w:autoSpaceDN w:val="0"/>
      <w:spacing w:line="288" w:lineRule="auto"/>
      <w:ind w:left="1260" w:hanging="420"/>
      <w:jc w:val="both"/>
    </w:pPr>
    <w:rPr>
      <w:rFonts w:ascii="Times New Roman" w:hAnsi="Times New Roman" w:eastAsia="宋体" w:cs="Times New Roman"/>
      <w:kern w:val="2"/>
      <w:sz w:val="24"/>
      <w:szCs w:val="21"/>
      <w:lang w:val="en-US" w:eastAsia="zh-CN" w:bidi="ar-SA"/>
    </w:rPr>
  </w:style>
  <w:style w:type="paragraph" w:styleId="7">
    <w:name w:val="toc 7"/>
    <w:basedOn w:val="1"/>
    <w:next w:val="1"/>
    <w:qFormat/>
    <w:locked/>
    <w:uiPriority w:val="0"/>
    <w:pPr>
      <w:ind w:left="2520"/>
    </w:pPr>
  </w:style>
  <w:style w:type="paragraph" w:styleId="8">
    <w:name w:val="Normal Indent"/>
    <w:basedOn w:val="1"/>
    <w:qFormat/>
    <w:locked/>
    <w:uiPriority w:val="0"/>
    <w:pPr>
      <w:adjustRightInd w:val="0"/>
      <w:snapToGrid w:val="0"/>
      <w:spacing w:line="300" w:lineRule="auto"/>
    </w:pPr>
    <w:rPr>
      <w:rFonts w:ascii="仿宋_GB2312" w:eastAsia="仿宋_GB2312"/>
      <w:sz w:val="28"/>
    </w:rPr>
  </w:style>
  <w:style w:type="paragraph" w:styleId="9">
    <w:name w:val="annotation text"/>
    <w:basedOn w:val="1"/>
    <w:link w:val="39"/>
    <w:semiHidden/>
    <w:qFormat/>
    <w:uiPriority w:val="0"/>
    <w:pPr>
      <w:jc w:val="left"/>
    </w:pPr>
    <w:rPr>
      <w:kern w:val="0"/>
      <w:sz w:val="24"/>
      <w:szCs w:val="20"/>
    </w:rPr>
  </w:style>
  <w:style w:type="paragraph" w:styleId="10">
    <w:name w:val="Salutation"/>
    <w:basedOn w:val="1"/>
    <w:next w:val="1"/>
    <w:qFormat/>
    <w:locked/>
    <w:uiPriority w:val="0"/>
    <w:pPr>
      <w:adjustRightInd w:val="0"/>
      <w:spacing w:line="360" w:lineRule="atLeast"/>
      <w:textAlignment w:val="baseline"/>
    </w:pPr>
    <w:rPr>
      <w:rFonts w:ascii="宋体" w:hAnsi="华文宋体"/>
      <w:sz w:val="28"/>
    </w:rPr>
  </w:style>
  <w:style w:type="paragraph" w:styleId="11">
    <w:name w:val="Body Text"/>
    <w:basedOn w:val="1"/>
    <w:next w:val="1"/>
    <w:link w:val="40"/>
    <w:qFormat/>
    <w:uiPriority w:val="0"/>
    <w:pPr>
      <w:widowControl/>
      <w:snapToGrid w:val="0"/>
      <w:spacing w:before="60" w:after="160" w:line="259" w:lineRule="auto"/>
      <w:ind w:right="113"/>
    </w:pPr>
    <w:rPr>
      <w:kern w:val="0"/>
      <w:sz w:val="18"/>
      <w:szCs w:val="20"/>
    </w:rPr>
  </w:style>
  <w:style w:type="paragraph" w:styleId="12">
    <w:name w:val="Body Text Indent"/>
    <w:basedOn w:val="1"/>
    <w:link w:val="41"/>
    <w:qFormat/>
    <w:uiPriority w:val="0"/>
    <w:pPr>
      <w:spacing w:after="120"/>
      <w:ind w:left="420" w:leftChars="200"/>
    </w:pPr>
    <w:rPr>
      <w:kern w:val="0"/>
      <w:sz w:val="24"/>
      <w:szCs w:val="20"/>
    </w:rPr>
  </w:style>
  <w:style w:type="paragraph" w:styleId="13">
    <w:name w:val="Plain Text"/>
    <w:basedOn w:val="1"/>
    <w:next w:val="14"/>
    <w:qFormat/>
    <w:locked/>
    <w:uiPriority w:val="99"/>
    <w:rPr>
      <w:rFonts w:ascii="宋体" w:hAnsi="Courier New"/>
    </w:rPr>
  </w:style>
  <w:style w:type="paragraph" w:styleId="14">
    <w:name w:val="toc 1"/>
    <w:basedOn w:val="1"/>
    <w:next w:val="1"/>
    <w:qFormat/>
    <w:locked/>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15">
    <w:name w:val="Date"/>
    <w:basedOn w:val="1"/>
    <w:next w:val="1"/>
    <w:link w:val="42"/>
    <w:qFormat/>
    <w:uiPriority w:val="0"/>
    <w:pPr>
      <w:ind w:left="100" w:leftChars="2500"/>
    </w:pPr>
    <w:rPr>
      <w:kern w:val="0"/>
      <w:sz w:val="24"/>
      <w:szCs w:val="20"/>
    </w:rPr>
  </w:style>
  <w:style w:type="paragraph" w:styleId="16">
    <w:name w:val="Balloon Text"/>
    <w:basedOn w:val="1"/>
    <w:link w:val="43"/>
    <w:semiHidden/>
    <w:qFormat/>
    <w:uiPriority w:val="0"/>
    <w:rPr>
      <w:kern w:val="0"/>
      <w:sz w:val="18"/>
      <w:szCs w:val="20"/>
    </w:rPr>
  </w:style>
  <w:style w:type="paragraph" w:styleId="17">
    <w:name w:val="footer"/>
    <w:basedOn w:val="1"/>
    <w:link w:val="44"/>
    <w:qFormat/>
    <w:uiPriority w:val="99"/>
    <w:pPr>
      <w:tabs>
        <w:tab w:val="center" w:pos="4153"/>
        <w:tab w:val="right" w:pos="8306"/>
      </w:tabs>
      <w:snapToGrid w:val="0"/>
      <w:jc w:val="left"/>
    </w:pPr>
    <w:rPr>
      <w:kern w:val="0"/>
      <w:sz w:val="18"/>
      <w:szCs w:val="20"/>
    </w:rPr>
  </w:style>
  <w:style w:type="paragraph" w:styleId="18">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qFormat/>
    <w:locked/>
    <w:uiPriority w:val="0"/>
    <w:rPr>
      <w:szCs w:val="20"/>
    </w:rPr>
  </w:style>
  <w:style w:type="paragraph" w:styleId="20">
    <w:name w:val="index 1"/>
    <w:basedOn w:val="1"/>
    <w:next w:val="1"/>
    <w:qFormat/>
    <w:locked/>
    <w:uiPriority w:val="0"/>
    <w:pPr>
      <w:widowControl/>
      <w:adjustRightInd w:val="0"/>
      <w:snapToGrid w:val="0"/>
      <w:spacing w:line="0" w:lineRule="atLeast"/>
      <w:jc w:val="center"/>
    </w:pPr>
    <w:rPr>
      <w:kern w:val="0"/>
      <w:lang w:eastAsia="en-US" w:bidi="en-US"/>
    </w:rPr>
  </w:style>
  <w:style w:type="paragraph" w:styleId="21">
    <w:name w:val="List"/>
    <w:basedOn w:val="1"/>
    <w:unhideWhenUsed/>
    <w:qFormat/>
    <w:locked/>
    <w:uiPriority w:val="0"/>
    <w:pPr>
      <w:spacing w:line="400" w:lineRule="exact"/>
      <w:jc w:val="center"/>
    </w:pPr>
    <w:rPr>
      <w:rFonts w:ascii="宋体" w:hAnsi="宋体"/>
      <w:sz w:val="24"/>
      <w:szCs w:val="20"/>
    </w:rPr>
  </w:style>
  <w:style w:type="paragraph" w:styleId="22">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47"/>
    <w:semiHidden/>
    <w:qFormat/>
    <w:uiPriority w:val="0"/>
    <w:rPr>
      <w:b/>
    </w:rPr>
  </w:style>
  <w:style w:type="paragraph" w:styleId="24">
    <w:name w:val="Body Text First Indent"/>
    <w:basedOn w:val="11"/>
    <w:qFormat/>
    <w:locked/>
    <w:uiPriority w:val="0"/>
    <w:pPr>
      <w:adjustRightInd w:val="0"/>
      <w:ind w:firstLine="420" w:firstLineChars="100"/>
    </w:pPr>
    <w:rPr>
      <w:sz w:val="28"/>
      <w:szCs w:val="24"/>
      <w:lang w:eastAsia="en-US" w:bidi="en-US"/>
    </w:rPr>
  </w:style>
  <w:style w:type="paragraph" w:styleId="25">
    <w:name w:val="Body Text First Indent 2"/>
    <w:basedOn w:val="1"/>
    <w:next w:val="1"/>
    <w:qFormat/>
    <w:locked/>
    <w:uiPriority w:val="0"/>
    <w:pPr>
      <w:spacing w:before="60" w:after="120"/>
      <w:ind w:left="420" w:firstLine="210"/>
    </w:pPr>
    <w:rPr>
      <w:kern w:val="0"/>
      <w:sz w:val="18"/>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basedOn w:val="28"/>
    <w:qFormat/>
    <w:locked/>
    <w:uiPriority w:val="0"/>
  </w:style>
  <w:style w:type="character" w:styleId="31">
    <w:name w:val="FollowedHyperlink"/>
    <w:basedOn w:val="28"/>
    <w:qFormat/>
    <w:locked/>
    <w:uiPriority w:val="0"/>
    <w:rPr>
      <w:color w:val="185ECF"/>
      <w:u w:val="none"/>
    </w:rPr>
  </w:style>
  <w:style w:type="character" w:styleId="32">
    <w:name w:val="Emphasis"/>
    <w:basedOn w:val="28"/>
    <w:qFormat/>
    <w:locked/>
    <w:uiPriority w:val="0"/>
    <w:rPr>
      <w:i/>
    </w:rPr>
  </w:style>
  <w:style w:type="character" w:styleId="33">
    <w:name w:val="Hyperlink"/>
    <w:basedOn w:val="28"/>
    <w:unhideWhenUsed/>
    <w:qFormat/>
    <w:locked/>
    <w:uiPriority w:val="0"/>
    <w:rPr>
      <w:color w:val="136EC2"/>
      <w:u w:val="single"/>
    </w:rPr>
  </w:style>
  <w:style w:type="character" w:styleId="34">
    <w:name w:val="annotation reference"/>
    <w:semiHidden/>
    <w:qFormat/>
    <w:uiPriority w:val="0"/>
    <w:rPr>
      <w:sz w:val="21"/>
    </w:rPr>
  </w:style>
  <w:style w:type="paragraph" w:customStyle="1" w:styleId="35">
    <w:name w:val="Default"/>
    <w:basedOn w:val="36"/>
    <w:qFormat/>
    <w:uiPriority w:val="0"/>
    <w:pPr>
      <w:autoSpaceDE w:val="0"/>
      <w:autoSpaceDN w:val="0"/>
      <w:adjustRightInd w:val="0"/>
      <w:spacing w:after="200" w:line="276" w:lineRule="auto"/>
    </w:pPr>
    <w:rPr>
      <w:rFonts w:ascii="仿宋_GB2312" w:cs="仿宋_GB2312"/>
      <w:color w:val="000000"/>
      <w:sz w:val="24"/>
    </w:rPr>
  </w:style>
  <w:style w:type="paragraph" w:customStyle="1" w:styleId="36">
    <w:name w:val="标题 段落4级"/>
    <w:basedOn w:val="37"/>
    <w:qFormat/>
    <w:uiPriority w:val="0"/>
    <w:pPr>
      <w:outlineLvl w:val="3"/>
    </w:pPr>
    <w:rPr>
      <w:rFonts w:cs="Calibri"/>
      <w:b/>
    </w:rPr>
  </w:style>
  <w:style w:type="paragraph" w:customStyle="1" w:styleId="37">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38">
    <w:name w:val="样式1"/>
    <w:basedOn w:val="19"/>
    <w:next w:val="1"/>
    <w:qFormat/>
    <w:uiPriority w:val="0"/>
    <w:pPr>
      <w:widowControl/>
      <w:adjustRightInd w:val="0"/>
      <w:snapToGrid w:val="0"/>
      <w:jc w:val="center"/>
    </w:pPr>
    <w:rPr>
      <w:rFonts w:ascii="宋体" w:hAnsi="宋体"/>
      <w:spacing w:val="-12"/>
      <w:kern w:val="0"/>
      <w:szCs w:val="28"/>
      <w:lang w:eastAsia="en-US" w:bidi="en-US"/>
    </w:rPr>
  </w:style>
  <w:style w:type="character" w:customStyle="1" w:styleId="39">
    <w:name w:val="批注文字 字符"/>
    <w:link w:val="9"/>
    <w:qFormat/>
    <w:locked/>
    <w:uiPriority w:val="0"/>
    <w:rPr>
      <w:rFonts w:ascii="Times New Roman" w:hAnsi="Times New Roman" w:eastAsia="宋体"/>
      <w:sz w:val="24"/>
    </w:rPr>
  </w:style>
  <w:style w:type="character" w:customStyle="1" w:styleId="40">
    <w:name w:val="正文文本 字符"/>
    <w:link w:val="11"/>
    <w:qFormat/>
    <w:locked/>
    <w:uiPriority w:val="0"/>
    <w:rPr>
      <w:sz w:val="18"/>
    </w:rPr>
  </w:style>
  <w:style w:type="character" w:customStyle="1" w:styleId="41">
    <w:name w:val="正文文本缩进 字符"/>
    <w:link w:val="12"/>
    <w:semiHidden/>
    <w:qFormat/>
    <w:locked/>
    <w:uiPriority w:val="0"/>
    <w:rPr>
      <w:rFonts w:ascii="Times New Roman" w:hAnsi="Times New Roman" w:eastAsia="宋体"/>
      <w:sz w:val="24"/>
    </w:rPr>
  </w:style>
  <w:style w:type="character" w:customStyle="1" w:styleId="42">
    <w:name w:val="日期 字符1"/>
    <w:link w:val="15"/>
    <w:qFormat/>
    <w:locked/>
    <w:uiPriority w:val="0"/>
    <w:rPr>
      <w:rFonts w:ascii="Times New Roman" w:hAnsi="Times New Roman" w:eastAsia="宋体"/>
      <w:sz w:val="24"/>
    </w:rPr>
  </w:style>
  <w:style w:type="character" w:customStyle="1" w:styleId="43">
    <w:name w:val="批注框文本 字符"/>
    <w:link w:val="16"/>
    <w:semiHidden/>
    <w:qFormat/>
    <w:locked/>
    <w:uiPriority w:val="0"/>
    <w:rPr>
      <w:rFonts w:ascii="Times New Roman" w:hAnsi="Times New Roman" w:eastAsia="宋体"/>
      <w:sz w:val="18"/>
    </w:rPr>
  </w:style>
  <w:style w:type="character" w:customStyle="1" w:styleId="44">
    <w:name w:val="页脚 字符1"/>
    <w:link w:val="17"/>
    <w:qFormat/>
    <w:locked/>
    <w:uiPriority w:val="99"/>
    <w:rPr>
      <w:sz w:val="18"/>
    </w:rPr>
  </w:style>
  <w:style w:type="character" w:customStyle="1" w:styleId="45">
    <w:name w:val="页眉 字符"/>
    <w:link w:val="18"/>
    <w:qFormat/>
    <w:locked/>
    <w:uiPriority w:val="0"/>
    <w:rPr>
      <w:sz w:val="18"/>
    </w:rPr>
  </w:style>
  <w:style w:type="character" w:customStyle="1" w:styleId="46">
    <w:name w:val="普通(网站) 字符"/>
    <w:link w:val="22"/>
    <w:qFormat/>
    <w:locked/>
    <w:uiPriority w:val="0"/>
    <w:rPr>
      <w:rFonts w:ascii="宋体" w:hAnsi="宋体" w:eastAsia="宋体"/>
      <w:sz w:val="24"/>
    </w:rPr>
  </w:style>
  <w:style w:type="character" w:customStyle="1" w:styleId="47">
    <w:name w:val="批注主题 字符"/>
    <w:link w:val="23"/>
    <w:semiHidden/>
    <w:qFormat/>
    <w:locked/>
    <w:uiPriority w:val="0"/>
    <w:rPr>
      <w:rFonts w:ascii="Times New Roman" w:hAnsi="Times New Roman" w:eastAsia="宋体"/>
      <w:b/>
      <w:kern w:val="2"/>
      <w:sz w:val="24"/>
    </w:rPr>
  </w:style>
  <w:style w:type="paragraph" w:customStyle="1" w:styleId="48">
    <w:name w:val="0正文"/>
    <w:basedOn w:val="22"/>
    <w:qFormat/>
    <w:uiPriority w:val="0"/>
    <w:pPr>
      <w:spacing w:before="0" w:beforeAutospacing="0" w:after="0" w:afterAutospacing="0"/>
      <w:ind w:firstLine="482"/>
      <w:jc w:val="both"/>
    </w:pPr>
    <w:rPr>
      <w:rFonts w:ascii="Times New Roman" w:hAnsi="Times New Roman"/>
      <w:kern w:val="2"/>
    </w:rPr>
  </w:style>
  <w:style w:type="paragraph" w:customStyle="1" w:styleId="49">
    <w:name w:val="样式35"/>
    <w:basedOn w:val="1"/>
    <w:next w:val="1"/>
    <w:qFormat/>
    <w:uiPriority w:val="0"/>
    <w:pPr>
      <w:spacing w:line="312" w:lineRule="auto"/>
      <w:ind w:firstLine="567"/>
    </w:pPr>
    <w:rPr>
      <w:rFonts w:ascii="宋体"/>
      <w:sz w:val="28"/>
    </w:rPr>
  </w:style>
  <w:style w:type="character" w:customStyle="1" w:styleId="50">
    <w:name w:val="日期 字符"/>
    <w:semiHidden/>
    <w:qFormat/>
    <w:uiPriority w:val="0"/>
    <w:rPr>
      <w:rFonts w:ascii="Times New Roman" w:hAnsi="Times New Roman" w:eastAsia="宋体"/>
      <w:sz w:val="24"/>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页脚 字符"/>
    <w:basedOn w:val="28"/>
    <w:qFormat/>
    <w:uiPriority w:val="99"/>
  </w:style>
  <w:style w:type="character" w:customStyle="1" w:styleId="54">
    <w:name w:val="表格 Char"/>
    <w:link w:val="55"/>
    <w:qFormat/>
    <w:locked/>
    <w:uiPriority w:val="0"/>
    <w:rPr>
      <w:rFonts w:ascii="宋体"/>
      <w:sz w:val="21"/>
    </w:rPr>
  </w:style>
  <w:style w:type="paragraph" w:customStyle="1" w:styleId="55">
    <w:name w:val="表格"/>
    <w:basedOn w:val="56"/>
    <w:link w:val="54"/>
    <w:qFormat/>
    <w:uiPriority w:val="0"/>
    <w:pPr>
      <w:spacing w:beforeLines="10" w:afterLines="10" w:line="259" w:lineRule="auto"/>
    </w:pPr>
    <w:rPr>
      <w:rFonts w:ascii="宋体"/>
      <w:kern w:val="0"/>
      <w:szCs w:val="20"/>
    </w:rPr>
  </w:style>
  <w:style w:type="paragraph" w:customStyle="1" w:styleId="56">
    <w:name w:val="表头"/>
    <w:basedOn w:val="57"/>
    <w:qFormat/>
    <w:uiPriority w:val="0"/>
    <w:pPr>
      <w:spacing w:line="240" w:lineRule="auto"/>
      <w:ind w:firstLine="422"/>
      <w:jc w:val="center"/>
    </w:pPr>
    <w:rPr>
      <w:sz w:val="21"/>
      <w:szCs w:val="21"/>
    </w:rPr>
  </w:style>
  <w:style w:type="paragraph" w:customStyle="1" w:styleId="57">
    <w:name w:val="文本"/>
    <w:basedOn w:val="1"/>
    <w:next w:val="1"/>
    <w:qFormat/>
    <w:uiPriority w:val="0"/>
    <w:pPr>
      <w:adjustRightInd w:val="0"/>
      <w:snapToGrid w:val="0"/>
      <w:spacing w:line="360" w:lineRule="auto"/>
      <w:ind w:firstLine="1446" w:firstLineChars="200"/>
    </w:pPr>
    <w:rPr>
      <w:sz w:val="24"/>
    </w:rPr>
  </w:style>
  <w:style w:type="paragraph" w:customStyle="1" w:styleId="58">
    <w:name w:val="图表"/>
    <w:basedOn w:val="1"/>
    <w:qFormat/>
    <w:uiPriority w:val="0"/>
    <w:pPr>
      <w:adjustRightInd w:val="0"/>
      <w:snapToGrid w:val="0"/>
      <w:jc w:val="center"/>
    </w:pPr>
    <w:rPr>
      <w:color w:val="000000"/>
      <w:szCs w:val="21"/>
      <w:lang w:val="zh-CN"/>
    </w:rPr>
  </w:style>
  <w:style w:type="paragraph" w:customStyle="1" w:styleId="59">
    <w:name w:val="样式 表文字 + 左侧:  -0.85 厘米"/>
    <w:basedOn w:val="1"/>
    <w:qFormat/>
    <w:uiPriority w:val="0"/>
    <w:pPr>
      <w:widowControl/>
      <w:jc w:val="center"/>
    </w:pPr>
    <w:rPr>
      <w:rFonts w:ascii="Arial" w:hAnsi="Arial" w:eastAsia="仿宋_GB2312" w:cs="宋体"/>
      <w:kern w:val="0"/>
    </w:rPr>
  </w:style>
  <w:style w:type="paragraph" w:customStyle="1" w:styleId="60">
    <w:name w:val="图、表"/>
    <w:basedOn w:val="1"/>
    <w:qFormat/>
    <w:uiPriority w:val="0"/>
    <w:pPr>
      <w:jc w:val="center"/>
    </w:pPr>
    <w:rPr>
      <w:b/>
    </w:rPr>
  </w:style>
  <w:style w:type="paragraph" w:customStyle="1" w:styleId="61">
    <w:name w:val="表标题"/>
    <w:next w:val="1"/>
    <w:qFormat/>
    <w:uiPriority w:val="0"/>
    <w:pPr>
      <w:spacing w:before="60"/>
      <w:jc w:val="center"/>
    </w:pPr>
    <w:rPr>
      <w:rFonts w:ascii="Calibri" w:hAnsi="Calibri" w:eastAsia="宋体" w:cs="Times New Roman"/>
      <w:b/>
      <w:kern w:val="2"/>
      <w:sz w:val="24"/>
      <w:szCs w:val="24"/>
      <w:lang w:val="en-US" w:eastAsia="zh-CN" w:bidi="ar-SA"/>
    </w:rPr>
  </w:style>
  <w:style w:type="paragraph" w:customStyle="1" w:styleId="62">
    <w:name w:val="表格内文字"/>
    <w:basedOn w:val="1"/>
    <w:qFormat/>
    <w:uiPriority w:val="0"/>
    <w:pPr>
      <w:tabs>
        <w:tab w:val="left" w:pos="0"/>
      </w:tabs>
      <w:adjustRightInd w:val="0"/>
      <w:snapToGrid w:val="0"/>
      <w:jc w:val="center"/>
    </w:pPr>
    <w:rPr>
      <w:spacing w:val="4"/>
      <w:kern w:val="18"/>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表格1"/>
    <w:basedOn w:val="1"/>
    <w:qFormat/>
    <w:uiPriority w:val="0"/>
    <w:pPr>
      <w:adjustRightInd w:val="0"/>
      <w:snapToGrid w:val="0"/>
      <w:jc w:val="center"/>
    </w:pPr>
    <w:rPr>
      <w:szCs w:val="21"/>
    </w:rPr>
  </w:style>
  <w:style w:type="paragraph" w:customStyle="1" w:styleId="65">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66">
    <w:name w:val="表格文字2"/>
    <w:basedOn w:val="67"/>
    <w:qFormat/>
    <w:uiPriority w:val="0"/>
    <w:pPr>
      <w:tabs>
        <w:tab w:val="left" w:pos="277"/>
        <w:tab w:val="left" w:pos="600"/>
        <w:tab w:val="left" w:pos="780"/>
        <w:tab w:val="left" w:pos="2517"/>
      </w:tabs>
      <w:textAlignment w:val="baseline"/>
    </w:pPr>
    <w:rPr>
      <w:kern w:val="0"/>
      <w:szCs w:val="21"/>
    </w:rPr>
  </w:style>
  <w:style w:type="paragraph" w:customStyle="1" w:styleId="67">
    <w:name w:val="表格文字"/>
    <w:basedOn w:val="13"/>
    <w:qFormat/>
    <w:uiPriority w:val="0"/>
    <w:pPr>
      <w:widowControl/>
      <w:adjustRightInd w:val="0"/>
      <w:snapToGrid w:val="0"/>
      <w:jc w:val="center"/>
    </w:pPr>
    <w:rPr>
      <w:rFonts w:ascii="仿宋_GB2312" w:hAnsi="Arial Black" w:eastAsia="仿宋_GB2312"/>
      <w:kern w:val="44"/>
      <w:lang w:eastAsia="en-US" w:bidi="en-US"/>
    </w:rPr>
  </w:style>
  <w:style w:type="paragraph" w:customStyle="1" w:styleId="68">
    <w:name w:val="引用1"/>
    <w:basedOn w:val="1"/>
    <w:next w:val="1"/>
    <w:qFormat/>
    <w:uiPriority w:val="29"/>
    <w:pPr>
      <w:widowControl/>
      <w:adjustRightInd w:val="0"/>
      <w:snapToGrid w:val="0"/>
    </w:pPr>
    <w:rPr>
      <w:i/>
      <w:kern w:val="0"/>
      <w:lang w:eastAsia="en-US" w:bidi="en-US"/>
    </w:rPr>
  </w:style>
  <w:style w:type="paragraph" w:customStyle="1" w:styleId="69">
    <w:name w:val="新正文"/>
    <w:basedOn w:val="1"/>
    <w:qFormat/>
    <w:uiPriority w:val="0"/>
    <w:pPr>
      <w:spacing w:line="480" w:lineRule="exact"/>
      <w:ind w:firstLine="567"/>
    </w:pPr>
    <w:rPr>
      <w:rFonts w:ascii="仿宋_GB2312" w:eastAsia="仿宋_GB2312"/>
      <w:bCs/>
      <w:kern w:val="0"/>
      <w:sz w:val="28"/>
      <w:szCs w:val="21"/>
    </w:rPr>
  </w:style>
  <w:style w:type="paragraph" w:customStyle="1" w:styleId="70">
    <w:name w:val="!正文"/>
    <w:basedOn w:val="1"/>
    <w:qFormat/>
    <w:uiPriority w:val="0"/>
    <w:pPr>
      <w:tabs>
        <w:tab w:val="left" w:pos="840"/>
      </w:tabs>
      <w:spacing w:line="312" w:lineRule="auto"/>
      <w:ind w:firstLine="200" w:firstLineChars="200"/>
    </w:pPr>
    <w:rPr>
      <w:sz w:val="24"/>
    </w:rPr>
  </w:style>
  <w:style w:type="paragraph" w:customStyle="1" w:styleId="71">
    <w:name w:val="CM10"/>
    <w:basedOn w:val="1"/>
    <w:next w:val="1"/>
    <w:qFormat/>
    <w:uiPriority w:val="0"/>
    <w:pPr>
      <w:autoSpaceDE w:val="0"/>
      <w:autoSpaceDN w:val="0"/>
      <w:adjustRightInd w:val="0"/>
      <w:spacing w:line="560" w:lineRule="atLeast"/>
      <w:jc w:val="left"/>
    </w:pPr>
    <w:rPr>
      <w:rFonts w:ascii="..ì." w:eastAsia="..ì."/>
      <w:kern w:val="0"/>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首行缩进"/>
    <w:basedOn w:val="1"/>
    <w:qFormat/>
    <w:uiPriority w:val="0"/>
    <w:pPr>
      <w:adjustRightInd w:val="0"/>
      <w:snapToGrid w:val="0"/>
      <w:ind w:firstLine="480"/>
    </w:pPr>
  </w:style>
  <w:style w:type="paragraph" w:customStyle="1" w:styleId="74">
    <w:name w:val="样式 宋体 小四 两端对齐 首行缩进:  0.85 厘米 行距: 1.5 倍行距"/>
    <w:basedOn w:val="1"/>
    <w:qFormat/>
    <w:uiPriority w:val="0"/>
    <w:pPr>
      <w:widowControl/>
      <w:ind w:firstLine="482"/>
    </w:pPr>
    <w:rPr>
      <w:kern w:val="0"/>
    </w:rPr>
  </w:style>
  <w:style w:type="paragraph" w:customStyle="1" w:styleId="75">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character" w:customStyle="1" w:styleId="76">
    <w:name w:val="font01"/>
    <w:basedOn w:val="28"/>
    <w:qFormat/>
    <w:uiPriority w:val="0"/>
    <w:rPr>
      <w:rFonts w:hint="eastAsia" w:ascii="宋体" w:hAnsi="宋体" w:eastAsia="宋体" w:cs="宋体"/>
      <w:color w:val="000000"/>
      <w:sz w:val="24"/>
      <w:szCs w:val="24"/>
      <w:u w:val="none"/>
    </w:rPr>
  </w:style>
  <w:style w:type="paragraph" w:customStyle="1" w:styleId="77">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character" w:customStyle="1" w:styleId="78">
    <w:name w:val="NormalCharacter"/>
    <w:semiHidden/>
    <w:qFormat/>
    <w:uiPriority w:val="0"/>
    <w:rPr>
      <w:kern w:val="2"/>
      <w:sz w:val="21"/>
      <w:szCs w:val="24"/>
      <w:lang w:val="en-US" w:eastAsia="zh-CN" w:bidi="ar-SA"/>
    </w:rPr>
  </w:style>
  <w:style w:type="paragraph" w:customStyle="1" w:styleId="79">
    <w:name w:val="Table Paragraph"/>
    <w:basedOn w:val="1"/>
    <w:qFormat/>
    <w:uiPriority w:val="0"/>
    <w:pPr>
      <w:spacing w:line="360" w:lineRule="auto"/>
      <w:ind w:firstLine="200" w:firstLineChars="200"/>
      <w:jc w:val="center"/>
    </w:pPr>
    <w:rPr>
      <w:rFonts w:ascii="宋体" w:hAnsi="宋体" w:cs="宋体"/>
      <w:sz w:val="24"/>
    </w:rPr>
  </w:style>
  <w:style w:type="paragraph" w:customStyle="1" w:styleId="80">
    <w:name w:val="样式 样式 正文缩进正文（首行缩进两字） Char Char Char Char Char Char Char表格标题标题4文...."/>
    <w:basedOn w:val="81"/>
    <w:qFormat/>
    <w:uiPriority w:val="0"/>
  </w:style>
  <w:style w:type="paragraph" w:customStyle="1" w:styleId="81">
    <w:name w:val="样式 正文缩进正文（首行缩进两字） Char Char Char Char Char Char Char表格标题标题4文..."/>
    <w:basedOn w:val="8"/>
    <w:qFormat/>
    <w:uiPriority w:val="99"/>
    <w:pPr>
      <w:overflowPunct w:val="0"/>
      <w:spacing w:line="500" w:lineRule="exact"/>
      <w:ind w:firstLine="200" w:firstLineChars="200"/>
      <w:jc w:val="left"/>
    </w:pPr>
    <w:rPr>
      <w:rFonts w:ascii="宋体" w:hAnsi="宋体" w:cs="宋体"/>
    </w:rPr>
  </w:style>
  <w:style w:type="paragraph" w:customStyle="1" w:styleId="82">
    <w:name w:val="报告表格"/>
    <w:basedOn w:val="1"/>
    <w:qFormat/>
    <w:uiPriority w:val="0"/>
    <w:pPr>
      <w:autoSpaceDE w:val="0"/>
      <w:autoSpaceDN w:val="0"/>
      <w:adjustRightInd w:val="0"/>
      <w:spacing w:before="40" w:after="40"/>
      <w:jc w:val="center"/>
    </w:pPr>
    <w:rPr>
      <w:kern w:val="0"/>
      <w:szCs w:val="20"/>
    </w:rPr>
  </w:style>
  <w:style w:type="paragraph" w:customStyle="1" w:styleId="83">
    <w:name w:val="zl正文"/>
    <w:basedOn w:val="1"/>
    <w:qFormat/>
    <w:uiPriority w:val="0"/>
    <w:pPr>
      <w:spacing w:line="360" w:lineRule="auto"/>
      <w:ind w:firstLine="480" w:firstLineChars="200"/>
    </w:pPr>
    <w:rPr>
      <w:sz w:val="24"/>
    </w:rPr>
  </w:style>
  <w:style w:type="paragraph" w:customStyle="1" w:styleId="84">
    <w:name w:val="环评"/>
    <w:basedOn w:val="1"/>
    <w:qFormat/>
    <w:uiPriority w:val="0"/>
    <w:pPr>
      <w:adjustRightInd w:val="0"/>
      <w:snapToGrid w:val="0"/>
      <w:spacing w:line="360" w:lineRule="auto"/>
      <w:ind w:firstLine="360" w:firstLineChars="200"/>
    </w:pPr>
    <w:rPr>
      <w:szCs w:val="18"/>
    </w:rPr>
  </w:style>
  <w:style w:type="paragraph" w:customStyle="1" w:styleId="85">
    <w:name w:val="表文"/>
    <w:basedOn w:val="1"/>
    <w:qFormat/>
    <w:uiPriority w:val="0"/>
    <w:pPr>
      <w:adjustRightInd w:val="0"/>
      <w:snapToGrid w:val="0"/>
      <w:jc w:val="center"/>
    </w:pPr>
    <w:rPr>
      <w:sz w:val="18"/>
      <w:szCs w:val="21"/>
    </w:rPr>
  </w:style>
  <w:style w:type="character" w:customStyle="1" w:styleId="86">
    <w:name w:val="checkbox"/>
    <w:basedOn w:val="28"/>
    <w:qFormat/>
    <w:uiPriority w:val="0"/>
  </w:style>
  <w:style w:type="character" w:customStyle="1" w:styleId="87">
    <w:name w:val="shenbao"/>
    <w:basedOn w:val="28"/>
    <w:qFormat/>
    <w:uiPriority w:val="0"/>
    <w:rPr>
      <w:color w:val="EF6334"/>
    </w:rPr>
  </w:style>
  <w:style w:type="character" w:customStyle="1" w:styleId="88">
    <w:name w:val="chakan"/>
    <w:basedOn w:val="28"/>
    <w:qFormat/>
    <w:uiPriority w:val="0"/>
    <w:rPr>
      <w:color w:val="0064EA"/>
    </w:rPr>
  </w:style>
  <w:style w:type="paragraph" w:styleId="89">
    <w:name w:val="List Paragraph"/>
    <w:basedOn w:val="1"/>
    <w:qFormat/>
    <w:uiPriority w:val="34"/>
    <w:pPr>
      <w:ind w:firstLine="420"/>
    </w:pPr>
  </w:style>
  <w:style w:type="paragraph" w:customStyle="1" w:styleId="90">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rPr>
  </w:style>
  <w:style w:type="paragraph" w:customStyle="1" w:styleId="91">
    <w:name w:val="正文-lcc"/>
    <w:basedOn w:val="1"/>
    <w:qFormat/>
    <w:uiPriority w:val="0"/>
    <w:pPr>
      <w:snapToGrid w:val="0"/>
    </w:pPr>
    <w:rPr>
      <w:rFonts w:eastAsia="仿宋"/>
      <w:color w:val="000000"/>
    </w:rPr>
  </w:style>
  <w:style w:type="paragraph" w:customStyle="1" w:styleId="92">
    <w:name w:val="正文_8"/>
    <w:qFormat/>
    <w:uiPriority w:val="0"/>
    <w:pPr>
      <w:widowControl w:val="0"/>
      <w:jc w:val="both"/>
    </w:pPr>
    <w:rPr>
      <w:rFonts w:ascii="Calibri" w:hAnsi="Calibri" w:eastAsia="宋体" w:cs="Times New Roman"/>
      <w:kern w:val="2"/>
      <w:sz w:val="21"/>
      <w:lang w:val="en-US" w:eastAsia="zh-CN" w:bidi="ar-SA"/>
    </w:rPr>
  </w:style>
  <w:style w:type="paragraph" w:customStyle="1" w:styleId="93">
    <w:name w:val="表格标题1"/>
    <w:basedOn w:val="1"/>
    <w:qFormat/>
    <w:uiPriority w:val="0"/>
    <w:pPr>
      <w:jc w:val="center"/>
    </w:pPr>
    <w:rPr>
      <w:b/>
    </w:rPr>
  </w:style>
  <w:style w:type="paragraph" w:customStyle="1" w:styleId="94">
    <w:name w:val="样式 表格 + 加粗"/>
    <w:basedOn w:val="55"/>
    <w:qFormat/>
    <w:uiPriority w:val="0"/>
  </w:style>
  <w:style w:type="paragraph" w:customStyle="1" w:styleId="95">
    <w:name w:val="样式2"/>
    <w:basedOn w:val="96"/>
    <w:qFormat/>
    <w:uiPriority w:val="99"/>
    <w:pPr>
      <w:tabs>
        <w:tab w:val="left" w:pos="480"/>
        <w:tab w:val="right" w:leader="dot" w:pos="8100"/>
        <w:tab w:val="right" w:leader="dot" w:pos="8302"/>
        <w:tab w:val="right" w:leader="dot" w:pos="9061"/>
      </w:tabs>
      <w:ind w:right="200" w:rightChars="200"/>
    </w:pPr>
    <w:rPr>
      <w:b w:val="0"/>
      <w:szCs w:val="28"/>
    </w:rPr>
  </w:style>
  <w:style w:type="paragraph" w:customStyle="1" w:styleId="96">
    <w:name w:val="目录 11"/>
    <w:basedOn w:val="1"/>
    <w:next w:val="1"/>
    <w:qFormat/>
    <w:uiPriority w:val="0"/>
    <w:pPr>
      <w:tabs>
        <w:tab w:val="left" w:pos="480"/>
        <w:tab w:val="right" w:leader="dot" w:pos="9061"/>
      </w:tabs>
      <w:jc w:val="center"/>
    </w:pPr>
    <w:rPr>
      <w:rFonts w:ascii="Calibri" w:hAnsi="Calibri" w:cs="Calibri"/>
      <w:b/>
      <w:bCs/>
      <w:caps/>
      <w:sz w:val="20"/>
      <w:szCs w:val="20"/>
    </w:rPr>
  </w:style>
  <w:style w:type="character" w:customStyle="1" w:styleId="97">
    <w:name w:val="font11"/>
    <w:basedOn w:val="28"/>
    <w:qFormat/>
    <w:uiPriority w:val="0"/>
    <w:rPr>
      <w:rFonts w:hint="eastAsia" w:ascii="宋体" w:hAnsi="宋体" w:eastAsia="宋体" w:cs="宋体"/>
      <w:b/>
      <w:bCs/>
      <w:color w:val="000000"/>
      <w:sz w:val="21"/>
      <w:szCs w:val="21"/>
      <w:u w:val="none"/>
    </w:rPr>
  </w:style>
  <w:style w:type="character" w:customStyle="1" w:styleId="98">
    <w:name w:val="font41"/>
    <w:basedOn w:val="28"/>
    <w:qFormat/>
    <w:uiPriority w:val="0"/>
    <w:rPr>
      <w:rFonts w:hint="default" w:ascii="Times New Roman" w:hAnsi="Times New Roman" w:cs="Times New Roman"/>
      <w:b/>
      <w:bCs/>
      <w:color w:val="000000"/>
      <w:sz w:val="21"/>
      <w:szCs w:val="21"/>
      <w:u w:val="none"/>
    </w:rPr>
  </w:style>
  <w:style w:type="character" w:customStyle="1" w:styleId="99">
    <w:name w:val="font31"/>
    <w:basedOn w:val="28"/>
    <w:qFormat/>
    <w:uiPriority w:val="0"/>
    <w:rPr>
      <w:rFonts w:hint="default" w:ascii="Times New Roman" w:hAnsi="Times New Roman" w:cs="Times New Roman"/>
      <w:color w:val="000000"/>
      <w:sz w:val="21"/>
      <w:szCs w:val="21"/>
      <w:u w:val="none"/>
    </w:rPr>
  </w:style>
  <w:style w:type="character" w:customStyle="1" w:styleId="100">
    <w:name w:val="font21"/>
    <w:basedOn w:val="28"/>
    <w:qFormat/>
    <w:uiPriority w:val="0"/>
    <w:rPr>
      <w:rFonts w:hint="eastAsia" w:ascii="宋体" w:hAnsi="宋体" w:eastAsia="宋体" w:cs="宋体"/>
      <w:color w:val="000000"/>
      <w:sz w:val="21"/>
      <w:szCs w:val="21"/>
      <w:u w:val="none"/>
    </w:rPr>
  </w:style>
  <w:style w:type="paragraph" w:customStyle="1" w:styleId="101">
    <w:name w:val="+正文"/>
    <w:basedOn w:val="1"/>
    <w:qFormat/>
    <w:uiPriority w:val="0"/>
    <w:pPr>
      <w:spacing w:line="360" w:lineRule="auto"/>
      <w:ind w:firstLine="200" w:firstLineChars="200"/>
    </w:pPr>
    <w:rPr>
      <w:szCs w:val="28"/>
    </w:rPr>
  </w:style>
  <w:style w:type="paragraph" w:customStyle="1" w:styleId="10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03">
    <w:name w:val="Char1"/>
    <w:basedOn w:val="1"/>
    <w:qFormat/>
    <w:uiPriority w:val="0"/>
    <w:pPr>
      <w:widowControl/>
      <w:snapToGrid w:val="0"/>
      <w:jc w:val="center"/>
    </w:pPr>
    <w:rPr>
      <w:rFonts w:cs="宋体"/>
      <w:kern w:val="0"/>
      <w:szCs w:val="21"/>
    </w:rPr>
  </w:style>
  <w:style w:type="paragraph" w:customStyle="1" w:styleId="104">
    <w:name w:val="表格内容"/>
    <w:basedOn w:val="1"/>
    <w:next w:val="1"/>
    <w:qFormat/>
    <w:uiPriority w:val="0"/>
    <w:pPr>
      <w:autoSpaceDE w:val="0"/>
      <w:autoSpaceDN w:val="0"/>
      <w:adjustRightInd w:val="0"/>
      <w:snapToGrid w:val="0"/>
      <w:jc w:val="center"/>
    </w:pPr>
    <w:rPr>
      <w:rFonts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5MDQ0OTE2NTY1IiwKCSJHcm91cElkIiA6ICI1OTM5NzQyOTEiLAoJIkltYWdlIiA6ICJpVkJPUncwS0dnb0FBQUFOU1VoRVVnQUFBNGNBQUFIZUNBWUFBQUFvODM2QUFBQUFBWE5TUjBJQXJzNGM2UUFBSUFCSlJFRlVlSnpzM1hsNFU4WDZCL0R2bkNUZHl5YTBDRVVxRnBDdHpVbFJFVVhGSytJRkVVVkZXUVVVMEIrS0xJSUlLTElJSWdvWEZBUlpaQk5VQkdWUkZDNmdiQ3JZcGkyVVhTaFFXU3Qwb3kxcGN1YjNSNXJjcGtuYXRCVEw4djA4RDArVHM4NHBtZWE4WjJiZUF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ibmlxcWc1VVZUV21ISTgzVjFYVnAwdXhpMUJWdFVaNW5aK0lpT2hhb0svb0FoQVJFWldXRUdJcWdFRUFFaDNMVENaVEJ5bWxmM0g3YVpxV2xKaVllTWpEOFZwcG1uYlEwNmthTjI0Yzd1L3ZId0dndmhEQ0JDQVdnQW5BYVFDTnJ1UTZpSWlJcmlVTURvbUk2SXBFUkVRRTNuTExMWGNtSmlidUFXQ3R3S0o4RGlBVVFMNm5sVUtJWUNIRU1BQWZsblFnazhuMG1KUnlGb0RhUWdpL291dWxsTmtBTGdKUUFHamVqbU0wR3JzcWl2SUZnRC9qNCtPamlxNVhWYlV4Z0xGQ2lOWUFnZ0FjQURBblBqNytNd0N5cEhJU0VSR1ZKd2FIUkVSMFJXclVxQkVtaElnM0dvMEhBWHdFWUVWQ1FrSjZCUlZuak5sc2Z0L1RDcFBKbEZiNHZkRm9mRWdJNGZnZURGSVVwYjZxcW84VXZOY0xJVFFBdndNNEphVzhYd2h4VmtyNVpuNSsvc0c5ZS9lbW9vVGdyWEhqeG41Q2lBbmUxc2ZFeEtoQ2lPMVN5Z0FBUHdBNEQrQVJBTE5OSmxOMGZIejhBSit1bUlpSXFKd3dPQ1Fpb25LaEtFcERBSjlKS1NlcnFycEIwN1NmRkVVNWNPblNwY09IRGgxS0svRUFKVENaVE5FQW9nRkFTaWtBM0dVeW1icExLZlBNWnZNM3BUMmVFT0pMQUNFRnh3c0MwQXRBTndEUU5LMS9Ra0tDczZWUFZkWC9TaW16eldiemYzMDl2cisvLzZzQUlxV1VtaERDYmIxT3B4c3ZwUXlVVW5Zd204M2ZBMEIwZEhTd1hxLy9SVXI1U2t4TXpIUlBYV0NKaUlpdUZnYUhSRVJVYnFTVUVFSlVCZkNjb2lqUEFqZ2RIQnk4MTJnMHhnSDRRYWZUN1lxTGkvUFk3ZE1IblFDTUFZQ0NZS3NuZ0o1Q2lMOEJPSUxEeGthajhVa3YrN3QwRHpXYnpUVWRyMDBtMHdGTjArWWxKQ1NVMk9YVUYwMmJOcTBEWUN6c1hWMmY4N0padEJEaXFDTXdCSUNrcEtSTFJxTnhqcUlvbitsMHVxWUFHQndTRWRFL2hzRWhFUkdWS3ludHZTMkZFQXFBMnJDUDIzc0V3Q0JOMDA2WVRLWWxWcXQxWGxKUzByblNIRGMrUG41Q1pHVGsrd0JRclZxMWJBQnZYTGh3WWJaZXJ5L2N2Zk01SVVRbkw0Y0lMdnpHYURUV0YwTFVMWGpyMHEzVWJEWnZodnRZUWlVNk9qcE1yOWZYdE5sc05SVkZDYmZaYkt1U2twSXVGVDJSd1dDWUNmdll4eEh3RWh4S0tmOFVRcWdSRVJHQnFhbXB1WTdsUW9qYkFTQS9QLyt3bCtzZ0lpSzZLaGdjRWhGUnVTbmNmZElSSkJiUUFRZ1NRdHdKNEQyZFR2ZVdxcXJiQUd6U05HMnp6V1k3dFhmdjNyTWxITjZha3BKaUJZQnExYW81M3VjVldqOEtRSnpaYlA3RDA4NnFxZzVSRkdXbjQ3MmlLTDJrbEs4WGxOV2xXMmxNVEV3SG5VNzNvcFF5WEFnUkRxQStnQUM5WG44V0FIUTZIUUJrS0lxeURZQkxjR2cwR3JzS0lUcG9tallnSVNIaHZLcXFIaTlHMDdTM0ZVWFpWS05HamEvQ3c4TUhaMlJrbkE4TkRYMFd3RkFBUy9mczJiT25oTjhIRVJGUnVYSWZCRUZFUk9XdVNaTW1VZjcrL25kNFdwZWJtM3RnLy83OXh3dHRXODFnTUVRcmlsTHN0QXdBSUtXMFdpd1djM0p5OGdYSHNxWk5tOWJ4OC9OcjdFdTVORTI3WUxGWUV2ZnQyMmR4TEd2V3JObWRCb09oYm5IN0ZUci9TUUNYaEJBcEpXem44dDRSUkVyN2lqTkNpQ1JOMDM3VE5HMXJabWJtemlKQm54dVR5V1FGTUNnK1B2NFRBRkJWTlVaS2Vic3ZaZGJwZEZ2aTR1SXlpaHpQcFZ0cFRFek0vWXFpOUFOd1RnaHhGa0FmS2VVRktlVWduVTUzTmlNajQreVJJMGN1RnoyMnFxcDFoUkNKQUE3RXg4ZTNCS0NwcXBvdGhEampLVnVweVdScUMrQjcySU5ueCs5a3RhSW96MTVCOTFzaUlxSXlZY3NoRWRGVjFxeFpzMllHZytGckFKR2UxZ2NHQmc0RDhJbmp2WitmWDFQWXg2clY5TFI5WVVLSWREOC92K2NBYkhVczArdjFiUUY4N0V2WkZFWFpxaWhLVHdET1ZqdUR3ZkFpZ0ZkOTJSL0FQUGd3TlVTaFlORDVVd2dCWVY5eEs0QmJoUkROZERwZHJsNnYvd05Bc2NHaG82aXFxajVZRUJTMlVCVGxKU21sMS8wS3Vya0cybXcyTlRZMjlwaW1hWGNWV3UzU3JkUm1zNTAwbTgwOUhTdFZWVzBMSURzaElXRjNNZVhSQ1NHV0FqRFliTGFlS0dhS0M4Q2VyUlRBUXRoajVFMndUNDNSQXNBVFVzcjNBQXd2OXVxSmlJaktHWU5ESXFLclRLZlQzUUtnaXBUU1R3aHh6a01BazFQNGpjMW1zK2gwdXZORlc5czhFVUprMm13MlM1SEZ1VkxLTXo0Vzc0TEJZSEFKWXFTVW1RQjgybDlLbWVFcEUyZkJPby9MaFJDUVVtcFN5aHdoeEY5U3lzMmFwcTFPVEV6OHFZVFQ2VXdta3hGQUt5bWxBdUNqZ3VEeVZ3QkpVc3AxWnJQWm1Zd21PanE2b2NGZ3lJMkxpenNCQUtxcU5oZEM3QVlBVGRNYUEvaXVZRk05QUg4cHBiTmJxVTZubXdONzkwNmZHWTNHS1FEdWwxSytWRktXMGRqWTJDQXA1ZmV3QjZ0M0p5WW1tZ0g3bkpGaFlXR2ZBeGltcXVwZXM5bTh1RFJsSUNJaXVoSU1Eb21JL2lGQ2lFdWFwbzNYTkMyKzhIS3IxZXJTSlRNbkoyZGZVRkRReXlpU1hkTVRuVTVuemNuSmNRbEVORTNiQ09CUFg4cWswK2t5eldhenk1eUVlWGw1aXcwR3cwWmY5Z2R3dG1EOEhZRGlBOEtDOVJrQWZwZFMvZ3pndU1WaVNVNU9UazcwNVVTcXFzNEI4S0tVVWdvaGhKUnlwWlR5ZmJQWkhLZXE2cWRGdDlmcjlkOXBtcllkUU4raTY4eG04NjhvbU1iQ1pETDlCOERyVXNwUlJiS1ZLdEhSMGRVTHhoMVdrVkpXTjVsTXd4M2pFQjAvTFJaTEc0UEI4S2dRWXJDVWNySFpiSjVmMHJYWWJMYk9pcUxjQ21DVUl6QUVnTlRVMU56ZzRPQytRVUZCVHdJWURJREJJUkVSL1dNWUhCSVIvVU9rbERZQSs1S1NrbjRyYnJzalI0NWtBb2d2YnB2aUZHUUJMVlVtME1JS3hqOGVMM0hEQXFxcWVoeWZXQ1E1elJFQXM0VVFxelZOUzB0SVNNZ0NZQ3RsMGRacm12YTdUcWRiSjZVOEtZVDRPVDQrM21QeW1ZSnpWaEpDdUdVU0xheGh3NGFoVXNvZUFMSVZSYWx2TXBrZWk0K1AvMUZWMVJRaFJBUUtqUVVVUXVRQzZDYUVPRlBRTWhzSDRFeGVYbDZ1bjUvZnlJSnRlcHBNcHA0ZVRuV0h5V1NTQUtCcFdsVWhSSU9DTXU0dHV1SEJnd2V6VENaVENvQ0dKZjVHaUlpSXloR0RReUlpS2pjRkFXRStnTCtsbEdjS1dnaVhsVEJXenlkbXMzbWw0N1hKWkNwMjI5alkyQ0JOMDJwcW1wWmEzSFpCUVVHRGhSQy9Bb2lTVXQ0Tm9KZlJhSHdPd0ZBcFpZYlZhajByaERpcjErdVhTeW16Q25kYkxVeFYxUytFRU43R2lQYUR2ZXZ3VWdCSVMwdTdIQllXZHI1Z25WdVNtc2pJeUFBQXQwa3B5eHpnRXhFUmxRV0RReUtpcXk5ZFNybFRDT0VucFV3dmVmUHJrNVF5clNEUSt0MW1zKzI4ZE9sU1hFRXI2RC9PWnJNOXBTaUtBcURvZUV3bm85RVlLWVI0VTByNWJ5SEVaMUxLTHhSRkVVS0lGVkxLTG1heitiK09iVlZWOWRoZlZsWFZuUURlTjV2TkU3eWRSMVhWWGtLSXRQajRlR2VTbnhvMWFxd1NRa3dSUWd5TGpvNytOaWtwNlZqQktuMjFhdFZtQUFnVVFxd283WFVURVJGZENRYUhSRVJYbWNWaTJlZnY3Lyt5MVdvVlZxdjFoZ3NPclZacnBrNm5HMkN6MmJibDUrZWZPbkRnUURwSzMyWDBpZ2dodGdPb0RBQ3hzYkczU1NtbkFNZ1hRa3czbVV5dGhSQnZBRGducFp3cHBUd1BRQkZDZkE3Z2Q3UFp2TlhSRWhrZkh6OUZWZFdheGJRQ09oVWtsYmtYWmVqK2FUYWJqNnVxT2hqQWRMMWV2MWRWMWY4Q1NBZHdMNEQ2VXNyRW5KeWNjYVU5TGhFUjBaVmdjRWhFZEpVVnpDRjR2c1FOcjFONzl1eTVDR0RXUDNoS3haR1R4ckVnUGo1K0tRQmhOQnFmbFZMT0FGQkowN1Q3RkVXcEIyQ0twbW43QUh5c0tNcW94TVRFREpQSjlMQ1Vzcm5WYW8wdWVuQ3oyZXdwUzZrbWhOQVZYbUN4V080d0dBd0FjS0FzRjJFMm16ODJtVXpKVXNxaFFvajdBQVJMS1k5S0tkODVmLzc4aDZtcHFibGxPUzRSRVZGWk1UZ2tJcUxyZ3Nsa2FpR2xOQW9oNnNFZUlGNklqWTJ0YnJQWjdoZEMzQStna3hEaWRpbmxmaUhFNHdrSkNYRUFkc2ZHeHE3Vk5HMmtvaWh2YXByV1UxWFZkNFFRODZXVXZRcDE1eXlXRUNJVndOT3FxcjRtcGN3Q0FFVlJ1Z0N3U1NtTFRUQmtOcHREdksyTGo0L2ZER0N6cjc4RElpS2lxNG5CSVJFUlhSYzBUYXVuS01xbkFDQ2wvQ01ySyt2N29LQ2dTanFkYm9rUXdsOUt1VU5LT1VwUmxHL2k0dUx5SGZ2RnhjWGxBQmdkSFIyOVNxZlRMUlpDcUFYclYzbzdsd2RUQU53RjREOEZZeGtCSUUzVHRJRUpDUWszYktzd0VSSGRYRHpQWEV4RVJPV21TWk1tVVg1K2ZqMEFHQ3dXeTRMazVPUWpGVjJtNjVnak1OTWNDMkpqWSs4RWNLSWdDQ3hXVkZTVWYrWEtsYlhDd1NNUkVSSFpzZVdRaU9ncU14Z01FVUtJZmxMS0FJUEJzQUVBZzhPeTA0b3VpSXVMODNuTTM1RWpSeTZYYjNHSWlJaHVIRXJKbXhBUkVSRVJFZEdOanNFaEVSRVJFUkVSTVRna0lpSWlJaUlpQm9kRVJFUkVSRVFFQm9kRVJFUkVSRVFFQm9kRVJFUkVSRVFFQm9kRVJFUkVSRVFFQm9kRVJFUkVSRVFFQm9kRVJFUkVSRVFFUUYvUkJTQWl1dEZwbXBhbUtNcVBRZ2lEeldaTHEranlFQkVSRVhraUtyb0FSRVEzQVNVcUtzb0FBRWVPSE1rSG9GVndlWWlJaUlpSWlJaUlpSWlJaUlpSWlJaUlpSWlJaUlpSWlJZzg0WmhESXFLckxDWW1wb0dpS0gwQUdEUk5tNU9ZbUhpb29zdEVSRVJFVkJTbnNpQWl1c3FFRUxXRUVDOEE2Q09FcUZYUjVTRWlJaUx5aE1FaEVSRVJFUkVSTVRna0lpSWlJaUlpQm9kRVJFUkVSRVFFQm9kRVJFUkVSRVFFUUYvUkJTQzZVVVJIUndmcjlmcGhBSjZYVWtZS0lmS2tsTHNCdkc4Mm16ZVZ0TC9KWlBvTVFGOHA1WHl6MmZ5U2gvWFJVc3B4QUZvSklRSUE3TkUwN2YyRWhJVHZ5djFpaUlpSWlPaW13K0NRcUh3SXZWNi9FMEEwZ044QmZDV2x2QTNBdndEOFMxWFZYbWF6ZWJHM25XTmpZKytVVXZieHR0NWtNclVBc0FYMjZXZldTU256aFJCUEtJcnlyZEZvN0oyUWtMQ3dmQytIaUlqbzVoYlJvRUZ0dlJKVXY2TExRVGN1Uzc3MXoxTi83ajFaMGVVb2pNRWhVZm5RU1NrRE5FMjdKekV4Y1pkallVeE16S002bmU0SEtlVzAyTmpZNVhGeGNmbWVkdFkwN1FNaHZFNDdxcE5TTGhKQzZLV1VEeVlrSk93RUFGVlZtd3NoZGdvaHBqWnMySERsd1lNSHM4ci9zb2pvZWhkNTU1MlJrSDUzVm5RNTZQcGlzMm1IVHg3WisyZEZsNk9pMUk2S2p0QUxaUTZFTkZWMFdlakc1V2ZRSFlpTU5QWk9TVWxJcWVpeU9EQTRKQ29mTmtWUjdqT2J6V21GRnlZbUptNHdtVXkvQ0NFZXRsZ3Nkd0xZVTNSSG85SDRwQkNpZzVSeWhoQmlZTkgxcXFvK0tvUm9JS1ZjNUFnTUFjQnNOditocXVweUlVVFB3TURBRGdDV1hZMExJNkxyVjBROVkzMEJ1VW9LUkZWMFdlajZvdFByVGtmVU03Wk5QWnB3dUtMTFVoRU1RQVFFR2d1SW1vR0JnZERyZFJWZEpMcUIyS3cyNU9UbVFnb0pCQ0FTQUlORG9odU1qSXVMUy9PeUxnTUFGRVc1WEhSRlZGUlVKU0hFSndDMkExZ0N3QzA0QlBBWUFBZ2gxbmhZdHg1QVR5RkVLekE0SkNvem85RVlLWVJZQ09BM3M5azh3dE0ycXFyV0JmQU83SFd5dWhBaVZVcTVOQ3NyYStLUkkwZGM2dmVWamtFdUwzby8xSllDMVJXaEJOeFNyUnI4L2YzK3FWUFRkZXJ5WlFzdVhMd0ltNlpWMWZ1aE5nQ2ZnOE1ic1I0WjlIcTg5a28vR0tPYi9oT25vNXZFdnYwSE1YWEdURnpLemFub29yaGhjRWgwRlRWdTNOaFBTbmtQZ0V1WExsMDZYblI5cFVxVlBnUlFFMEE3QU43dTJwb0FnS1pwYnEyT1Vzb0RCZDFSSzJSTUJMdXIrZWFTeFhaYmdBRnhBa0tmbTI5ckVOa3dPcUNpeTNTdCs2ZTZ0S21xV2d2QUVDSEVBQUFCVXNyZlBHMFhIUjNkRk1BdlFvaHFVc3F0QURZQmFDbUVlQ2MwTlBRdUFPMEJ5SUxOcjJnTTh0VVFGQmlJSVFQL0Q5Rk5tL3lUcDZYclVOTGVaSHd3YlFZdXBtZjR2TStOWEkrRW9xQlJ3L3BvY1hmenEzMHF1c25vcnRIV2FBYUhSRmRSUUVEQVd3QnFBWmhaOUltbzBXaDhFa0JmQUIvR3g4Y25xYXJxN1p1bkZnQmtaMmVmTGJwQ0NIR3U0R2ZWY2kyNEQ5aGR6WGY1bWtEK1pRbjdQWS95SUx3T0x5V0hmNkpMbThsaytnK0FBYkIvRjhZQmlQVzJyVjZ2WHdpZ0dvQStaclA1Y3dDSWlvcnlyMVNwMG5JaHhGT3FxdllvZEtONlJXT1Fyd1pGcHlDeTdtMW8zS2poUDNWS3VrNWxabVZCci9QOTl2Qm1xa2RFTndNR2gwUlhoNktxNmxnQW82V1UrNlNVb3d1dlZGVzFsaEJpbnBReU9Tc3JhN1NYWXpnRUFZQ2ZuMTllMFJVV2l5WFAzOThmVWtyLzhpdTZiOWhkamE2R0srblNWbHBTeXNZQWZoWkNqSk5TaGdzaFZuamFMaVltcGdIc043eS94OGZIZis1WWZ1VElrY3V4c2JFRHBKUlBDQ0ZlQXVDNHFTM3pHR1Q2NTFnc0Z2enh4eCtJaUlqQWJiZmQ1dE0rK2ZuNU1CZ01WN2xrMXhmV285STdmLzQ4cWxldmptSVMwWldaeldhRGxCSjZmZm5kNHB2TlpxaXFXcXA5VHA4K2pibHo1NkpuejU2SWpJd3N0N0k0NU9mblkvLysvYWhidHk0cVY2NWNMc2RNVDAvSDFxMWJFUnNiaTlxMWE1ZkxNYTlIREE2SnlsblRwazNERFFiREYwS0lmd0hZQnVEcGhJU0VkTWY2eG8wYit3a2hWZ0lJc2xxdFhZcTJLQllsaExBQ1FHQmdvQjZBcGZBNkthVWpJcXV3VHV2c3JrYmxxU3hkMnNyS1pyTTlsWlNVZEFrQVZGVjlwcGhOSXdGQVNubW82SXE0dUxqVEpwTXBSVXA1TndBZEFCdktPQWI1ZW5YbXpCbms1Yms5dS9LWlRxZERuVHAxeXJGRW51M2Z2eC8xNjlkMzNqUmZ2SGdScjczMkd2cjA2WU1CQXdhVXVQOW5uMzJHWDM3NUJaTW5UMFpFUklUYmVrM1RrSmVYaDl6Y1hPVGs1Q0E5UFIwWExsekFoUXNYY1BIaVJWeThlQkYzM1hVWEhuamdBVnkrZkJuRGh3L0hVMDg5aFljZWVxamNyL1dmeEhwVU9wbVptWGpzc2NmUXZYdDNEQjQ4dU55UHYzWHJWb3dlUFJwVHBreEJ5NVl0ci9oNFgzenhCYVpPbllyeDQ4ZWpYYnQyUHU5MzhlSkZyRjY5R3UzYXRidmk0UERNbVRQWXNHRURIbjMwVWRTc1dSTUFjUFRvVWZUdTNSdURCdzlHOSs3ZEFRQXBLU2w0ODgwM01XellNRFJ2WHZwdXdLZE9uY0xZc1dNeGNlSkVCb2RFVkQ0SzVpUDhGa0IxQU8vR3g4ZFBnUDFMenNuZjMzOFdnQllBK3V6WnM2ZkVKNTVTeW90Q0NPVG41MWREa1NCUXI5ZFhCd0FoaEZ1WDAzOEt1NnRSZVNwdGw3WXI0YmloTFltVU1nTUFoQkNleHZZS0FKV0ZFUDdSMGRHM0ppVWxwWG83VGtsamtLOVhJMGVPUkdKaVlwbjNyMWF0R2padTNPaDgzNk5IRHh3OWVyVE14K3ZhdGF0YnNIZjQ4R0YwNzk0ZHZYcjF3bXV2dlZhbTR6WnExQWhMbHk1RjE2NWRNWHIwYUR6NjZLTjQ5OTEzc1czYk51VGw1WlVZSVB2NStVSFRORHp3d0FQSXpNekV1WFBuTUhUb1VIVHUzQmxEaGd5QndXQkE5KzdkY2ZEZ1FaL0swNnhaTXl4WXNLQk0xMUtlV0k5SzU4OC83VU9wNzdqamppcysxdUhEaDNIOHVPdXZZT1hLbGJCYXJVaFBUOGQvLy90ZmovdlZxVk1IRFJ2NjlwM2RzV05ITEZ5NEVOT21UVU9yVnEwUUdocGFwcklPSHo0Y08zYnM4SG43WHIxNm9XL2Z2Z0RzMTdSZ3dRTGNlKys5enVEUWNkMkZyeU00T0JoQlFVSG8zNzgvdW5UcGdsZGZmUlVCQVJ6aVgxb01Eb25LU1V4TXpQMEFmcEpTWGlnOEgyRmhUWnMyRFJkQ3ZGandkb0hKWkhMN1poZEN2R2d5bVY2VVVpYWF6V1lqZ0VNQW1pdUswZ2lBeXhlbVRxZTdFd0NrbE1ubGZrRkVCQUF3R0F6eG1xYWRFMEswS0JnVHRhUmdsVENaVEJOZ2Z4Z0VnOEVRVXR4eGlodURmTDI3Kys2N01XalFvRkx2OStXWFgyTDc5dTB1eS9MeThoQWNISXpISDMrOFRHV0ppWWx4VzdaaWhiMm40NU5QUGxtbVl3SkFxMWF0c0hqeFlnd2NPQkJ2dmZVV2F0U29nZnZ2dngraG9hRUlEQXgwL3R1elp3OSsvUEZIVEp3NEVYWHIxa1dsU3BWUXVYSmxCQWNITzQ5Vm8wWU5mUDc1NXhnM2JoeSsvdnByL1BYWFg1Z3hZd2FlZi81NVhMaHd3YWZ5MUtoUm84elhVaEZZait5T0hEa0NBS2hmM3oxR3pzakl3Qk5QUE9GMTM5ZGZmeDJkT25WeXZsKzNiaDJXTGwzcUZnRHA5WHE4OTk1N0hvK1JsNWVIenAwNzQ4MDMzd1FBWkdkbmx4aTB4Y2JHNHR5NWMvajU1NS9oNStkOUNNbGRkOTJGYXRXcWVWelhwVXNYL090Zi95cjJQSVhWcTFjUGdMMmI3TnExYTJFMEdsMStaNDZIS0hmZStiK2NlRFZxMU1EY3VYTXhiZG8wTEYrK0hILy8vVGNtVFpyazh6a2RwSlFlbCtmazVDQW9LS2pVeDd2ZU1EZ2tLZ2V4c2JGQm1xWjlCU0FqUHorLzVkNjllMDk2Mmk0L1B6L0h6ODl2cHBmRDFBRFFXVXE1VHdpeEJRV0JvSlR5WnlGRVYwVlIyZ1BZV0dTZmZ4ZjhYRjhPbDBGRUhzVEZ4ZVhIeE1TOHBpaktjaUhFWWxWVkJ3b2hqc0dlUmJFNmdDUUEwVGFielZ2VFViRmprRzhFSVNFaFByZEVGRmExcXVkY1dtRmhZUmc0MEQ2elQwcEtTckhkMGxKVFU3RisvWHIwN3QzYjR6aXJjK2ZPWWUzYXRZaUtpa0phV2hyUzB1dzlGZFBUN2IzOXo1NDlDN1BaN1BIWXdjSEJhTkNnZ2ZOOVpHUWtGaTVjaU8rKys4NDVCdXVSUng1eDJVY0lnUjkvL0JITm1qVkRyVnExdkpZN0lDQUFFeWRPeE8yMzM0Nm1UZTNUSkpRMUlMNGUzTXoxS0RzN0c0Y1AyNGRQeDhYRkFiQjNMeTM4dVd2VXFCR2tsTWpPenNZRER6eUFKazMrTjFUajh1WExXTEJnQWZMejNYUHZGRzE1TDBuNzl1MWQzcDg1Y3dZalI0NzBhZCtTZWdqTW1UUEhMVGhNU1VsQlZGUlVxY2NzT3V6WXNRUG56NTkzZS9pMGI5OCsxS3BWeTYwbFU2L1hZOWl3WVZCVkZkSFIwV1U2NSsrLy80N0hIbnZNWmRudTNic3hZc1FJVEpreUJTYVRxVXpIdlY0d09DUXFCNXFtUFMyRXFDV2xIT010TUFTQWd3Y1BaZ0Y0MWRNNlZWV2JDeUU2QS9nMVBqNis4RFlycEpRZkNDSDZSa2RIejB0S1N0cnIyQjVBZHlsbGd0bHMzbHFlMTBORXJoSVRFNzgybVV4cFVzcTNoUkIzQTJnb3Bkd0JvSk1RWWo0QTZIUzZpMFgzSzJrTThvMW01c3laV0xhczVDbFhIM2pnQVorZTZDOWF0QWl6WnMzQ3FGR2pQTGFvV0N3V3ZQbm1temg0OENDYU4yL3U4UVowN3R5NXNGZ3NPSExrQ0Y1NjZTVzM5ZDkvL3oyKy8vNTdqK2QzZENVdHJGcTFhdWpUcDArSlpmZVZvK3ZjemVCbXJVZkp5Y240di8vN1A1ZGxSZDkvOWRWWHFGNjlPZ0RndnZ2dXd6UFAvRy80WmxaV2x0Y3V4QmN1WE1COTk5M25jMW1LZG4rT2pJekVEei84VU93K2I3enhCZ0Rnd3c4L0xIYTdxbFdySWlNakE5OTk5eDJpb3V5SnpLZE5tNGFmZnZvSm4zNzZLWTRkTytaVGwvRW1UWm80eC9VZU9IQUFBREIrL0hpTUh6L2U1VHFFRUQ1Zis1UXBVMUN6WmsydmdYVEhqaDJkcnpkczJJQ2hRNGNpSk1UZWlMMS8vMzRNR1RJRVFnam9kTmZtOUJQbGljRWhVZmt3QW9BUTRnbFZWYjA5VXRwbU5wcy9LdTJCRXhJUzBsVlZIUWhnc1U2biswMVYxVFZDQ0FYQUUxSktpNVN5Ti80M0x4UVJYU1h4OGZHYkFXd3V1dHhrTXRXWFVwNktqNC9QS0xLOHhESElONXBISG5uRWVWTlluTEN3TUorTzkvVFRUMlA3OXUwWU8zWXNUcHc0Z1FFREJyaGtlSnd5WlFvT0hEaUFnUU1IZWd3TTkrelpnMisvL1JiMzMzOC9ldlhxNWJJdVBUMGRiN3p4QnRxM2I0K25ubnJLNC9rZFhVRjM3OTZOMmJOblkrVElrYzZ4WXVmT25jT0pFeWZjOW5FczI3Tm5EMDZkT3VXMnZsNjllcGd3WVFLYU5tMktuajE3UXEvWFEwcUp0V3ZYK3ZRN0theFNwVXJYWFVLYm03RWVOV25TQkFzWExvVEZZc0hMTDcrTXRtM2I0cm5ubmdNQWJOdTJEZlBuejNmcGRsd2FvYUdobUR4NXNzL2JqeDd0MnVDcTErc1JIaDVlN0Q2T0RMMGxiUWZZV3hkbnpKamhEQ1FIREJpQTZkT240K09QUDRhZm54OFdMRmhRN0RqQXZMdzhqQjQ5MmhrYzNuUFBQVzdiSHoxNkZHdlhya1c3ZHUxOCtuc0RBTGZkZGhzT0h6Nk14WXRkcDhiVU5BMFdpd1gzM0hPUHM4dHNYbDRldnZubUcvVHExUXZKeWNsNDdiWFhvQ2dLWnM2YzZXemx2NUV4T0NRcUg1VUtmc1lLSWJ6TjhWVG1kSDVtczNtSnlXUktGMEtNQXZDa2xESVh3SHBGVVViRnhjVWRLT3R4aWVqS3hNVEVxQUJ1RVVKOFhXUjVpV09RYjBRTkd6WXNVL2RTYjBKQ1FqQno1a3lNSERrU24zLytPYzZlUFlzeFk4WkFyOWZqeXkrL3hLcFZxL0RvbzQvaWhSZGVjTnMzTHk4UFk4ZU9SVUJBQU41NjZ5MW5JZ3VIczJmdGViekN3OE5MN1BLV2xwYUdBd2NPb0d2WHJ1amZ2ejk2OWVxRkxWdTI0SU1QUHZDNmo3ZXVlbVBIamtWMmRqWm16cHlKRFJzMllNS0VDWWlNak1UWXNXTkwrblc0cVZldjNuVVhISHB5bzllamtKQVFOR3ZXREgvODhRYzBUY05ERHoyRVpzMmFBUUIrL2ZWWEdBd0doSWVISXpNenM5VEgxdWwwUGdWdERvcWllRngrNHNRSm5ENTkydU82N094c0FQYnVscDVVcTFiTk9SN3cyTEZqQ0F3TWRENEFhdENnQVFZTUdJRDkrL2VqZHUzYUNBZ0k4RHJHTVQwOTNXMWNZa3hNak5zNFlrY3dQSERnUUdkcnF5OGlJaUxjenYzNTU1OWo5dXpaaUlxS2NqN1lDUTBOeFpJbFMxQ3ZYajJNSERrU3djSEIrUFRUVDh2MWI5dTFqTUVoVVRrd204MTlZWi9RL2txTzhRZmdmWHIwK1BqNHRRQksvMmlaaUs0YVJWSGVLSGpwU0s3aDh4amtHMDFhV2hyT25Udm44L2JlRWxjVTVlZm5oOG1USjJQU3BFbjQ5dHR2a1phV2hvNGRPK0tqano2Q3FxcGVnNnF4WThmaTJMRmpHRGx5cEZ0Z1dGci8vdmUvMGFoUkl3d2RPaFF6Wjg1RWRuWTJldmJzQ2FQUjZMYnRoZzBic0hEaFFreWZQdDFqMHBqYXRXdWpYYnQybURkdkh1Yk9uWXNYWG5nQmE5ZXV4YVpObXdEWTU0ZnIzcjA3K3ZUcGcyN2R1aFZicmh1bGk5dk5VbzkyNzk0TkFDNFBJMDZjT0lHSWlBaXZRVnRKMHRQVDhmVFRUMTl4MlZhdVhPbldoYnFvb2wxaEhSNSsrR0ZNbVRJRmdEMkQ2aDEzM09IU3d0K2pSdzhJSVRCenByZVVDNzZ6Mld6NDczLy9pd1lOR2tDdjF6dkhEbnRUcVZLbFluKzNHemR1eEwzMzN1dnNRZ3JZTXg3UG5Uc1hnd2NQUmxSVUZLWlBuMzdGZjBPdUp3d09pWWlJU2hBVEUxTTdNVEh4REFwMVoxTlZkYWdRb3F1VWNxdlpiRjduV083ckdPUWJ6ZHExYS9ISko1LzR2SDNuenAwUkdCam8wN1k2blE2alI0OUcxYXJXYWRESUFBQWdBRWxFUVZSVnNXREJBdXphdFF1UmtaR1lPbldxeCt5SlVrcGtaV1doUTRjTzVYTGpETmpIWmkxYXRBaFRwa3hCMTY1ZFVhVktGVlNwVXNWdHU0U0VCQUQyVnIzaUV0TDA2OWNQelpzM3g5R2pSMTBDNWQ5Kyt3MkFQVU9rcCtOZnoyNzJldlRISDM4Z0tpb0t0OXh5aTNQWm5qMTd5cHlzUlZFVTNITExMVmk0Y0tITDhybHo1MEpWVlk5ei9mWHQyOWRyc0JRVUZPUnh6UEJiYjcwRkFCN0hDUmRORkpPVWxPUjJQWVVEUlp2TmhwOSsrc25qK1M5ZEtubFdsRC8rK01NNWY2Z3YyVTkvK09FSHJ5MnJodzhmeHNHREI5RzFhMWVYNVhYcjFrWDc5dTJ4ZHUxYWpCbzE2cVlLREFFR2gwUkVSQ1ZTRktXM3lXVHFCK0EzQU5sU3loWkNpRVlBRGw2K2ZQbTVJcHRmdFRISTE3TG5uMzhlSFRwMEFBQjgrKzIzK095eno3Qit2VDJSOHR5NWM3Rmp4dzZYbTlqQXdFRE1ueisvVk9lNDU1NTdzSFRwVWxnc0Z0aHNOdVRrNUtCU3BVcHUyd2toTUhIaVJQajcrMlB6NXMzT2JuR0ZaV1ZsQWJEZklLNVpzOGJqK1ZxMmJPblNiUzBrSktSTTNUKzlNWmxNYnBrUGs1S1NBTmhUOUZ1dFZxLzc2blE2bDV2dTY4SE5YSS95OHZLd2QrOWVsMERrOU9uVFNFMU5kUnNQVzVMMDlIVGs1T1RnMldlZnhiUFBQdXV5YnZ2MjdWaXpaZzF1dmZWV2ovdk9uVHNYZ0gzQzk4REFRSmVNd1lxaW9FNmRPbTc3T0I3QWVGcm5HSS9vOE5KTEwzazlOd0RrNStkajNMaHhYdGVYWk5teVpRZ0lDRUM5ZXZXZzArbncrdXV2ZTl6dWd3OCt3T25UcDFHNWNtV3Z4M0prVjIzVHBvM2J1bGRlZVFWYnRtekJ4SWtUc1hqeDRtS244TGpSTURna0lpSXFnWlR5ZHdBZGhSQnRBUmdBSEFQd3J0VnEvWERmdm4xRkgzZGYxVEhJMXlySFBIK0FQZlYrbFNwVm5JRlZRRUFBZERxZDgvMkJBd2RLM1kzdWwxOSt3WWdSSTFDMWFsVzBiOThlQ3hZc1FKOCtmVEJyMWl5UFUxMDRnc2JwMDZjak5kWHJuT3JZdG0wYnRtM2I1bkhkckZtejNNWTBYYjU4R2Y3Ky9nRHNZN0dLWmpxTmo0OEhZSitEcnZDTmFXaG9LTnExYStleWJWcGFHb0tEZzExYVVCM0JZVW10SXJObXpjSTk5OXhUN0RiWG1wdTVIaDA1Y2dSV3F4V25UNStHeFdLQm41OGZObTdjQ0NFRVdyVnFWYXBqZmZqaGg4NEhMOTdNbVRNSGMrYk1LWGFid3QxQnk0c2owTnEzYjUvSDlhVWRjMWpZb1VPSHNIMzdkblR1M0JrbWt3bWpSNDlHelpvMTNZTFJQWHYyNE5DaFEramZ2Ny9YNURmNzkrL0hsaTFiTUhEZ1FHZDlMaXc4UEJ6RGhnM0RtREZqOFA3NzcrT2RkOTd4V3E0YkRZTkRJcUlya0phV2hrT0hEcUZ4NDhZK2RRSEx6ODkzZTlKNnZmamhoeDhRRVJGUjVybWpybVZtcy9rYkZEUG1OeUVoWVNQYzV4bjFkcXdySG9OOHZkdTdkeTl1di8xMnIrdDM3TmlCRlN0V3VBVkwzcXhkdXhiang0L0hyYmZlaXRtelorUFdXMjlGMWFwVjhkRkhIK0hGRjEvRXA1OSs2aklmWVdHTEZpM3kyQUtYbHBhR2J0MjZvV3ZYcmg0VDJnQndhM1hJeTh0RGh3NGQwTE5uVC9UbzBRTVhMMTdFQng5OEFJUEI0REwrTHlBZ0FJc1dMWEsrejgvUFIwUkVoTnYxTGwrK0hOOSsreTNtelp2bm5QUzdVNmRPSHVlemM0aUxpOE9tVFp1OHpoRlprVmlQdkd2YXRDbmVldXN0VEpreUJTKzk5QkltVFpxRXI3NzZDczJiTnk5VlVoVUFHREZpaEV0M3p2ejhmQ3hZc0FDclZxM0NzODgraXllZmZCS2JObTFDMjdadGNlalFJWXdiTnc2dFdyWENLNis4NHRMUzdpa291cGJObXpjUE9wME8zYnAxUTYxYXRmRDU1NTlqMHFSSm1ENTl1ck1WUFRjM0YrKysreTRpSWlMUXMyZFBqOGZKejgvSDJMRmpVYVZLRlpjcFE0cDYvUEhIc1hYclZxeGV2UnEzM25yclRUUHRESU5ESWlJZlhicDBDV2ZQbm5YZXhBSEFybDI3OFBiYmIvdjBGTjltczJIUW9FR29XclVxUm80Y2lhQ2dJSS9iNU9ibUlqYzNGNWN1WGNLRkN4ZHc4ZUpGbDU5ZHVuUkIzYnAxbmZ1VU5DQy9PQUVCQWNXbUZTL3N2ZmZlUTd0MjdXN0k0SkRLajlsc3h1N2R1ekY0OEdEbk1pR0VTNEIyL1BqeFlvTkhCNHZGZ3FsVHAyTEZpaFc0L2ZiYk1YdjJiT2VOZE5ldVhXRzFXakY5K25UMDc5OGZNMmZPUk9QR2pkMk80ZTJoamMxbUgvWVdFQkRnODgzNTd0MjdjZUhDQmJlNTRzYU9IWXUyYmR0NjNXLzA2TkVlVzFKMjdOZ0JpOFhpVE5zUDJJUEQ0bVJsWldIVHBrMCtKL1NoYThjenp6eUR5TWhJREI4K0hFOC8vVFR5OC9QZHBwYndSVWhJQ0VKQ1FwQ1ZsWVYxNjlaaDhlTEZ5TW5Kd2R0dnY0MG5uM3dTWnJNWkN4WXN3Q09QUElKMjdkcWhUcDA2R0RObURIcjA2SUVubm5nQzdkdTNyN0FwR2NvNjVuRG56cDNZdEdrVG5uLytlV2Q5R1RWcUZQcjA2WU1aTTJiZzlkZGZoOVZxeFlnUkkvRFhYMzloN3R5NVhyL2JacytlamNPSEQyUFNwRWtsVGlFeWR1eFluRDU5R3JObno0YVVFdjM2OWZQeFNxOWZEQTZKYmpJbWs2bFZabWJtcmlOSGpseXU2TEk0dlBycXF6Q2J6VjdYRHgwNkZBY1BIblJPaHV0Smp4NDk4TWdqandDd2QxbHpaUDRyaXlwVnFuak1Fcmg2OVdwODlORkgrT1NUVDNEdnZmZVcrcmlLb3NCb05HTDI3TmxJVGs3RzVNbVRVYjkrZlR6enpETzRjT0VDY25OemkyMHhBT3dKQTB3bWswdHcrTmhqajVXNG56ZmR1M2QzdVltbmloY2RIUjJzS0VwTVFrTENMZ0RlQjUxZGczYnYzbzNodzRjaklpTEM1WWw4V0ZnWXpwdzVnMDgvL1JSK2ZuN1l0R2tUZXZYcWhkemNYSy9IT24zNk5JWU5HNGI5Ky9majNudnZ4YVJKa3hBYUd1cXlUYytlUGFGcEdqNysrR084OHNvcldMNThlYkZKWUs3VTFxMWJBYURZUU5CWDU4K2Z4K0hEaC9Id3d3K1hhanpUeFl2Mk9lSnZ0R1ExNWVGNnFEdk5temZIcUZHak1IejRjQURBbVROblNuMk05ZXZYWS9QbXpkaStmVHVzVml2YXQyK1BBUU1HZU15T0N3RE5talhEOHVYTHNXelpNaXhac2dSZmYvMDF3c1BEOGVpamo3b2xsQ2t0VGROS05mYTFMR01PczdPek1XN2NPRlNwVWdVdnYveXljM21USmswd1lzUUlUSmd3QVJrWkdUaDc5aXgyN2RxRjk5NTd6emxWU0ZHYk4yL0dva1dMOE9DREQrTFJSeDh0OGR5QmdZR1lNV01HZXZmdWpUbHo1dUQ4K2ZNWU5tellEVDBHa2NFaDBjMW5hMmhvNlBHWW1KalpVc3F2TWpNelQ2ZWtwRmdBYUJWVm9LNWR1eUl0TGMzNUdyQW5pVmkyYkJtR0RCa0NrOG1FOWV2WEl6MDlIWGZmZmJmYi9xdFdyY0xmZi8vdGZIL28wQ0VzV0xDZ3pPV0ppSWh3Q3c2bGxGaTVjaVZ1dmZYV01vL3pFVUtnYjkrK2lJcUt3dWpSbzlHdlh6K3NXN2NPanovK09ESXlNcHhqdGdJQ0FyQm16UnFjUFhzV2t5ZFBSbWhvS0NwVnFvUXFWYXA0N1FiVXNtVkxQUDc0NHk3THNyT3pNWEhpUkxSdjN4NzMzWGVmMno3bE9ZWWlKeWZIWTBzb2xaNU9wNnN1aE5paHF1cWZtcWJOVXhSbGpaVHlWRUpDUWhhdTRjbS9EeDQ4aUpkZmZobGhZV0dZUG4yNnkxUDdKNTU0QXZIeDhWaTN6cDZNc2xXclZ1aldyUnZtelp2bjlYaisvdjY0ZlBreXVuWHJodGRmZjkzcnRBMjlldldDcG1tNGNPSENWUTBNYlRZYmZ2bmxGelJxMUFpMzNYYmJGUi92NTU5L0JvQlN6MU40NnRRcFZLbFNCWG85YitHS3VoN3FUa3BLQ2laT25JaXdzRENFaDRkandvUUorUFBQUDEwZTBwMC9meDVIamh4eHZzL0p5WEU1eHRHalI3RnIxeTQ4K2VTVDZOQ2hBL3IyN1l1TkcvL1hXMWRLQ1FEbzNidTNXK0MyZnYxNi9QampqL2p1dSsvSzlEbE9TVW5CaFFzWDRPZm5oOVRVVkJ3L2ZoeXhzZDZHaExvS0RnNUc3ZHExdlNhQXlzakl3RFBQUE9QeXQwUFROSXdiTnc3bno1L0hoeDkrNlBhQTZLbW5ua0p5Y2pLKy9mWmJBUFlIUnQ2Q3ZqMTc5bUQwNk5Hb1hidDJxYjcvcWxhdGlybHo1Mkxnd0lGWXRXb1ZEaDA2aFBuejU5K3dkZkRHdkNvaUtwWVFvcTVPcDVza3BSeGRyVnExWFZXclZ0MEdZSS9OWm90TFNrbzY5aytYcDJYTGx2anFxNjhBMkc4aUFYdVNpR1hMbHVHUlJ4NXhwcUZ1M0xneFJvMGE1YmIvZDk5OTUvTCtpU2VlY0I2bnFMTm56NkpkdTNibzBxVUwzbmpqRFkvYmVMSnAweWFrcEtTZ2ZmdjJTRXhNZEM0L2Z2dzRBT0RQUC8vMCtpUXhQRHpjNWFhMWRldlcrT3l6ejNEeTVFbUVoSVNnZCsvZWJ2dnMzcjBiRnk5ZWRNdGs2RTNkdW5YZFdqUFMwdEl3Y2VKRTNIbm5uUjViT3NhTUdlUFRzUXZidFdzWHBKUXVOeHpuenAxRG56NTkwTFZyVjdlVTRGUjJRb2c3Q3VycEtDRkVuTWxrMnExcFdnS0FIUWtKQ1NrVlhiNmlHalpzaURmZmZCUC8rdGUvWEZMMUEvWnVjQjkrK0tIUHg3TFpiREFZRFBqMDAwL2g3Ky92ZG5OY2xDTmpZMVpXRmhSRlFYQndNTEt6czUwM3laNDR1ckRsNStjN001ZDY0amplenAwNzhmZmZmNk5Iang0K1gwZHgxcTFiQjUxT1Y2cGtKRmxaV1VoSVNNQWRkOXhSTG1XNFVWMnJkZWZnd1lNWU5HZ1FwSlNZTldzV2JyMzFWb3dZTVFMTGx5L0g4ZVBIblpsdzU4MmJWK3lEazM3OSt1SEZGMTlFUUVBQTh2UHo4ZWFiYjdxc1AzbnlKQllzV0lCZXZYcTVUY01RR2hxS3pwMDdvM1Buem1XNmhwMDdkK0tqai82WElEWWtKQVFkTzNiMGFkOWV2WG9WbTVtMWN1WEtMa0V1WUovd2Z0T21UZWpTcFF0YXQyN3RYRzYxV3JGMTYxWjgrZVdYaUl1TFE2TkdqV0MxV3JGNDhXSWtKU1doVDU4K2JnOUZkKy9lRFQ4L1AweWZQdDFqeS92WnMyY0J3T09EemhvMWFtRCsvUGtZTVdJRU9uYnNlTU1HaGdDRFE2S2JWc0VOZmpDQTFrS0kxbExLZEwxZWY5Sm9OQ1lDV0tscDJzYWtwS1NTSngyNkNkaHNOc3llUFJzQThQMzMzN3RsSndUZzhtVlpsS2V1bTAyYU5FR1RKazNLdDZCWElDOHZ6eVdCUm1GMzNYV1hNMGhOVFUzRjc3Ly9qaFl0V2dBQU1qTXpNV0RBQUp3K2Zick1remlUZHdYMU5BVEFnMUxLQnhSRnlaSlNubE5WTlVrSXNUQXpNM1BEdGRCRi9PVEprODc1MGJ5TkovTEVXMGJEUTRjT2xicEZ6U0VpSWdLclY2OUcyN1p0M2NZR2VySmt5UklzV2JMRTYvcDY5ZXBoeFlvVnpvZFFubG9seG93WlUyeFhPVWRDR29lVWxCVHMzYnNYOTl4emo4ZXBPQUI3TnRKRGh3NGhORFFVZm41K3lNdkxRM3g4UERJek01MWQ2TW03YTZudVNDbXhmUGx5ekpneEF3RUJBZmprazArY1kyNC8rdWdqVEpnd0FkSFIwYzYvb2IxNzk4YkREei9zM0Q4bkp3ZjkrL2QzdmpjWURNN0VaZ2FEd2UxaHFHUE00WU1QUG9pR0RSdjZWRWFqMGVqVDMvRDI3ZHVqVWFOR2tGSkNyOWVqWHIxNkxoUEllM0xtekJtWGg2cStFRUxBMzk4ZjMzenpEVnExYW9WQmd3WWhMeThQdTNmdnhpKy8vSUxObXpjakl5TURkZXZXeGJ2dnZvdjI3ZHNEc0Nldm1qVnJGZ1lPSElnYU5XcWdSWXNXdVB2dXU5R3FWU3YwNmRNSDdkcTFjd2JNV1ZsWkdEdDJMQ3BYcmd3cEpYNzU1UmZvOVhyVXIxL2ZZNW1DZ29Jd1k4YU1VbDNIOVlqQklkRk5TZ2poZktwZTBBcFVSVXBaUlZHVVpnQzZDeUhPbTB5bVpUYWJiZTc1OCtlUG5UcDF5b0tyUElaajU4NmR6aWQ5bWxaaHZWemRMRjI2Rk1lT0hjT0xMNzdvTnRid3Q5OSt3N3g1OHpCMDZGQTBhdFRJNC82T2xzKzVjK2NpTlRVVmd3Y1BkajYxL1BQUFA1MWppQXE3ZVBFaUxCWUwvdmpqRDQvSE5CcU5Mazh1TDEyNmhGT25UcmtkQTdCMzFTbTZEb0JMcTBwZVhoNFdMMTdzdGsxZVhoNzBlcjFMQytiU3BVdlJva1VMcEtlbjQ5VlhYOFhSbzBmeDFsdHZGWnYxamNxdTBQK1RrRkpXQWxCSkNCRUZvRk5vYU9oWlZWVy90dGxzQ3kwV3kvRzh2THhMS1NrcC8zaDYveE1uVG5qOC9KVGswcVZMYmtrakJnd1lnTXpNekRLWHhYR2pPbWJNbUdMbkNmUlZhR2dvcEpTb1ZxMGFIbnZzTVk4VGF2LzczLy9HblhmZTZmVVk2OWF0YzBtMmNlellNZmo3KzdzRUFKN091M1BuVG1maUhBQ29YcjA2WG5qaEJiZTU3Y2l6YTZYdW5ENTlHcDk4OGducTE2K1BEejc0d0dYcUJaMU81K3pGa1pXVmhicDE2NkpCZ3dZdXlaVnljM1B4NElNUG9uYnQybGVqZUFEc1BWb0t0OHg1VTdseVpiZEo3a3VTbkp4YzZuR0dlcjBlVzdac1FkKytmZEduVHg5Y3Zud1p6ejc3TE02ZVBRdEZVWERmZmZlaFU2ZE91UC8rKzEyQzJvNGRPNkp0MjdiNDdydnY4TTAzMzJEdDJyWFl1M2N2SG5qZ0FRQndhVWtORFExRmZIdzhNakl5SUlSQXJWcTFNR1RJa0p0dTB2dWlHQndTM2NROERTSXZGRERXQVBDNm9pZ3ZoNGVIN3drUEQ0K1RVbTZUVWlZa0ppWW1YNDN5M0hISEhXNWpEaXZhc1dQSE1HZk9ITng1NTUzbzM3Ky8yN2luMDZkUEE3Q1h2YVF2ekl5TURLeGJ0dzQ3ZHV6QW1ERmowS3BWSzh5ZVBSdWJOMi8ydWsvaHA4V0ZiZHEweWFWYnpKbzFhN3lPNHlpcGl4SmdUMjVSZE82cFBYdjJvRmV2WGk1QmIyaG9LSDc5OVZkczJyUUpNMmZPeEY5Ly9ZWHg0OGY3UENXQnI2UW1FV0NRZDZpcXFtbWFwZ2toTkNHRXRObHNtaEJDS29xaUZYNXR0Vm8xSVlUVTZYVE8xNHFpYVBuNStWSlJGRTJuMDJtWEwxK1dPcDFPMCtsMG1xSW84dkxseTVxaUtOSmdNR2k1dWJtYVRxZVRCb05CeTh6TWxBYURRZlAzOTlmUzB0S2tuNStmRmhRVXBPM2J0MDhDS0Z2bW56SXFYRWNMQi9PRjZtazRnTmYwZW4xZnZWNi9QekF3Y0UvVnFsVzNBdmpEYkRhWDdsRjlHYzJkT3hkQ2lISnJPUzVyaTJGUnZpU2JLQTFQWGRycjFLbUR1TGk0RXZkOTdqblgrZDFidDI2Tjc3Ly92dGl1YVQxNjlFQ1BIajJnYVJwc05oc1VSZkU2N3ZKcWNOUkJrOGxrYzlSQm04Mm02WFE2bTgxbTB4ejF6bEcvQ3IvT3o4L1g5SHE5TFQ4L1g5UHBkSnJGWXRGME9wM21xR3NHZzBHN2RPbVNGaEFRWUFzTUROVCsvdnR2UngzVFVFNFBJYStsdWxPclZpM01uRGtUVFpzMkxYWXFvOURRVUt4YXRjcHRlV0JnSUtaT25lcnorVlJWOWVsejZhdXlqT0Z2M0xpeFN4bEttcmZURzBjQ0dqOC9QMHljT0JHSERoMUNtelp0aXAzS0pTQWdBTTgvL3p5ZWYvNTV4TWZISXl3c3pHdnJabkhmdnpjckJvZEVCV0ppWXBvSUllNnE2SEpVRk1jWHFlT0xzOUFYcUQrQTVsTEtXQ0ZFTjBWUi9qSWFqZnV0R3ZabFc2VHZLY3A4RUI0ZTdqYm1zQ0psWjJkajZOQ2hrRkxpblhmZXVlSWJzemZlZUFOMzNYVVgzbjc3YlF3YU5BZ3pac3pBNE1HRDhkSkxMN2x0KzUvLy9BZEhqeDcxMm9XbDZLRDhObTNhdUxYY1pXWm1ZdGl3WWVqY3ViUEhMK1lCQXdZVVc5NE5HellnTkRUVUpRbFE2OWF0RVJjWGgrSERoeU1rSkFRelo4NUU4K2JOaXoxT1dRZ0EvbnFscHhDaXZxSW9qanM3cWRQcEpBQUlJV1RCamJVRVVQZzE5SHE5RkVKSUFQRDM5NWNBSUtXVUFRRUJ6dU1BUU1GN0NRQkJRVUd5NERNdksxZXU3RHhIelpvMW5mc1VCUCtlbXJTdEFDeENDRTFLYVpOU2FrSUlHK3dKTURRcHBVMEk0VnhlNktmSDVRQTg1bGIzZExOYnFKNEdBRkFCR0FFOExZUklNeHFOaDNMelpmeGx6ZnU4YytYaG53eFliaVMremxPb0tFcUZkTmwyMUVFQTlRdnFrOVRwZExKdzNUTVlETTQ2VktqZVNZUEJBQ21sYzMxZ1lHRFJ1aVlyVjY0c2hSQ3lvRlZXd2w3SG5Oc0I5am9vcGN5RHZZNDU2cFMxb080NGZqcVdXUUVFZXJ5V010U2R5L255OTF4YitkV2QwcmEya1R1ajBRaWowVmlxZlh3ZHQwLy93K0NRQ0VDVEprMmlGRVZaSzRRb2VlS3RtNHdqK1lpd2Ywc0hBN2hOVVJROU5OdVpxM3ZMNmU3MDZkTWV4ek1WbDNUaVNsaXRWdVRtNW1Ma3lKRStqOXNveVlNUFBvakZpeGRqOGVMRnVQZmVlNzNlOUlXRWhFQ3YxL3QwWHB2Tmh0cTFhN3NGYVk0TXNIWHExUEVZd0JXWGZ0eGlzV0REaGcxbzNicTFTK3VHWHE5SDM3NTk4ZTY3NytLRkYxNjRLb0doZ3lLRVFVb1pLRndMS2dyL2xGSzZyZk8wZmVGbGpuMEs3eXZzQ2gvZjB6bUVLTzZYWnQvQTdmZnFlTy9yejdJb1hFOEJCQUFJRVVKVVZoVDRRYnM2OVlOdWZCN3FvSUNIZWdHNDFER1g5MUpLVWZBMzJybThVRjByc1k1NXFoZWU2a3haNjQrM3VnT3ArZU9mL3BJanVnWXdPQ1NDTS8xMUlBQ2JsUElZZ095S0x0UFZJb1R3K05qTlU0QlY4R1ZyazFKbUNpRXVBamdocFp4bU5wdlhSTjVwZkFnQ1Q1Wm4yVW9hYzdobnp4N3MyYk9uUEU5WnJDcFZxbURKa2lVSUNRbngybVhUVVo3ZmZ2dk5tZW1zcUE0ZE9yamN1RVJHUnBiYk5CS2Fwa0hUdEhLZmMybmx5cFZJUzB0ejZ3NEhBTzNhdGNPS0ZTdXdZTUVDdEduVEJuWHExQ25YY3dQMnBvTWNpMjFCZ0E1SGRUcWRVbkNEcVNpSzRueXQwK21FbEZJcDhsb0lJUlRINjRMdFBiNkdmUnlTSXFWVUNoNStlTnZPY1Z3OWdLTFJ2TkEwVFMrRWNCNnZjQmtWUlJGU1NnV0E4eHlGanVmdGRhZ1F3aTM5bjdlSElBWGpoL09sbE9jQm5BTndRRXI1U1VKQ3dvNkNldHFsM1A1ajZLWlJxQTRlYzlRSkx6OTFtcVlwaGVxTjg3V2pMaXFLb25Pc2cvMXo3cks5WXpzaGhBR0ZJaklwcFI2QUR2YjY0L1g0VWtwZHdldEtpcUs0cGVIMHBlNElJYzVLS1E5SUtXY21KQ1RzaUl5S2JnRTlPTGlUYmpvTURvbGNYUUx3dHBUeXQ0b3V5TlVpaEhCT1ZWRWtJWTNMYXlsbHVwVHlSd0FyQWFSWUxKWkxPcDB1TXpFeDBYTUVWQTVLR25QWXBrMGJUSmd3d1cyL3NreEk3NnZxMWF2ajdObXp6aFRqM2hTWGpLTmR1M1l1clc4Mm04Mlo2UTJ3ejFtMWUvZHVsMzFTVTFPUms1UGpuT0xENFk0NzduQnByWE9rK0U5UFQ4ZkJnd2RkdHMzSXlBQmduMnFpNkRyQSt3MVRibTR1Rmk1Y2lKWXRXM3BNc3FIVDZUQnUzRGgwN2RvVnc0Y1B4L3o1ODh0OWprT2hDRmhzNHNpaDVJU2Z5L1hBVjRjbzlNL3hIckd4c1NJM04xY0FnTVZpRVFCZ3RWcUYxV29WQUtCcG1xaGV2YnB6T1FEWWJEYmg3KzlmVjYvWGR3U0t2Nmt0V0g5ZVNybGEwN1JsQVA2eTJXeTVVc3BMeWNuSjZWZm5VdWxtY1kzVVFWSGtuN05lRmExVDRlSGhRa3BaRjBCbmdIV0hxS3dZSEJJVklxWFVwSlJucnNVNXhNcUxvLys5b3l1Tmd4QWlYMHA1V1VwNVNFbzVPenM3KzZzalI0NlVQV1ZnR1JRMzV2RC8vdS8vNE8vdjd6R0J3NGNmZm9pb3FLaXJWcTRhTldwNFRjKy9lZk5tVEo0OEdlKy8vNzdYTVNWRnkydzJtekZtekJpOC9mYmJhTkdpQlJJVEUvSEJCeCs0WlcwRTRETG1NQzh2RDUwNmRYSUpEdFBUN2ZjeFgzLzlOYjcrK211UDV5OHBWWDlSMDZaTlExcGFHcVpNbWVKMW04aklTQXdhTkFpVEowL0c4T0hEOFovLy9PZUdudmVwQkM3anBCeDhTUWpoS1l1c3Fxb3VrKzRWdXBtVlFvaGNBSm1hcHUwVlFzekp5c3BhZXkxTVplRk5lbm82dG03ZGl0alkyRkpuV3JSYXJUZkZaeW85UGQzWmpieXd5NWN2NDlLbFM2aFdyVm9GbGV5YTRGYTN2TldyMU5SVXFLcWE0K1ZoNXpWVmQ2Nlh6L2JmZi8rTkV5ZE9vRW1USnVYZU80V3VYZGYrSjVPSXJvcUM3alNYQVJ3QnNCL0FiMUxLVFFrSkNRa1ZYRFFYUC96d0E2S2lvdENxVlNzY1Bud1kvZnIxdzF0dnZZWGJiNzhkcTFldnhzcVZLekZ2M3J5citzV2xLQXFxVjYvdWNaMGpBMXFsU3BXOGJsUFV0bTNiY09iTUdmajcrN3NzWDcxNmRiSEhlT3l4eDl5V09iS2x2dkhHRzI0RDd6TXlNdkRLSzYrZ1I0OGUrUGUvLysyMmI4K2VQZDJXL2ZycnIxaTVjaVdlZnZwcFJFZEhGM3NkblR0M3hyRmp4L0QxMTE5anlKQWhYZ05jS3J1Q2Vwb05JRTRJc1V0S0dXK3oyWDVQU2tvNlZ1TE8xNEJUcDA1aDdOaXhtRGh4WXFtQ3cvVDBkTFJ0MnhiOSsvZEhuejU5UEc3ejdMUFBva3FWS3BnN2QyNnB5NVdYbDRmOC9KSVR6K3AwT3BkVzhRc1hMc0JzTnJzbGVNck96a1pTVXBMWDQ5U3VYUnQxNjlaMVcyNnhXTkN0V3plMGJkc1dBd2NPZEZtM2Z2MTZ2UGZlZS9qeXl5ODU2WDBaWEt0MTUxcjliSHZ5NVpkZllzR0NCZmppaXkrS25hcWxzTnpjWENRbnV5YzByMUdqQnNMQ3duRGl4SWxpOXc4TURNUnR0OTFXN0RZWExseUFFTUlscWRPeFk4ZGdOcHZScVZPbll2YzlkZXFVODZGcVdmajcrOS93OVpIQklkRk5TRXA1RnNBNkljUkdxOVdhbkphV2R2VFVxVk01RlYydWMrZk80YlBQUHNQZXZYdXhkKzllQU1DY09YUHcrdXV2QTdCUEZuenc0RUhucE5HVktsVkNjbkl5NXN5Wmc5ZGVlNjNDeWwxYVc3ZHVSVmhZV0ttenJubXlmLzkrQU1EZGQ5L3Q5b1hsU0VnVEZoYm1NYkZOMFFRT0owK2V4T2pSb3hFZUh1NzhuWmRrMkxCaE9ILytQTFpzMllKWFhua0ZreWRQUmxoWVdGa3VoWXFRVXFZQVdHS3oyWDZ3V3EwcCsvYnQreHYvOEZRYUZTVXhNUkZXcTlYclpOUysyTEpsQzdLeXN0eVcxNnhaRTF1M2JzWHk1Y3RMUEVaTVRJeExHditQUC80WWE5ZXV4WHZ2dlllMmJkczZsNTg0Y2FMWXYwRXZ2UENDVy9BSDJOUHpkK3ZXRFZPblRrWExsaTFkZWdXc1dyVUtEUnMydk9GdlJLK0dhN251WEt1ZjdhSTBUY082ZGV2UXFGRWpud05EQVBqcnI3ODhUc0hVcVZNbnRHdlh6bU4yN3NLYU5tMktSWXNXRmJ2TjlPblQ4ZE5QUCtIYmI3OTF6aG01ZnYxNnpKOC9IOUhSMGNYMkpKb3padzdXclZ2bnc1VjRWcTllUGF4WXNhTE0rMThQR0J3UzNYdzZuRDkvZmxOcWFtcHVSUmZFb1h2MzdzNGdKeU1qQXpFeE1Yand3UWV4WnMwYTV4Ly9YMzc1QmJ0Mzc4YlFvVU54eXkyM0FMQlBxL0RnZ3c5aXlaSWxhTk9tVGFtK3dDckswYU5IY2VMRUNYVHYzdjJLc2xNNi9Qenp6d2dKQ2ZIWUtsRWFqZ250YzNKeU1IWHFWQVFIZTV4TndZMmlLSmcwYVJMR2pSdUhIMzc0QVYyNmRNR2lSWXNRRVJGeFJlVzVtVjIrZlBsdmYzLy9oOHhtODA1Y0l6ZTBWOHJiK0srY25CeVByUmNKQ1FsUUZPV0swdi9QbXpjUEtTa3AwRFFORm92RjJhcDkzMzMzSVN3c0RMVnExWEpPekgzcTFDbTg4ODQ3R0RGaWhQUEdjdDY4ZWNqTmRmMHorY1liYitEQWdRTjQrKzIzRVJRVWhGYXRXcmxjMzdoeDQ5ektYTktFOWM4Ly96ejI3ZHZuMHMzdzRNR0RTRTVPUmxoWW1OZldKY0ErcGMzMDZkTjkrWFhjRks2SHVuT3RmYll0Rmd0YXQyN3Q4VHg1ZVhuNCsrKy9uWW5pU2pKaHdnUm5ncklwVTZZZ09qb2E2ZW5wZU82NTUxd1NsMzM2NmFjZXY3T21UcDJLTTJmT0ZIdU9sSlFVL1BEREQyamR1clV6TUFUc2M0a3VYcndZOCtmUHg2UkprN3p1Mzc5L2Y0K0oxbnp4L3Z2dnUvMU51QkV4T0NTNnljVEh4NWY5a2RsVjBxbFRKNFNFaENBbUpnYmg0ZUVBN0YwdjE2eFpBMFZSa0ptWmlVbVRKcUYrL2ZwdWY5U0hEeCtPWGJ0MjRmMzMzOGZubjMrTzFOUlVIRGx5eE91NUhFbGFVbE5Uc1dYTEZxL2IrZm41b1VXTEZzNkVMOTdrNWVVQnNIZWw4ZlFrMThGZ01DQWdJQUNyVjY4RzRMbUxhR2tkUDM0Y1NVbEphTk9tVGFuSHJ6aXluRG9DMU1PSEQrUDgrZk1ZTzNZc1ltSmkzTGJQek14RVhsNmV4eHQ1ZzhHQThlUEhvMmJObXNqSnlXRmdlSVgyN2R1WERlQ1hpaTVIZWZyOTk5L2RQdk83ZCsvR2lCRWpNR1hLRkxjdTBkdTJiVU5ZV0JqTVpyUEw4dURnWUovbkxmdmlpeThBMkxNZ3YvYmFhMWl4WWdWcTFhb0Z3RDVPT1NBZ3dIbUQ3cGczTkNvcXlybXNhdFdxYmplQ3djSEJtRFp0R3JwMTY0WXZ2dmpDR1J5ZU8zY09BTkNnUVFQbk9ZcXpmUGx5dDBuTkhlT2FIMy84Y1dSa1pLQkdqUm9sVGh3ZUdPaHhXcitiMXZWUWQ2NjF6N1pPcDNOcjZiTmFyZmpzczg5UXAwNmRFcnRwRmxhdlhqMW5sMWJIVUl1ZE8zY0NBQjU1NUJGblJ2UTNBSndBQUNBQVNVUkJWTzlxMWFvNXYrc0xLMmxZZ3BRUzc3MzNIaFJGd2F1dnZ1cXk3cFpiYmtHblRwM3cxVmRmNGRGSEgvVWE4TmFxVmN1bk91cEpVRkFRZzBNaW9uOUNTVjgra3laTndzV0xGekZqeGd5M0NiZHIxcXlKbDE5K0dkT21UY04zMzMySHJLd3NuNTZrYjl1MkRkdTJiZk82dm5MbHl2amtrMC9RbzBjUG42NWg2TkNoeGE3djNMa3poZzRkaXUrLy94NFJFUkZvMUtpUjJ6WWRPN3JOWHVEQ0VZZzZUSnMyRFZKS2RPN3Nscm5kbzZWTGx5STlQUjErZm40NGZQZ3diRGFic3d2b1hYZmRoVldyVnFGbXpack83U2RQbm96YzNGd1lEQVk0aHFJMmFkTEU2L0VIREJqZ1V6bm94bkgwNkZGczNMalI0N3JDbitjTkd6Wmc2TkNoempHNisvZnZ4NUFoUXlDRWNLdlRKMCtleExGajltRmhnd1lOY2xsWG5sMjZjbkp5bkRldWpyRzdlL2Z1ZGQ3OE9icGxGMVd6WmszTW5qM2JwZVZqOCtiTkNBa0o4VGhXU2dnQm04M21zcXhseTVhb1ZxMGE1czJiaDhxVks3dTBMdjcxMTE5WXMyWU5SbzhlamFlZWVnb0FzR3paTW16ZHVoV3paOCsrZ2l1bWluWXRmcloxT3AzYitQUDU4K2NqUHo4Znc0WU44N25WMEtIb3c5bWZmLzRaalJzM1JxMWF0WnpCNGUrLy80NlVGUGU4ZjQ2eWVyTnMyVExFeDhlamYvLytIdXZhcTYrK2l1M2J0MlBjdUhGbzFLaVJ5L2NaWU8rT2UvTGt5VkpkRDJBUFpoOS8vUEZTNzNlOVluQklSTmUwL1B4OCtQdjdvMy8vL21qUW9JSEhiYnAwNllMdDI3ZERyOWZqaVNlZVFNdVdMYS80dkhxOUhsV3JWc1g0OGVPditGZ0FVTGR1WGFTbHBjRm9OSHBOOVBMaWl5OFcyNTF6MXF4Wnp0ZFNTdVRsNWFGVnExWmV1eWNwaW9LUWtCQVlEQVlBOWkvdHRXdlhBckRmc01iRXhMaDg0Ulg5SW5XTUpRVHNUNXE3ZGV1R05tM2ErSEMxZExNNGZ2eTQyelF1anE1dTk5eHpqek5SVkY1ZUhyNzU1aHYwNnRVTHljbkplTzIxMTZBb0NtYk9uSW1tVFp1NjdPOElObWZPbk9ueW1Sd3hZb1RIK3JGaHd3YmNlKys5emhZU1g1MDVjd1pEaGd3QjhMOXVvWjk4OG9tek5kMXF0WHF0cTRYSGkyM2N1QkhyMTY5SDc5NjkzWkpNQWZZSFRULzk5Qk9DZzROaE1CalF2SGx6Tkd2V0RIWHIxc1hYWDMrTnVuWHJ1b3hmN05ldkh5SWlJdkRRUXc5QjB6UW9pb0tzckN4bjZ5UmR2NjZIei9hQkF3Y3c3Ly9adS9QNEp1cjBEK0NmWjVLMmFVdUJJb2RBa1lwMVlidllaQ2FpcUlzb0hxdW9yQW9peTNyaEJZaWlpUGpEQXdFdjhBS1ZSVUVSRVJWRkVCVmRWQlFWYjQ1azBoUktDMFZSdWUrMnRLUTU1dm45MFNTYnR1bEpNZEErNzllTEY1bVo3M3pubVJyc1BQTzk1c3hCV2xvYURNT284U1ZxeURubm5JUHlKV0VyOG5nOFdMVnFWWldXeVprelowWWRWdUh6K2FLK09BWEtaL21lTVdNR2V2VG9VVzFYNjZTa0pFeWVQQm5EaHcvSGlCRWpNR3ZXckFvLzUwOC8vUlEvL1BCRHJmZFQyYW1ubmlySm9SQkN4RnFmUG4zQ1U1WlBtalNweHJJbWs2bkNHL1hXclZzM1doejkrL2R2dExxQThpNC9sVjExMVZYaEZvS2FSSGFwSlNJODg4d3pLQ3VyZmliMk5tM2FZT1hLLy9Xd21qUnBFaDU1NUJFRUFnRVFVYTFkVWFQRktrU2s4ODgvdjhyRDF1dXZ2NDVaczJZaEl5TWpQRE5oU2tvSzNuenpUWFRyMWcwUFB2Z2drcE9UOGZMTEwxZVpLSW1aOGVHSEg2SnQyN2JvM2J0M2hXUDc5dTJya2tqdTJMRURFeVpNUUpzMmJmRG9vNCtpVjY5ZWRZNDlzcVdtb0tBQTExNTdMV2JObWhWKzJmTHd3dytIbHhwWnUzWnRoWmN6L2Z2M3g2QkJnekJ6NWt6TW16Y1B2WHIxaWpvSkJ3Q01IRGtTTTJiTUNFK3ljY0lKSitDMDAwNERVUDZRWG5tbTVXblRwdUdISDM3QWhSZGVpSVVMRjBhZFhHUDc5dTNJejgrdnR1dWNPUFljcTkvdFNJV0ZoUmczYmh5OFhpKzJidDFhcFhXek9qLysrR1BVRnlNLy9mUVRQQjVQbGU3UjgrZlBqL3E5bmpoeFl0UVd4UzFidHVEZWUrOUZRa0lDbm5qaWlScC9kNm1xaWttVEptSENoQW00OWRaYjhaLy8vQWZwNmVrQWdLZWZmcnBPOTlQY1NYSW9oQkRIcVpTVWxIcS9VVllVSmVvYlhpRWF5eGRmZklHenpqb3IzSVVVQUlZT0hZcFhYMzBWWThhTVFVWkdCbDU0NFlVcUxkVkErY1BrdG0zYkFBQUhEaHdJVDFXL2I5OCs3TisvdjhvRFpjZU9IVEYxNmxTTUh6OGVJMGVPeExCaHd6Qnk1RWdvaW9KVnExYmhqei8rd0MrLy9BS2d2TldnVmF0V1VXZnVyVTNidG0zRFBSTG16WnNYbm1uWWJyZkRZckhneGh0dnJQYUI5ZkxMTDYrMjFhR3NyQXhmZi8xMXVDdGU2RVZYYUlaU1pzYldyVnV4ZGV0VzdOdTNEeU5HakVCK2ZqNktpb3Bnc1ZnYTFBb2lZdU5ZL1c2SEhENThHUGZjY3crMmI5K08xTlJVTEYyNnROWno1czZkaTlkZmY3M2E0OTkvL3oxU1UxT2pqaStzcTgyYk4yUFVxRkVvS1NtcGtPZ0I1VC9UYnQyNlZhbS9mLy8rS0MwdHhaUXBVekIwNkZDTUhqMGExMTU3YmFOTUF0Y2NTSElvaEJCQ2lFYXhhZE1tNU9mblkralFvUlgyZCszYUZaZGRkaGsrL3ZoalBQVFFRMUVUUTZCOHJGT0xGaTFRV2xxS24zNzZLZHh5SCtwRkVLMzFwR2ZQbmxpd1lBRWVlZVFSekowN0Z6azVPWmd5WlFvKysrd3pmUFhWVi9ENy9RREtrenBGVWNJdDhJY09IUXBQQWhNYUM3Vm16WnB3OTgzSThVL3A2ZW5oS2ZnWExsd1kzdCs3ZDI5TW1EQ2h4aVVCUXNhT0hWdGxmTFhQNTBPN2R1M1F2WHQzNU9YbElTY25CeTZYSzl6OSs0WWJib0RYNndWUVBsbEhwMDZkMEs5ZlAyemF0QWxmZmZWVnJkY1V4NDVqOWJzTmxIZi9IRE5tRE54dU4wNDg4VVI0dmQ1YTEwQUVFQjZ5VUozQmd3ZmprMDgrd2V1dnY0N2JicnN0dlAvSEgzL0U1czJicTVRUEpjOGhlWGw1R0RGaUJFcExTekY1OG1TY2NjWVo0V01IRGh6QS9mZmZqNlNrSkh6ODhjZFZXdUFIRFJxRWR1M2E0WkZISHNFenp6eUQ3dDI3aDF0T3I3LysrbkJpWFpONTgrWWQwWklqeHl0SkRvVVFRZ2pSS0diUG5vMDJiZHBFSFpzNmN1UklmUDMxMTNqeXlTY3hmLzc4S2c5ekxwY0xMcGNMSTBlT3hOcTFhN0ZpeFlyd0EvU0tGU3ZRcmwyN2F0ZjhhOW15SmFaTm00WVpNMlpneVpJbEtDa3B3Y1NKRXpGeDRzVHdqSTRMRnk2c01LUGpuajE3d3RQOWg4Wmx6WnMzTDl5NjRQUDVxblQxaTJiY3VIR1lQbjA2T25YcWhJRURCMVk1L3ROUFAySFpzbVVWRnV3T0tTc3J3NldYWG9wYmI3MFY4K2JOdytiTm0rRjJ1OFBydk41KysrMDQ2Nnl6OE9XWFgrS3JyNzdDSTQ4OEFnQ1lOV3RXblI3ZXhiSGhXUDV1SHpod0FLTkhqMFp1Ymk1R2p4Nk4zMzc3RFV1WExxM1QrUExhWnZQdTNyMDdoZzRkaXRkZmZ4MkRCZzBLN3c4TkF5a3JLNnN3UTJubE1ZZHBhV25JeU1qQWRkZGRoL1BPTzY5QzNhKysraXBLUzB0eC8vMzNWL2wvU1Vob3FhdWZmLzY1d3RoOGo4ZURMbDI2VklncFVuNStQcFlzV1FMRE1HcTh2NlpLa2tNaGhCQkNITEVOR3piZzY2Ky94dWpSbzZPT1ArclFvUVBHalJ1SGlSTW5ZdXJVcWVGRUp5UXpNeFBubm5zdWhnd1pnalp0Mm1EcTFLbllzMmNQNHVMaXNITGxTbHgzM1hVMVhsOVJGTng5OTkzNDk3Ly9qYlp0MjlaWTltOS8reHVHRFJzV25tRTNOQzVyNXN5WjRZZklKVXVXNE9EQmc3WGU5OFVYWDR4ZmYvMFZiNzMxRnM0Kysrd0tZNTc5Zmo5ZWUrMDFuSHp5eWVqYnQyK1ZjNHVLaXNKSm50ZnJSWHg4UEc2NDRRYWNmZmJadVBiYWE5R25UeDlrWkdSVUdEc01sRCtVMTNVdFVoRjd4L0ozMitWeUlUYzNGOE9IRDhlTk45NklSeDk5RkVsSlNianJycnRxdmE5dnZ2bW15bmV6c3NHREIyUCsvUG40OHNzdncxMW41OCtmank1ZHVxQi8vLzY0L2ZiYnd5MmVHemR1UkU1T0RtYk1tSUZSbzBhaFJZc1dtRE5uVHBVNk4yL2VqTVdMRjhOdXQrT0tLNjZvOGZvbm5YUlMxSmxOTzNYcVZHMXkrT1dYWDJMSmtpVTExdHVVU1hJb2hCQkNpQ1BpOC9rd2VmSmt0RzdkdXRvSExxQjgvTjIzMzM2TGp6NzZDQjA3ZHF6UTFTdytQaDdUcGswREVlR0NDeTdBOU9uVDhlYWJiMEpSRlBqOS9qcE4yZ1NnMW9kbkFMajAwa3RyTFZPZjlkMkdEQm1DQlFzVzRMbm5ucXN3dy9IY3VYT3haY3NXdlB6eXkxWEcrdnI5ZnBTVWxJU1RRNS9QVitzNmJ5RmJ0MjZ0MDMyS1k4T3gvTjArLy96ek1YMzZkSng3N3JuaGZRa0pDUmd3WUVDdDllellzYVBXNUxCang0NUlTVW5CNzcvL1htRmNaVUpDQXE2Kyttck1uVHNYL2Z2M1IzSnlNaHdPQjE1ODhVVjA2dFFKVjE5OU5UcDM3aHkxenFlZWVncUtvdURCQng4TTd5c3BLY0dzV2JNd2NPREFDdU1TUmYxSmNpaUVFRUtJSXpKcjFpeHMyclFKVTZaTXFiVkZhL0xreWRpeFl3ZG16Wm9GWnNidHQ5OGVQaGJxOXRhcVZTdGNmLzMxbUR0M0xoUkZ3WUFCQTZwOVVHeUlqei8rT0R4ZUN5aGZ0Z1VvWC8rMDhteUpGMXh3QVZxMmJCbTFIby9IQXlKQ3ExYXRjUGZkZCtPSko1NkExV3JGb0VHRDhNMDMzK0NWVjE3Qm9FR0RLb3lWQ3RtNWN5Y0FoTy9MNC9IVW1oemVlZWVkT0hEZ0FQTHk4akJ1M0xpNjM3Q0l1V1A1dXgyWkdBTGx5OUdFeGlyVzVOQ2hRN1dXOGZ2OThQbDg0Ykd6a1lZT0hZb1BQL3dRRHp6d0FJcUtpckJwMHlZTUd6WU13NFlOcTNZODQ1SWxTK0J3T0hEbm5YZFdTQUs5WGk4Ky9mUlRyRm16Qm0rODhVYlUzZ3VpYmlRNUZFSUlJVVNEZmZYVlYzampqVGZRdDI5ZlhIenh4YldXVDB4TXhJc3Z2b2hodzRaaDl1eloyTE5uRDhhTkcxZGwzTkNRSVVQdzJtdXZvYXlzRE5kZmYzMmp4TXJNS0N3c3hJc3Z2bGhodkZSb1hOYTc3NzViWlVaRG04MFdOVGwwdVZ5WU9IRWlwaytmam03ZHV1SHFxNi9HMnJWck1YWHFWT1RuNTJQcDBxVTQvZlRUcTAzaTh2THlBSlF2T3dEVUxUbnMwNmNQdG16WmdvRURCOEpxdFdMT25Ea1lPblNvakQ4OHpoenIzKzJEQnc4ZThUSk9LMWV1aE1QaHdQcjE2K0h4ZUtLTzN3MnRKVHhxMUNpMGJOa1M3Nzc3THJwMjdWcHRuVnUzYnNYMDZkT2hhUnB1dlBIR0tuVk5tREFCOTk1N0w1NTk5bGs4OU5CRE5jYTNmZnYyQ3BOTFJjclB6Ni9ESFRaZGtod0tJWVFRb2tGeWNuTHc4TU1QbzNQbnpsWEdFTllrTlRVVnI3NzZLa2FQSG8wbFM1Wmc0OGFOZU8yMTE4TExRVEF6bm5ubUdmajlmaEFSSmt5WWdHblRwcUY5Ky9iMWpqSDBvUHowMDA5ajNicDEwRFF0dkJoNVNMUnhXZEV3TTBwTFMvSEZGMTlnL3Z6NU9QbmtreXM4WE45eHh4MzQ3cnZ2c0dUSkVyUm8wUUlUSmt5b2Rva0xsOHVGdG0zYjRvUVRUZ0JRUGpsSFltSmlqZmNTdWRicDExOS9qWmRmZmhsWFhubWxKSWZIa1dQMXV4MnBWYXRXZVBubGwyc3R0M2p4NG1ySDVpbUtnamx6NXFCbHk1YjQ5Ny8vamNzdXV3eloyZG5oNDh5TTc3NzdEcVdscFJnL2ZqeWVldXFwOEhqa2FMTVplendlM0hmZmZWQVVCWTg5OWxqVUpabjY5dTJMQVFNR1lNbVNKZWpWcTFlTkw2czJiOTZNRjE5OHNkcmpGb3VsMlM3N0pNbWhFRUlJSVJwa3pabzFpSStQeHdzdnZGQmhJcGFRVU5lMGFNbEx1M2J0OE5wcnIySDgrUEg0NXovL1dTR0ptalp0R3BZdFc0YXJyNzRhL2ZyMXcvMzMzNDlycnJrR045eHdBL3IzNzQrT0hUdGl3SUFCMWJhMEJRSUJQUG5razFpN2RpMjJidDBLb1B4aDhNSUxMNnl5SUhkOWZQdnR0L0I0UE5peFl3ZHV1T0VHakJ3NUVuRnhjZGl4WXdjV0xGaUE5OTkvSDRxaTRJb3Jyc0R5NWN0eHpUWFhoT01PSllGQWViZTlMNzc0QXYzNjlRdnZPM0RnUUhodHlGQXJha2xKQ1FCZytQRGhHRDU4ZUlWWU5tM2FoSll0VzhyWXcrUE1zZnJkam1ReW1lcTBabUtvNjZiSlpLcHlyRStmUGhnelpreUZmV1ZsWlFESzEyWDg5dHR2c1dYTEZvd2RPeFpEaGd4QisvYnQ4ZUNERDJMZ3dJRVlNR0FBcnIvKyt2QU1yRHQzN3NTRUNST3dhZE1tM0hERERkaTJiUnQrK2VVWGVEd2VlRHdlSEQ1OEdCNlBCNldscGVGL08xT21USUdtYWRYKysralRwdyttVFp0Vzl4OEt5ditOTm9mdXFwSWNDaUdPaUdFWTJMWjlCemIvOG11c1F4Rk53TGJ0T3hBSUJHSWRocWlqbTIrK0dmMzc5dysvNlM4dUxzYmt5WlBScWxVck1ETldybHdKczlsYzdWcGhTVWxKRmQ3ZUh6NThHSk1tVGNLWFgzNkpjODg5RitQSGo0ZkpaTUo3NzcySDU1NTdEaSsvL0RKZWV1a2x0RzNiRnAwN2QwWnFhaXB5Y25JUUZ4Y0hSVkZnR0FhOFhpOTY5ZXFGYmR1MklTMHREZGRlZXkzT1B2dHNwS2VudytmejRaTlBQZ2svVklmVU5DNExRSGpDa0l5TURLU25wK09oaHg3Q3lTZWZqRTgvL1JTZmYvNDVWcTFhQlVWUmNQbmxsMlA0OE9IbzBLRURici85ZGp6NzdMTjQ2NjIzOFBiYmJ5TXpNeE5ublhVV0xydnNNamdjRHV6ZHV4Y25uM3d5RmkxYWhKS1NFcXhldlRxOGx1S0pKNTZJNU9Sa1RKMDZGVmRjY1VXVkxyZTdkKy9HZ2dVTGNQNzU1emZ3djV6NHN4M3IzKzI2V0xSb0ViNy8vbnNrSkNTZ3JLd01QLy84TTA0OTlkUnFXOGNyVzdGaUJRRGd6VGZmeENXWFhJTG5ubnN1UEpObzM3NTlzWGp4WWp6Ly9QTjQ3NzMzY01vcHA0UW50M3J1dWVmZ2REb0JsTTkwT24vKy9DcDFtODFtSkNjbkl5a3BDYWVjY2dvMmI5Nk1SeDk5TkdycjRMUnAwMnBkby9HVFR6N0Irdlhya1pTVWhMaTRPUHorKys4b0tDakFaWmRkVnFkN1BaNUpjdGdBcXFyT0FnQmQxMGNjYVYwOWV2UTR3V0t4WEdFWXhrcTMyeTFQMStLNGMvandZVXg3OFNVa0p0WnRsajBoYW5MNHNBZEZ4VVd4RGtQVVEyUVhzSlNVRkRpZFRoUVdGb0tJMEtsVEo5eDc3NzNWTG5vZnllLzM0N2JiYnNPR0RSc3dZTUFBUFBqZ2crRVdpWTRkTytMWlo1L0ZqaDA3OE5OUFAySERoZzM0L2ZmZjhkdHZ2Nkc0dUJobFpXVUlCQUpRRkFWbXN4bVhYMzU1ZUMyMVNHVmxaWGoyMldlalh0OWlzVlE3QmluMEFOMjVjMmNzV3JRSWlxTGd0dHR1ZzlQcFJKczJiWERqalRmaW1tdXVxWENmblRwMXdyUnAwNUNUazRPUFB2b0l5NWN2eC9idDJ6Rm8wQ0M0WEM2Y2Q5NTU2TmF0RzBhUEhnMlR5WVRldlh0anlKQWhBTXBiRGlkUG5venAwNmRqMnJScDRYRmpJVWxKU1RqampETXdkdXpZV24rdUl2YU9oKzkyWGJSdDJ4YkZ4Y1U0ZE9nUVRDWVRMcm5rRWd3Yk5xek81Ly83My8vR25qMTdNSGJzV0hUcDBxWEs4WTRkTytLcHA1N0N0bTNiS2t6U00zejRjTFJvMFFJWkdSbG8wNllOV3JkdWpaU1VGTFJzMlJJcEtTbElTa3FxMHFJM1ljSUVMRnUyREt0WHI2NHlJVlMwYTFkV1VsS0M5OTU3TDd4dE1wbVFsWldGRVNPTytOSC9tRWUxRnptK3FhcDZMb0I1UkRUUzZYUiszaGgxYXByMkdRQTRuYzVManJRdVZWVlBKNkkxelB3dlhkZmZQZkxvUkVOa1pXWDFOcHZOSHpDemhabXZjcmxjMzhRNnBtTmRsNzltOVRTeDhqRVJaTTVvMGZnWWUveGs5UHRqZzN0ZHJFTTVucVgzc0owSDRuZGFwcVNjT0h2R2RQUSs0L1JZaDFRamg4T0JqUnMzNGwvLytsZXNRNm5WenAwN3NXWExGdlRxMVN0cXQ3cktQQjRQOXUzYmg4NmRPK1B3NGNNNGRPZ1EyclZyOXlkRVdqOC9yMTZMMFdQSFk4KytmUWZCdUdwTFh2UDhmWmlla2RVYlp1V2RoSVQ0OU5renBxRnZuM09PcUw3ajZidmRGQnc0Y0FBdWwrdUlXdGVaR1laaGdKbGhNcG1xVE9oekpINWV2UmJEN3hxRG91TGluV0Q2MTdIMDc2dzV0QnhlUTBScGdVQkFIakNFYUVSL2JIQnY2Tks5NXpVbXc1d1c2MWhFRThUR2pqODJ1VGZFT295bTRuanAvdDA2dFEzT09MUDNNUjluU0x2MkhiRGx0OS9yZFU3a3ZSVVYxNzRVd0o5TnVuWWZIWGE3SFhhN1BkWmhOQnVwcWFsSDNPMmFpT3IwNHFlcGFWTEpvYVpwMXdHb01DS2VtYThGOEl2SlpMcEswN1NvNXpIelBsM1gzd2x0WjJSa0pMUm8wYUttVnp1ZEFjQm1zOTFVWFFIRE1KYTUzZTdkOVFnLzZ1dUl6TXpNRnJtNXVjZmVidzhoZ01BZitldldBbGdiNjBDRUVEV1Q3dCtpcnFScmQwVnNHTmlRdjZsWlRFUWkvank1Ry9JUjhCK2JMMkdhVkhJSVlCS0FkR2IyUk81azVpUUFVNk9kUUVRV0FIa0F3c21oMld4dVFVVC9xZUU2bHVDNTFaWXhtVXdYQWFoUGNuaGhaQXdBb0dsYVAyWitWMVhWUWJxdWYxdVB1b1FRUWdnRXlOaHJZc1ZqR0l3ZHdVWFhoYWdMWXZqOFpPeU5kUnl4NXZQN01Xdk9YTVRIeGRkZVdJZzY4dmw4T096eDFGNHdCcHBhY2dobS9sRFg5VUYxTGE5cDJpZEF4VEZUZVhsNSt3QzBBQUJWVmMvU2RmMm5TdWQ4QmdDNnJrZU9PU1NiemRiZjVYTDlON0tzcXFxWlJEUTQycldKYUs1aEdLSFBRK3gyKzcwT2g2TXdlQTA3Z0ErSmlBM0Q4TmYxZm9RUVFvZ1E2ZjR0R3F5WmQrMDJpSGVid05zWTFMcXdxRGpXNFJ6N0RBWVJFY0JnQmtOcDh0T2FOSllkWGpaMnhEcUlTRTB1T1d4TVZxdjFEQ0w2VVZYVngzUmRyM0YxWDFWVkp4SFJJemFiN1NhWHkvVkdhRDh6L3dYQWZaRmxpY2dFd0JJSUJMNGdvckxnN2lURE1FWUFlTXBtcy9VQzhDa3pCd3pEK0VkMmR2YnFScjQxSVlRUXpZTjAveGFpQVg3ZmxMUGw1TzVadHdEVU1kYXhIQThzOGZoTGdrSzNrMEp4SHI4eDArUER4bGpIZER6Z1FHRFg5azNyTnNVNmpraE5NVG1NdDl2dGRWNFJscG1yWGVna096dDd0YVpwenhEUkJFM1Q5anVkenVlamxkTTBiUmlBUjVqNUhaZkw5V2JrTVpmTDlTR0NyWkFocXFxT0J6RFpaREt0TXd6ajFHQWNCd0NNMVRRdGw1a1hNSE1STTErV25aM3RxdXU5Q0NHRUVFS0lSbUg4bXUvT0I1QWY2MENPQjZxcU1oRjFabVpMb2xuSno4dlJWOFk2SnRFd1Nxd0RhR3hFZEFVejc2bnJId0FYMTFTZjArbjhQMmIrR01ERHFxcFdtWFBhWnJPZEN1QVZBQi9xdW40REFLTU9NUTRtb3VXaExxUkJ6eE5SR3dCTGllaFhuOC9YMitWeVNXSW9oQkJDQ0NHRStGTTB4WmJEN3dFOFVkZkN6RHdaUUhKb095MHRMYkZ0MjdiZEt4VjdGa0JiWnU1c3M5azZNM01LQU5oc05sdXdqb2NOdy9qYVpyUDFqRHpKWkRKdGREZ2NwWkg3TkUzTEFxQXljK1ZXeUkwQTNnUndFek1QWDdkdTNSOTF2UWNoaEJCQ0NDR0VPRkpOTGpsazVsMjZybjlXMS9LYXB0M0p6T0hrc0YyN2RuOGpvalhSeWlwS3hZWldJdEpEbjZPdGc4TE1ad0g0dWRMdVNjeTg2OENCQSs5Vkx1LzMreWVZemVhckFMeWNrWkZ4WmtGQlFWbmxNa0lJSVlRUVFnaHhORFM1YnFWSHFyaTRPQWZBcWRYOHlXVG1MeU9LdjFWRDJWT0xpb3IwaUxMSXlzclNtUGxLSXBxMlpjdVdLdlBYdXQzdXJjdzhtb2lzS1NrcE00L0M3UWtoaEJCQ0NDRkVWRTJ1NVpDSXVxbXFPcUllcDV3VXVSRnNyU3VvWENncks2dTl5V1JhaVBMSlpWWUJTR1RtdnhQUi9SNlA1ODdjM0Z4dlRSZkp6TXlNTjVsTWN3SHNMU2twZWJtNmNycXV6MWRWOVFvaXVrVlYxZDkwWFgrc0h2Y2loQkJDQ0NHRUVBM1M1SkpEQUZrb0h5TllWeFlBZVRVVnNObHMvWWxvTGhGdEpLSUxtWGtoZ0lPQlFPQktrOG4wdGNWaVdhdXE2dlc2cm1kWFYwZENRc0prSXJJQ0dKS2ZuMS9qZ2ptQlFPQW1rOG5VbFlnZVZWV1ZkRjEvdEI3M0k0UVFRZ2doaEJEMTF1U1NRMmIrVU5mMVFYVXRyMm5hSndEU294M0x6TXc4MFdLeFBBUGdPbVorbVlqdWRqZ2NQazNUQUFCdXQvdFh1OTErdW1FWTd4TFJHazNUWHZWNFBJL2w1dWJ1ckhTTnE1bjVmbWIrU05mMWhiWEY1SGE3UzFSVnZZeVpmeUNpeVpxbWRTNHFLaG90WXhDRkVFSUlJWVFRUjB1VFN3NGJRMlptWmd1THhUSWF3UDh4c3dmQUlGM1gzNDlXMXVGdzdBWHdEMVZWN3dFd3lXS3gzS1NxNm56RE1GN0p6czdXTlUzckRlQXRJdnFWaUc2dGF3eTZydTlSVmZVOFp2NHZFZDNlc21WTEs0Qy9BL0Ezd2kwS0lZUVFRZ2p4cDdEWmJPbEVOQS9BejdxdWo0OVdSbFhWcmdBZUFYQUpnTFpFdEpXWjN5b3VMbjZ5Y2dOSlZsWldzdGxzSGdkZ0NET25FNUdIbWRjQW1LcnIrb3FqZlQ5TldWT2NrSVpRbnZUVzZROHpVK1RKV1ZsWloxb3NsbCtaK1hGbS9rQlJsTDlWbHhoR0NPaTYvbHdnRVBncmdQZUk2QlpGVVJ4V3EvWHZBUG94czhmdjkxOFdUQ1FyWU9ZMEFDQ2lRNVdQNmJxK3ZheXNyQTh6TDJQbVp5Q0pvUkJDQ0NHRU9FNm9xdHBKVmRWbkZVWFpRRVI5cXl1WGxaWFZFNENUaUc1Rytkd2ZDd0V3RVQyU2twTHlBY3FmNzBQSWJEYi9DR0FpZ0lNQUZqS3pEdUFDQUYrb3FuckRVYnVoWnFESnRSd1MwZFdhcHZucWN3NHpydzk5ZHJ2ZGF6Vk5td2Rnb2E3cmErdFRqOXZ0M2dwZ21OMXVuMmdZeHBuWjJkbmZBL2plYnJlL3BldjY3d0JnczlsYUU5RnJBUGFqL0lzK0FJRFA2L1ZHSGErWW01dDdDTUJsOVlsRENDR0VFRUtJV05JMDdYa0FvMUNlYnpnQTJLc3JhemFiNXdGb0ErQm1YZGRmQjRDTWpJeUVsaTFidmtORVZ3WG45cGdmTEc1aVprdndXWHQxcUE2cjFYcXh5V1JheHN6VDdYYjdPdzZIbzE3NWdDalg1SkpEWmw1RFJDL1dvL3hZQUhFUnV3Sk9wM1Bja2NUZ2NEaCtCL0I3cFcwQWdNdmxPcWhwV2w5bWJvUHlOeUpibUhtc0xIb3ZoQkJDQ0NHYUNtYk9CUEFORVQzS3pCMklhRkcwY2xhcjlTOG9UeHhYT1ozTzEwUDdDd29LeXV4Mit5aG1IaEFjbWhWS0RnT0tvcHlqNjNxRkhubloyZG5MTlUxYlNVVDl2RjV2RHdBNVIrZk9tclltbFJ3Nm5jNk1CcHoyVmdPdWMwa0RyaE41ZnRzak9WOElJWVFRUW9oaldTQVF1TXJ0ZHBjQWdLcXFOVTBXbVE0QXpMeXg4Z0dIdzdGRDA3UXR6SHdHQUJPQUFBQ09ObFFycUJBQUZFV1JTUndicUVrbGg2S2kxcTFidHo3cHBKTkdFbEhYV01keUhPaGdHRVlLQUNQV2dRZ2hoQkJDSE85Q2lXRnRtTGtRQUlqbzFDaUhDVUFySWtySXlzcnFHQnpDRlZWbVptWThNNThKb0tTa3BPUzNCZ1V0SkRsc3lqcDM3dnczUlZFbUVsRkNyR001bmdRQ2dTd0EzOFE2RGlHRUVFS0lwaTR1THM1cEdNWnVJdW9kSEZ2NFp2QVFhWnIyT0lDMndYSXRhcXJIWXJFOEFLQVRnSm15L0Z2RFNYTFloQ21LWWpBekUxSHRoVVdrOXJFT1FBZ2hoQkNpT1hBNEhENnIxWHFYb2lqdkVORjhWVlZIRTlHdkFMSlFuaGk2QVdRRkFnRlBOVlVvcXFwT0J2QXdNK2N5ODhOL1Z1eE5rU1NIVGRnZmYveXhJVDA5ZmFKaEdDZkZPcGJqd0Y4VlJUa2ZBQ21LVWwwL2RpR0VFRUlJMGNpeXM3UGYwelJ0THpOUElLSXpBSFJuNWg4QVhCMmM1UjhtaytsQTVmTjY5dXpaSVM0dTdtMGl1Z0RBZHdBR3VseXVnMzl1OUUyTEpJZE4yTUdEQncrNlhLNm5ZeDNIOGFCbno1NjNLSXB5WHF6akVFSUlJWVJvanB4TzUxY0F2cXE4WDlPMFU1bDV1OVBwTEt5MHZ6ZUFEMURldWpqSjZYUStqdklKYThRUlVHSWRnQkJDQ0ZGWG1xWmRiYlBaR20zdFYxVlY3d3AyUjZxem5qMTdkbWlzNndzaGhLaWUxV3BWQVp4QVJOOVgydjkzQUN1WTJXOFlSbCtuMHprWmtoZzJDbWs1RkVJSWNkeGc1anVJNkNDQS80YjJhWnJXbTVuVGFqbHZoOHZsK2lIS29iOFJVZFJ6YlRaYjYwQWcwTVZzTnA5TVJDb3oyd0ZvUk5TNVo4K2VKNjVidDI3WEVkMk1FRUtJR2ltS2NsL3dZMmlTR3RqdDlpVERNQllDS1BUNWZHZkxXdUdOcTFra2gxbFpXY2xtczNrY2dDSE1uRTVFSG1aZUEyQ3FydXNyS3BkWFZUVVR3R1FpT2g5QUVvQThBTE9kVHVjckFEamFOYXhXNi9rbWsrbGVBTDJadVNVUjdRSXd3K2wwUGhPdGZHWm1aZ3VMeGZJVUFNM3BkSjdWT0hjcWhCQkhSMVpXVmhxQVpMZmJuUi9yaFgydG1BQUFJQUJKUkVGVVdDcGo1dnVJNkVwbWpqcFpBUkZaaU9nekFKZlhWcGVxcXUwQXJBVFFoWWhhS01yL090Z1FFWmpaQzJBZEViVUhzQ3Zpdkp0RDQyS2l4UGVjcnV2M1JUc21oQkFDc0ZxdG5iT3pzM2Npb3ZWUFZkV3hSRFNVbWIvVmRmMlQwSDdETUFZU1VTZG1uaWlKWWVOckRza2htYzNtSDFFKzQ5RXFBQXVaK1NRQUZ3QzRRRlhWbTNSZG54OHFiTFZhVlNMNm5wa3RBSllCMkFQZ1FnQ3pORTNMY2pxZG95cGZRTk8waDVqNU1XWXVKYUl2QU93RDBDMjRZR2NGd2JjZHR4RFJBd0E2Qm1NU1FvaGptcUlvRnlpS01rOVZWWmRoR0kvdTJiUG44KzNidDVmR09xNElYK3E2ZmttMEE2cXFMaVlpUzhTMkZVQTdBQ0NpemdEYXFxcDZJUUFFQW9HZFpyTlpBYkFld0E1bVRpT2l2ekh6a0VBZ2tPOTJ1emNEOEZlK0JoRzFEWDc4bXBuM1Z6cnNQdUs3RTBLSUpreFJsR0dhcHQwTzRHY0FoNWk1TnhIOUZVQitXVm5adFpXSzJ3Q0FpQWFvcXFwVlUrVjN1cTQvZHhSRGJyS2FRM0pvWW1hTFlSaG5abWRucnc3dHRGcXRGNXRNcG1YTVBOMXV0Ny9qY0RoOEFHQXltUjVqNWtSbXZrTFg5ZjhDNFpiSGxjdzgwbXExdnBDZG5iMHhWSS9OWnJzR3dPTkU5TFBINDdrcU56ZDNaK2lZM1c2UGl3eEVWZFYvTWZOc0lrb0I0RUI1Y2lpRUVNY05JcktaVEtZbEhUcDAyTk8rZmZzdmd1TkFjcjFlYjg3Njllc3JKMFdOb21mUG5oM2k0K012QWdCbVBoRkFTMDNUcmd2Rzg3RmhHUFd0OG1FQWx3WS9KNkI4a2VVUEFjQmtNcjNsZERwN2hBcXFxdm93Z0ZOMVhWOWFVNFdHWVp3UWJHVWNwZXY2aHZvR0pJUVF6Umt6cndMd1R5TDZCNEE0QUw4Q21PVDMrNS9OemMwdHFWUzhaZkJ2T3hIWnE2bXl1bVV2UkMyYVEzSVlVQlRsSEYzWEt5eFBrSjJkdlZ6VHRKVkUxTS9yOWZZQWtCTThsRVZFdjRRU1F3Qnd1OTBsTnB0dHRxSW9yNWhNcHA0QU5nTGx5WjloR05PWitRQ0FBYm01dVhzaXJ4RktPQ09jd3N4L01QUFRobUY4YWphYlpieUtFT0s0dzh3Z29uWkVOQlRBWUdiZW1aQ1FzRWxWMWRVQVB0SjFmUldBZW1kczFUR2J6WDlGY0x4SnhMcXRid0tBeitjN3pXUXlBVUI3bTgxMlpUVlZkQUlRVGx4MVhiOG05RmxWMVZsRWxLYnJlcTFkVG1zU2Fqa2tvajIxbFJWQ2lPWkcxL1hGS0g4UkY1WEw1Zm9Dd0JkMXJPczJBTGMxVW1paWt1YVFITExENGFodTNicENBRkFVcFN4Y21Ia3pFYWxwYVdtSlc3ZHVQUnphVDBRbkE0RFA1OXNVMm1jWXhxVkUxSm1acCtpNlh1c0RRU0FRbU81MnV4OEhBTHZkM3BZNTZ2QkZJWVE0NW9YKy8wVkU1dUNFTG1uQmNkci9wNnJxNzBUMGZGbFoyUnVOMFpyb2NybStUVTlQVHdTQU5tM2FMQU53Y1AvKy9VTUJZTXVXTFdXcXFnTGxML2JlaW5aK3NFdnBaNkZ0dTkzZTFqQ01VTGVrQ3QxS0R4OCtyT2ZsNWUyclhNZHBwNTJXR2g4ZjN5RVFDSnlvS0VvSEFBNm4wMWtRVWFRdGdJREQ0VGdxcmFkQ0NDSEVuNkU1SklkUlpXWm14alB6bVFCS1NrcEtmZ3Z0Tnd4amdxSW9LOXExYTdld1E0Y09Zd29MQy9la3BLUmNBMkFzZ0xkeWNuSnlJcXE1Q0FDSTZOUE16TXdURXhJU0JqTnpaMFZSZnZkNnZZc3J6MlRuZHJzck40c0xJWm94VlZVNytmMytscldYQk14bTg3NUtMNkhpZ3VjbjF2Rnl1M0p5Y3NJTENLZW5wMXZhdEdtVDV2UDVhdjA5b0NpS29TaEtTbWc3b3ZVdU1rbU0vSHdTZ0dueDhmR1RWRlg5SHNDM3pQdzlFZjJxNi9yMk9zWWJ5ZGl5WllzSEFGSlRVNDNJN1dBTXJ6UHpXeTZYNjhOb0o2dXFPcENJekJIbFR3ZXdPTGhab1Z0cFltTGlyWnFtWGN6TUhZaW9Bek4zQTlBcUxpNXVQek1qMkhXMDFEQ00yd0JFSm9jbk1ITkFWZFZYQUhnQjdFRDVPTWlmR25DL1FnZ2hSRXcwMitUUVlyRThnUEt1UmpNTENnckNMWWZaMmRuZmE1bzJBTUIvbWZtS2xpM0xuOXVZK1NNaXVybFNOYWNGLzI1bnNWZytCdEFxOU5BVUh4OC9SVlhWcTNWZC8vSm8zNHNRNHJnMTJtdzIvNk9PWlY4SDhHSm9JemlyNW1ObXMvbTA2ay81SDJaK0ZzRGJvZTJVbEpSVG1YbWEyV3h1VzhOcEFBQWlLbVBtdk1pa01PSll0R3VGanJVRTBKK1pMeUdpWFVTVXA2cnFhc013dnM3T3p2NFNqYkFtbGRWcTdZenk4U21vcmxzcE13ZVlPV0MzMjA5eE9CeWJuVTduWndCYUFGVzdsZHBzdHRaRWRDWEtFNzhmQVp6SnpQMlkrUitLb3V3cUtTblpsWitmWHh6bDU5QVdRRHlBV3lKMlA2cHAyaWQrdjMrSXZCd1VRZ2h4UEdpT3lhRVNYUEQ0WVdiT1plYUhJdzhHRjl1Y0I0Q1plUVdBQXdCNkF4akF6RThBdUQraWVPaWg2bm5ETUI0M0RHTyt5V1F5QTdnVndDUUE3NTEyMm1tblJMNnRGMEkwUDFsWldlMFZSZmtuRVozQXpPKzdYSzVROS9TdVJHU3JTeDNNM0xIU2RyeWlLS2NpT0d0YkhjNXZGN2xOUk1sRTFCUEFpWFU0M1VORU8yb3JGRW9VUThsaGNHd2lpRWhCK1FSY0hRRjBVUlJsTjRBcXl3alZoNlpwV1FEK3djeGJpV2dCTTllWWZCRlJNak9QQWZDOHBtbjltRmtKN3EvUXJaU0lEam1kemlHaDgxUlZmWmlJenRWMVBkb2FpWkgxLzcyd3NMQzRvS0RBMzdObnowNXhjWEhuQVhpTWlDNDNtVXd2QWJqeFNPNVhDQ0dFK0RNMHErU3daOCtlSGVMaTR0NG1vZ3NBZkFkZ29NdmxPaGc2YnJmYms1ajV2d0FTQTRIQUdkbloyVG9BcEtXbEpiWnYzLzUxQU9OVVZWMFhXdm9pTkRVNk03L3Rjcm1lamJqVW81cW0vUTNBNExpNHVNRUFadjlKdHlpRU9BWXBpdEpKVVpSN0FmUmc1andBb2VUd1JXYitxQzUxK0h5KzNNaHR3ekQyRU5FRS9POGxWWTJZMlJtNTdmVjZOeW1LTW9LSWF1Mld5c3dCQUg5UkZLVkt5MXgxWTZlRDNVekxBR3hqNWo4QWZNZk1uN3BjcmgvckVtOWxkcnY5bEVBZzBBZkFLUUM2QWhnSTREQVJqUUZRcU90NjYxQlpxOVhhV1ZHVVZycXVoMzltcXFvZWltamxYQUxBVE9VN2tsRGVndmxoOEg1eUFWUlpocWcya1dQYmcrdHV2YWxwMmsvTTdBSndYWThlUGU2Tk5wWlJDQ0dFT0pZMG0rUlEwN1RlQUQ1QStZUFVKS2ZUK1RncWRXa0tCQUtERlVYcENPQ2hVR0lJQUZ1M2JqMmNuSng4VzFKUzBwVUF4Z0NZRHdETWZDajRBTFFreWlVL1Eva3NmcGxINlphRUVNZTU0SGkwQm8xSkMzWlRiSEMzOVdDaVVxZkVGQUJzTmx1NDVhdW1oREI0ZkI4ekx3ZXd3dS8zcndQd3E5dnQzdDNRV0RWTnU0NlozMVFVQmN6TVJMUStFQWlNTFN3cy9EWTFOZlhLeWwxYkZVVjVHT1hyMDU0YXJUNm4wOWs2ZUU5WEtvcnlBWURQS3M5V2FyUFpXaHVHMFlHSXVnQ0kxelR0bm9oeGlCMklxQU9BeVU2bjgrUHE0blk2blFXcXF2NUlSQmNsSlNWbG92eWxwQkJDQ0hITWFoYkpvZFZxL1R1QXo1bDVQelAzcmU3Tk5SSDlCUUNZZVYzbFkvbjUrY1dhcG0wQjBEMmkvQzhBckpFVEhZUXdjM0h3Z2FYYWFYdUZFT0o0VjJseW1qVUEvc1BNU3c4ZE9uUzRvS0RBQzZBeHBtVjJNL01EaG1GOHJDaktDOHg4TURzN2V6a0FwS2FtUml2ZkVrQ3RZL3lJNkU0QXhjeWNyS3JxemJxdXo5VTA3UzFtSGtSRUNjSEpaMElKNlhBQU81bDVKelBuRTlGS3Y5Ky9zY1lMbENzR2dFQWdJTk5UQ3lHYUJGVlZCeEJSMUplTHdkOEozMmhheGJYcG1mbWE0SElXNGhqWDVKTkR1OTJlWkJqR1FnQ0ZQcC92N0dCM242Z2kxcWZLcUh3c1BUM2RBdUFrWm81OCsvMGRnS3NBbkl0S2IvK0pTQTErbE1XUWhSQk5TdkNYLzJFQTJ3RDhZaGpHdHo2ZmIrSDY5ZXNMYWo2ellaeE9weHVBR3dDQ3kxYlVGbDgzQUZ0cktxT3E2cmtBc3BqNUF5STZoNWxmc05sczNabjVGUUJ2Ky8zK1hVUzBTMUdVMjRub2JxZlQrZGY2eGgzOHZYRW1NeHRtc3ptdnZ1Y0xJY1N4cUxTMDlPdWtwS1E5Uk5TdTl0SUFNKzh0TGk1ZWZyVGpFbzFEaVhVQVI1dGhHQU9KcUJNeno2b3BNUVFRNmg0YUlLSnhXVmxaSjBjY01yZHAwK1pGQUlsRXRDaTAwK3YxTGdoMkxiM1Back9saC9hcnFwb0o0RTRBcGZqZmRPbENDSEhjWStadHpEdzNFQWlNQ1FRQ2czZnYzbjJseStWNjRtZ2xodldscW1wWEFMMlkrVENxL3gxbkpxSVpBUDZEOGlRM0Q4QmxpcUxjUlVSWDZicitxZHZ0ZG1abloyOEQ0S3ZtT3JNMFRYc0lBTHAzNzU0U210QW1KQzB0TFRFMU5YVldjTUtiRDJwWWIxY0lJWTRyd1JtYlEwT3NxaTBYTVhQMXdvS0NncUkvSlRoeHhKcDh5eUdDTS9rUjBRQlZWYlZxeW55bjYvcHp1cTcvcHFycUdBQXZtTTNtZGFxcWZnbmdJSUN6QUp6S3pObWxwYVdQaGs1YXQyN2RMazNUUmdPWXF5aEt0cVpwSHdOSVl1YUxtVG1SaUc2c3RDNlpFRUljcjdJRGdjRFZpcUtzVWhUbG9LN3JoOUU0WFVhUENETnZSdkFoSlRNek01Nkk1Z1lQRGRRMFRRY3d4dWwwZmdWZ3RtRVlMZ0JRVmZVUkFKMjhYdTkvNHVQam53UUFYZGUvRFk1dHZOSnV0OGM1SEk2b1NXRUVqWm03QUlESlpFb21vaTgwVGNzTGRxMU5KcUt6QUhSazVnMktvb3hvL0RzWFFvallZZWFGUkRTYWlPSkNNMU5YT2g3YTUvUDcvUi9FSkVqUklNMGhPUXd0TUcwbkluczFaY0tMS2V1NlBrUFR0UFhNUEphSXpnR1F6TXkvTVBNamUvYnNlWGJyMXEySEkwOTBPcDJ2MjJ5MlhVVDBJQkZkeGN3R2dKOE53M2dpT3p2NzY2TnpTMElJOGVkeXVWd3VBSzVZeHdIQWhJaWsxT1Z5clFHd1JsWFYwd0c4QktDWFlSaWppR2cxTTc5SVJDdFVWZjJJaU83VGRiMGdMUzB0RWNEOWhtRmN2Mzc5K3YyUjNWU2RUdWNTbE05a0drWkVCak9iS3NWQVJOU05tYjhEZ0tLaW9rS0x4VElQUUQ4aUdnTEFEMkF6Z05sbFpXWFA1ZWJtSG1yOEg0TVFRc1NPeCtQNUpURXgwVjNEc3pVQWdKbmRBUEwvcExCRUkyanl5YUd1NjdjQnVLMCs1d1RmTW45VjEvSXVsMnNaZ0dYMXVVYXdpNUZNVmlPRUVMV3dXcTJkVFNiVFZZWmhtQUNjVGtRTE1qSXlFbEpTVXZvUTBaa0Fya0Q1Mkw2RGhtSDgyK1Z5TFFpZWVvNnFxdGNSMFRSbVhxK3E2b3pTMHRMSkFHNXl1VnlMcXIxZ2hPQTZpaTFVVlgyU21UY0NBQkZwQUU0Z29oK0E4aG10dDI3ZE9xeng3MXdJSVk1TnljbkpSY3o4TTRBYWswTWkrcm0wdEZSNjBSMUhtdnlZUXlHRUVNYzNSVkVZd0F4RlVaNEhVQVRnbFlLQ0FqOFJUUVh3T0lCa3d6REcrZjMrYmhHSklRQ3dydXR2ZXIzZW5rUzBqSWo2dFdqUklxRHIrcnYxdVBaaVp2NE13RmhGVVY1WEZPVjFJcm9Gd090T3AvUER4cnhQSVlRNFhqZ2NEbDhnRUhBemN5bFFjZXhoeEdlUFlSaHJDd29LeW1JUW9taWdKdDl5S0lRUTR2aW02L3AybEhjblZWRGVaUk1BNFBmN3J3VGdyVzBOeFhYcjF1MENjRlZtWm1hTDNOemMwa3AxMXpnZTBPRndsQUs0dEtHeEN5RkVVMlVZeGsrS291d0IwRFhhY1dZdURnUUNqajg1TEhHRUpEa1VRb2lqek9mekhZcVBqMStOOG5YeVpOYktoakdDZjhMY2JuZU55MVZVSm1QL2hCQ2k4ZVRrNUt4VFZUVVB3ZVF3c3ZXUWlNRE1CVGs1T1ZYV0RoZkhOdWxXS29RUVI5bjY5ZXUzbEpTVWpDMHJLL3RYU1VuSm1sakhJNFFRUWpRQ05neGpZZVdaU2lPOGlXTmdWbXRSUDlKeUtJUVFSNTkvNDhhTjBtSW9oQkNpU1NrcEtYay9KU1hsT1FDcG9YM0JWc09EaFlXRkMybzRWUnlqcE9WUUNDR0VFRUlJVVcvQnhlMC9pZEo2K1BrdnYveFNHSU9ReEJHUzVGQUlJWVFRUWdqUklNdzhtNWw5RWR1K1FDQXdMNVl4aVlhVGJxVkNDSEdVV2EzV3prUjBnNklvN1gwKzM5eWNuSnljV01ja2hCQkNOQWEvMzE4UUZ4ZjNHeEZsQUFBekZ5aUtraGZydUVURFNNdWhFRUljWlVUVVRsR1VHd0RjWXpLWlRvbDFQRUlJSVVSajJiOS9mekdBdFJHN3NvdUtpZzdFS2g1eFpDUTVGRUlJSVlRUVFqVEk5dTNiUzVuWmlmSjFhQVBNN0pUeGhzY3Y2VllxaEJCQ0NDR0VhREFpV2cxZ0x6TmJncC9GY1VwYURvVVFRZ2doaEJBTnB1djZTZ0FGUlBSSDhMTTRUa25Mb1JCQ0NDR0VFT0tJTVBON3pKd1k2empFa1pIa1VBZ2hoQkJDQ0hGRVNrcEsza2xPVHE2eTRLRTR2a2h5S0VTTWFKcjJPNEF1MFk1NVBKNlUzTnpjUTM5eVNFSUlJWVFRRGJKeDQ4YTlzWTVCSERsSkRvV0luYmJNdkF2QTk1VVBsSmFXK21NUWp4QkNDQ0dFYU1Za09SUWlCdExTMGhJQkpCTFJ4MDZuODlwWXh5T0VFRUlJSVlUTVZpcEVETFJ1M2JwdDhPT2VtQVlpaEJCQ0NDRkVrTFFjQ2hFREpwT3BMUUF3OCs1WXgzSWswbnYwU0FmSDk0aDFITWU2WW8vUklUR2VONWtVWmIrbnpPaWEzajNya2xqSGRLd0xCSXhOZnhTczJ4enJPSVFRUW9qbVJKSkRJV0pBVVpRVEFJQ0lMbFZWdFFzekZ4UFJPbVplNG5LNURzWTZ2cnBJNjJZN2xjQkxtSkFSNjFpT2RRRUFoN3dBWUFBZ0RUS1hXNjFNWnRPT3RHNjJmMno5eGJVcDFyRUlJWVFRellVa2gwTEVScWhiYVc4aTZrMVVuaTBRMFRSVlZXL1FkWDFwN0VLckczTThPak9oclVLSzVZUTJiWkNRRUIvcmtFUVRVRmJteGY0REJ4QXdqRlJ6UERvRGtPUlFDQ0dFK0pOSWNpaEVEQVFDZ1k5TFMwdGJGUlFVbEhidjNqMHhJU0hoVkxQWmZDZUFZUUFXMmUxMnE4UGh5SXQxbkhXUmxKaUllMGZmZ2F5ZWY0dDFLS0lKY0s5Ymo2ZW52NGdEQnd0akhZb1FRZ2pSN0VoeUtFUU11TjN1a3REbi9QejhZZ0JPQURkcm11WWpvdHVaZVFTQWUySVdZRDBvSmdYcFhVOUM1bCs3eHpvVTBRUVVGUmZEYkpKZlRVSUlJVVFzeUd5bFFoeERETU40SS9qeHRKZ0dJb1FRUWdnaG1oMUpEb1U0aGdRQ2dXSUFZR2FPZFN4Q0NDR0VFS0o1a2VSUWlHT0kyV3crTC9oeGZVd0RFVUlJSVlRUXpZNGtoMExFZ05WcVBkOW1zN1dPM0tlcTZsbEU5Qmd6RzBUMFdxeGlFMElJSVlRUXpaT00raGNpQmhSRnVaYUlQbEZWOVJzQWU0am9GR1krSjlpYjlHNm4wK21PY1loQ0NDR0VFS0taa2VSUWlCZ2dvazhBMklpb0Q0QWtadDRQWUNrUlBlZDBPcitMY1hoQ0NDR0VFS0laa3VSUWlCaHdPcDJmQVBnazFuRUlJWVFRUWdnUkltTU9oUkJDQ0NHRWFPWlVWVzFudDl0UGFhVHFxSkhxRVg4eWFUa1VRZ2doaEJEaU9LSnAyaVhNM0ZmWDlRY0FJQ01qSXlFcEtlblVlbFR4cTl2dExxbTA3LzhNd3hnQ0lDMWlYMTF5QlFZUUNHMm9xdm9JZ05OMVhmOW44QmdBd0c2M3Q2MUxZSWNQSC9iazV1WWVDbDNmWnJQZGJqS1pYblU0SEw3Z1BoUHFuM3dHSW1NUjFaUGtVQWh4ek5CMUhWNnZGMmVlZVdhajF1dDJ1OUcrZlh1Y2VPS0p0WmIxZXIxd3U5MUlUMDlIMjdiLyt6MVdWbGFHano3NkNBTUhEb1RKWktweTN0NjllL0hTU3kvaDBrc3ZSYTlldlJvYzYrSERoNUdZbU5qZzg0K21aY3VXSVMwdERWbFpXYkVPUlFnaG1qWERNRlJGVWNiYmJMWWNsOHUxSUNrcDZWU3oyWnhUMS9PWitTSUFYOVpVUnRPMERBQ2I2bENkdytsMG5oNVI5KytLb2t4V1ZYV0NydXVQQWtCbVptWUxadDVUbDlnU0VoSmVBM0JyTUlZTG1IbUdZUmpEYkRiYk5TNlhhNHVxcWl1SjZKeTYxQlVSMHdSZDF4K3Z6em5ObFNTSFFvaGp4cng1ODNEdzRNRkdUUTU5UGgvR2pSdUh2bjM3NHNFSEg2eTEvSUVEQnpCOCtIQk1uRGdSQXdZTUNPOWZzV0lGbm5ycUtTUWxKZUh5eXkrdmN0NmhRNGZ3MFVjZm9YdjM3ZzFPRGxldVhJa0pFeWJnaFJkZWdLcXFkVDd2NE1HRERib2VBRmdzRmxnc2xqcVZmZUtKSjlDL2YzOUpEb1VRSXNaY0x0ZFRtcWIxVnhUbEpWVlZmOUIxUFRjek16TUZBT0xqNHdjYWh2R3ozKy9mRmlwdnNWZ3VZK2JIaU9oRVpuNityS3pzNTlxdTRmRjRkbG9zbHV1akhXUG1pNG5vZWdBQlpsNWFLYlo1bXFaZENtQ2lwbW1yblU3blo3bTV1UjZielRhc2pyZTNNZlRCNlhSK2JyVmFMMVVVNVIwaWNsaXQxbjhSMFZURE1HcDkyMHRFc3dGOHhjd0xBYXl0NDdXYlBVa09oV2htTkUzclUxUlV0THFnb0tBczFySFU1dXV2djhiRER6OWNwN0xubkhNT25uNzZhZXpidHc5dWQ4V1ZRTEt5c3ZEeHh4K2pWNjllTUpzci9tK3ZUNTgrS0MwdFJXbHBhWTB0aXhkZmZERm16cHlKdVhQbm9uLy8vbENVeGgreWJiVmFZVGFiOGRoamorSGRkOTlGZkh4OG5jNjc1SkpMNFBQNWFpOFl4WFhYWFljeFk4WTA2RndoaEJBeFl3QVlCc0FOWUFhQUFibTV1WWV5c3JLU0ZVVVpTa1N6VFNiVDY4ejhHUkhkRDBBbG9wbWxwYVZUOC9MeTlrVldwR25hblFEQXpEWUF5YUZ0SXBycmNEamVpaXhydDlzN012TjBJcm9Xd0NyRE1FYTRYQzVYbGVBTVk3aWlLR2NCbUdtMzIzczRIQTZmeStXYTE1QWJ6YzdPWG02MVdzOVNGR1dKb2lobFRxZHplVjNPMHpSdEZvRDF1cTdQYWNoMW15dEpEb1ZvZnI1TlNVbjV6V3Exem1MbWhVVkZSVHUyYk5uaVJma3ZtbVBLeVNlZmpHSEQvdmVpY2RHaVJVaElTS2pRb2djQWI3enhCb0pyUkNJM054ZjMzWGNmMnJWclY2Rk1xMWF0OE54eno0VzN2VjR2Q2dzTDhjMDMzMkRldkhuNDhNTVA4ZFZYWDFVYmk5bHN4cEFoUS9EcHA1K2lzTEFRcWFtcDliNmZMVnUyNE50dnY2MnhURVpHQmdvTEMvSE9PKytBS1BxUUNvdkZnc0dEQjFmWWQvYlpaMWRwMFR4MDZCQ2VmUEpKWEhiWlpUam5uS285Y0I1NTVKRjYza0gxU2t0TGtaU1UxR2oxQ1NHRXFKblQ2U3pRTkcyWTMrOWZBd0JXcS9VdnpCenY5L3ZIS29weUZoRTlxQ2pLQ0FDRmhtRmNZeGpHYi9IeDhSMnpzckk2TXZPMm5KeWNBd0RBekZNQmdJamltZGtjMnZiNy9lOEJLQTFlVHRFMDdRNW1mb0taRFFCMzZMbytHOVU4TzdoY3JvT3FxbDZ0S01ydWlMR0NEWmFkbmIwUlFGWjExeE9OUjVKRElab2hJdXBxTXBtbU1QTkRxYW1wMzZlbXBuNUpST3U5WHUvNmRldlcvUkhyK0VMUzA5Tng2NjIzaHJlWEwxK09qaDA3VnRnSEFPKzg4MDZWcnBHZmZmWlorSE51Ymk0Ky8veHozSEhISFVoSVNBQUFmUGZkZDdqbm5udHF2UDYrZmZ2dzVaZi9HNUxCekxqODhzdXhmUGx5dEcvZkh1ZWZmMzY5N21mejVzMllQWHQyMUdOZXJ4ZUdZU0ErUGg2S291Q1ZWMTZwdHA3V3JWdFhTUTY3ZHUyS2YvempIeFgyN2QyN0YwOCsrU1I2OU9oUjVSZ0FUSnc0c1Y3eEE4RHExYXZCekJVUzE5MjdkK1BtbTIvRzBLRkRNWFRvMEhyWEtZUVFvbUdjVHVmQzBHZEZVWllUVWRjb3hWb3BpdkpKWkk4WFpoNEpZQllBNkxyZUFnQlVWWDBXd0JCZDF5TW5wSUdtYVhabW5nWGdkQUJ2KzN5K3NldldyZHRWVzJ5NnJxOEZBTHZkSGhjSUJKTHJjMStHWWZqY2J2ZGhWVlh2Q1FRQ3M0T1Q1eGdBa0pXVmxXd3ltYUplbjRpZWREcWRUOWJuV3FJaVNRNkZhS2FDRC9ndEFGd0M0QkptUGhnZkgvK0h6V2JMQnZDK1lSaGZSSm5KN0UvajhYaXdlL2R1K1AxK2RPdldEUURnOS91alR0Ymk5L3ZEWFREUE9PTU1QUEhFRTFpMmJGbjR1SzdyV0xKa0NicDI3UnBPSXN2S3lqQno1a3kwYU5HaTJoaTJiOStPWjU5OXRzcCt3ekNnYVZxOWs4TUxMcmdBRjF4d1FaWDlEb2NEbzBhTlFzK2VQZkhTU3k5VnVNZXlzckp3UW5zMGVUd2V2UEhHRzFHUDllclZDNXFtQVFDMmJ0MktWYXRXb1hmdjNnQ0FvcUlpakJvMUNqdDI3RGdxWFcyRkVFSlVwR25hTU1Nd1RnaHVGcnBjcmxkRHg1ajVzYkt5c3FkRDJ4YUxaYXRoR0JPOVh1OXJvWDBKQ1FrNzYzS2RqSXlNbGlrcEtZOHo4eWdpMmdUZ0FxZlRXWDBYR3dDcXFnNWg1bkJ5U1VSdkdJYlJWMUdVUlhXOVB3QlFGT1Z6VGRNbUFaaHFNcGx1dHRsc1Y3bGNyazBBNFBmN3lXdzJKelB6QWdEZlJWeHJHb0M2amNjUTFaTGtVSWhtaW9qQ1hUR0RyVUN0bWJtMW9paW5BYmlPaVBab21yWWdFQWk4dW1mUG5sKzNiOS91QmVCdjdEaUtpNHZ4L3Z2dlk5ZXVYY2pMeTBOUlVSSDY5ZXVId3NKQ0FNQ1paNTZKbDE1NkNVQjVvaFF0T2ZSNnZlSGtNQ0VoQVFVRkJWaXpaazM0K0lFREJ3QUFTNVlzcVREVDZKQWhRNnJ0dWdrQXA1MTJXb1Y2QUdEeDRzV1lNbVVLcnJqaWlxam4rSHcrckY2OUdtZWNjVVpkYmgvNStma1lNMllNTWpJeU1HUEdqQXIzOTk1NzcrR05OOTdBN05temtaYVdWa010UUVsSkNiWnYzMTVoWCtpK0N3c0xxeHdERVA3dkQ1UW5oL1BuejY5U3h1UHh3R3cyaDVOREFIanJyYmZRdTNkdkhEeDRFSGZlZVNkKytlVVhQUERBQXhnMGFGQ2Q3bGtJSWNRUnVaT0l1Z2U3Z1c0SDhHcXRaOVNUM1c1dkZRZ0VyaUtpdTRLN3VqTHowaG9tUzl1ajYvckpBRzRtb3JPSnlBVEFZaGpHbDRGQXdHazJtMGRHbE8xTFJFT1llVDZBbjZKVnhzeS91MXl1bjYxV2F6K1R5ZlFCRWEzUk5PMDZwOVA1U1VTeDczUmRueFhhMERSdGFzUHZXSVJJY2lqRThjRUVnREl6TXhXdjEwc2VqMGZwMEtFREhUNThXQWtFQXVUeitaVGs1R1RGTUF6eStYeUtZUmhrc1ZnVXd6QW9FQWdvRm91RkFvR0FFaGNYVjZGcEoxcGlGSkV3dGdOd3Q2SW9JenAwNkpEVHZuMTdKek92Q2dRQ2E5ZXRXK2V1Y21JREhUNThHRE5tek1BSko1d1FIcmQyNmFXWG9uMzc5dWpRb1FQUzA5TXJsRTFPcnRvenhlZnpWZWhXZXVlZGQxWTR2blRwVWt5ZVBCa3Z2L3d5VWxKU0doeXJydXQ0NXBsbmNPV1ZWMkxBZ0FFb0xpNnVVdCtDQlF1d2E5Y3UzSGJiYlJneFlrU045YTFidHc1MzNYVVgwdFBUTVdQR2pDcXRtUDM2OWNQYmI3K04yMisvSFhQbXpFR25UcDJxcld2cDBxVll1blJwMUdOejVzekJuRGsxajhkdjNibzFmdmpoaHdyN2NuSnljTk5OTitHdmYvMXJlRjlLU2dwKyt1a25yRml4QWpObnpzUzJiZHZ3MkdPUG9YLy8valhXTDRRUW9uRTRuVTQ3QUdpYTloOEFGUWFiRTlFRWk4VXlJWEtmb2lqUFd5eVc1eVAzUmI0Y3JIUitTMVZWbHhtR2tXVXltUzVrNXJ1QzVjY1QwVDc4THhGOW1wbFhFOUZpQU5jQmFBY0F1cTVmREFDcXFnNGlva1VBa0pPVDh3dUNYVmdCVUhEczRqWkZVVVk2SEk3UzlQUjBTOHVXTFZ1NjNlN2RsZVBKenM3KzNtYXpuVTFFbndUSE9vcWpUSkpESVNvaUFHZHBtbmFZbVJVaU1qR3pZaGlHaVloTWlxS0VQd05RRE1Nd0tlVjk2VXdBRkNJeUdZWVIvaHphRDhERXpPSFBvZk1ySHljaVUvQ2FsYnRGS01GRWppd1dDNldrcEpCaEdKU1FrRUJVZm9DWW1RQWdQajZlQUlUM2g0NHBpZ0lpcXJiZlh5aFJEUDNDaUVnU0UxQSt6c0N1S01vTmlxTDhiclBaY3YwR2NnOTV1YjZMMEZiUnJsMDdyRnExQ21hekdYZmZmVGNPSGp5SSsrNjdMMnJaa3BLU0tzbWh6K2NETTFmb2VybHQyN1lLNHdtTGk0c0JBRGZkZEZPNDYrT0pKNTZJR1RObTFEbk9EUnMyNEo1NzdrRzNidDF3Ly8zM1kvLysvYmpsbGx0d3hobG40SUVISGdpWHUrNjY2NUNibTR0WFgzMFZ1M2J0d2tNUFBWUmxobFNnZk16amd3OCtpQjQ5ZXVENTU1K1BtdlMyYmRzV0w3MzBFbTYrK1dhTUdERUNjK2ZPcmJEMllxU0xMcnFvU3N0ZFVWRVJ4bzBiaDhHREIwZnR6anBxMUtnYTczbjU4dVZJU1VtcDBBcDYvdm5udytGdzRQNzc3MGVMRmkwd2MrWk1uSDc2NlRYVUlvUVE0cy9DekRNQ2dVQjQwTHJaYlA2Um1aOFBCQUx2UmV4YkhmcHN0OXRiTWZNd1p2NG5FZlVKUHZ1a0FIalU0WERrQWNpejIrMG5NZk1MQUtZNG5jNlpWcXYxTHlhVGFRYUFoVTZuODJWTjA4NWw1anF0aWFScDJtQUFwd0c0MGVGd2xBSkFtelp0bGpPekFxQXZ5aGVycjhEbGNtMnkyKzA5RzJOaUcxRTdTUTZGS0JkK2hVWkVnd0VNRGlWTFJGU2hLMkxrdUtwb2k2RlhOKzZxcHU2TGxZOVgwNklYK1pxUEkvYURpRGpLT1pIM1ZHR24zSXoxQUFBZ0FFbEVRVlM3UGlJbkgySG1lQ0pLSXlJVGpNQk9ISEZxV0I1YnRPU3BNby9IQTcvZlg2VjFyYXlzZkVXT3lPUXdOVFVWZDl4eFIzaDd6Wm8xV0xod0lXNjU1Wlp3dDgzNnpLeXA2enJ1dWVjZUhEcDBDQmRmZkRHOFhpL3V1T01PbEpTVTRKLy8vR2VGc2lhVENZOCsraWdTRXhPeFpNa1NIRGh3QUU4Ly9YU0ZaU251dWVjZWZQZGQrVENKUTRjT1lmanc0ZkQ3L2ZENWZPRy9JLytVbFpXQm1YSG5uWGRpenB3NVZYNEdnVUFBblR0M3JwS2s3ZDI3RndEUXBVdVhxQWxjVGQ5SnI5ZUw1Y3VYNC96eno2L3czOGRzTnVPMjIyN0RwRW1UY09PTk4wcGlLSVFReDViZGJyZDdYV2hEMHpRRHdQYklmYXFxaGx2Z3ZGN3ZTWEZ4Y2RNQlpET3pEcUNqMCtuc0Uxa2hNLzhmQUovSDQza2ZBSWpvd3VEZjN3U1BweEJSY1cyQnBhV2xKVEx6RkFDcmRWMS9NNkwrRjRob3NhWnBFNXhPNTZSbzV4cUdjV3IzN3QzL3lNL1ByL1U2NHNoSWNpaEV1YTBBUEFBU21Ia0RFUjFFZVQ1bW9EeXBDdjlOUk9IOVJHUVloc0ZFRk42T1BCWk02S3BzUjN5dWNvNWhHS3dvaWgrVmtqbG05a1dVRGRVUi9qdjBPU0ttUUtWOVJqQ0pmQ25hRHlCYUY1UGd1RVF2Z0Y4QTVET3piaGpHaXV6czdPL1RlOWpPQStIS3h2amgxOFgrL2ZzQm9Nb1NFcFdUdzBPSERpRXZMNjlDZDg5UWw5T1VsSlFLWS9yV3JsMExtODFXNDNXWExsMktLVk9tSURVMUZZY09IY0tpUll1d1lzVUtNRFBtejU4ZmRXMUVSVkh3MEVNUGdabnh3UWNmNE82Nzc4YjA2ZFBEY1dSa1pDQXZMdzlkdTNaRmNuSXlObS9lak4yN2QyUFFvRUhoUmVtWEwxK09mZnYyWWV6WXNZaVBqOGZPblR2eDRvc3ZZdno0OGZqUGYvNFR2cFpoR09GWlRodlQrKysvajcxNzkrTGFhNit0Y3F4Ly8vNVl0R2dSNXM2ZGk0c3V1Z2hkdW5ScDFHc0xJWVJvc0FtcXFvNlAyRTRHOEh4d0psSUFBQkVsaDM3bkZ4Y1hiMnJac3VWcGJyZDdYV2kyMHNqS3JGYnIzNWw1QklDbmMzTnpkd2JQdndsQW50UHAzQkFzbHNMTVJiVUYxcTVkdS9GRWRKSmhHRmNqNGhsSDEvWDNOVTFiQk9CaG04MjIzT1Z5L1ZqNVhDS2FscFNVcEFMb0dMSHZGS3ZWK3ZmUWRyQUhWbTFoaUZwSWNpZ0VBRVZSaWdBVUEvQXo4Mk5lci9lbjRING1JbFlVaFQwZVQvaHo2SmpKWk9MUzBsSU9mUTc5YlRLWitNQ0JBNGpjTnB2TkhCY1h4N3QyN1dLejJjd0FZRGFiT1Q0K25oTVRFOW5oY0RESy8yY1pTaWlQQ2szVHdzbGhwUWxwS254bTVvUE0vQm1BeFY2dk41ZVpkNjFmdjM3LzBZcXJPb2NQSDBaaVltSjRRcFgyN2R0WE9RNzhMd0g4N2JmZjhQREREMWNvNC9GNEFBQ1BQLzU0bGRheXhZc1hWM3Z0RlN0V1lQTGt5ZWpkdXpmR2p4Ly8vK3pkZVhoVVJkWUg0TitwMjFrSWhFMVdBWWtZRElhazAvZjJLRzRvT3FMaU11N2d2c3lNT0RodUtQb3BLcWdvaW96cktMZ3hDS0lpaXFQaWdpczY2cmd3dWJlVFFCQUpFQVhabHhESTNyZk85MGU2Mis2a3N3SUc5YnpQdzBOMzNhcTYxU0VrZmJxcVR1SE1NOCtFMWhyTGxpM0RxYWVlaW80ZE96WTY5dkhqeDJQbnpwMzQ2S09QOEovLy9BY25ubmdpQUdETW1ERXgreUxIalJzSFpzWk5OOTBVS2Z2dXUrOVFXVmtaay9pbXZMd2NXVmxaTWZjb0w2ODlncXFrcEFUTGx5K1B1UlpPNnJOcDA2WjYxNENHOTV4VVZGVGcrZWVmeDVGSEhvbEJnd2JWdXg2ZUhiM3d3Z3R4eXkyM1lNYU1HWExHb1JCQzdBT0k2Q1ZtZmpIOG5KbmZJS0xubURrNmtjdUM4SVBpNHVKS0FFc1FoOWZyelRBTTQ5L00vRU41ZWZsa0FEQk44MDlFZENnelh4OVZ0VE1Sclcxc1hLWnBIZ3ZnVm1aK2w1bTdXSloxbHRhNmsxS3FNMm9UNHRXRXR1LzhLeTB0elJjYUZ3QWdQVDA5Q2NBeFJQUXhZdDhmalRNTUkvNCtGTkZxRWh3S0VSS2VFU1NpVGZ2U1dYOTdTOTJ6Nm9pb2dwbEx0ZGJMaUdobWVYbjV2OXR5K1VZd0dNVHMyYk5oMnphZWVPSUpGQlFVQUFBT1B2amdtSHJoNENnOEl6aDQ4T0NZTXc0QjRPMjMzOGJkZDkrTitmUG5OM3AwUlYyWm1abTQ0SUlMTUhiczJNaSt4VkdqUnFGYnQyNjQvLzc3WWRzMnBrNmRHcE93SlpwU0N2ZmVleS9PUHZ0c0RCa3lKRkplZHpueW1qVnJHazAyRXpabXpKaDZaU1VsSlFCcU01dk9temV2M25VQWVPR0ZGL0RDQ3kvRXZSYlBJNDg4Z2kxYnRtRHExS2tOMWtsTFM4TU5OOXlBS1ZPbTRKWmJic0dqano3YXJPWEJRZ2doOWg1bVh1azRUdVNBWHN1eWdzejgzYzZkT3o4dktpcXFNazF6ZndBSnpGelJXRDgrbis5UUl2bzNNM3VJNk5UbHk1ZnY5SHE5N1FIY3o4eHJOMi9lSE1tUVNrUmRBZXhvcERzQ01JdUlFZ0djYmhqRzZhRjIxUUMyQXRoS1JOc0JmQUxnK0s1ZHU5NVRYRng4UzdoeGFtcnFVQUR0QU1UOGNtZm0yMXpYblJOZFZsNWUzdVFNcG1pYy9DWVg0bmNxRkJoV0FpaGs1b0RXK2xzQVgrVGw1UzF0MjVFQitmbjV1UGZlZTdGeTVVb01HellNUU8wc1hucDZPanAzN2h4VHQ2eXM5aWpHNkptcmdvSUN6Snc1TTZiZTBLRkRNV0hDaE1qemhJUUVUSmt5cGRGeDlPN2RPMjV5bk5OUFB4MkRCZzNDbENsVDZzMWsxcFdRa0JBVEdOYTFaczBhRkJVVjRiTExMbXUwbjRhc1g3OGVRTzNzWS9SeEUwRHR6T0dZTVdOd3lTV1hZTVNJRWZYYVhucnBwZlhLdnZycUs4eWZQeC9ubkhNT3ZGNXZvL2NlT1hJa1ZxOWVqWG56NXVIR0cyL0VndzgrR0pNMVZnZ2h4TjdoOC9rNkF4Z0tJTVh2OXljMGxhd2xOVFYxbldtYTdWRWJHQVlOdy9paW9ibzVPVGxIRTlGSEFFb0JuQkphUGtxR1ljd21va3l0OVpscjE2Nk5EaTY3YUsxTG92c2dvZ0ZBYmE2QzJyLzRlZ0Q5aVdoSk1CajhTU20xTVJBSXhMUUJBTk0wM3lXaW1FQ1RtVThoSXRUVTFMd0hBT1hsNWNIazVPVDNtVGsvUHorLzBSbEwwWElTSEFyeE84VE02NGxvdnRiNnZXQXd1SHpYcmwwL1JTL2hhQ3ZidG0zRHlwVXJjY1VWVnlBcEtRazMzSEFETHJyb0lqaU9nMlhMbHNYTnJsbGFXdnNoWVhSd3VHWExGbnoyMldjNDQ0d3o0aDVkVVZCUWdNTEN3dDBhNjhDQkE1czhIcUk1WG5ycEpRQ0ltMDAwbmxkZmZSVmJ0bXpCcFpkZWl2YnQyMlBac3RvdEg0Y2RkaGdPT3VpZ21McmhoRFE5ZXZSQVJrWkd2YjdxTHJGZHMyWU43cmpqRHZUczJSUFhYMzk5dmZyeDNIenp6ZGk4ZVRNV0xWcUVNV1BHTkN0Z0ZrSUkwWHJwNmVrZGllZ0RaajRBUUkzVytybTB0TFNyQUl3am91K2o2ekx6R1ZycklxWFVPZ0I5VUp2ZjRMUGMzTnlWZGZzTlpTcEZYbDdlMTVabFRXZm1SeDNIK1FHQXNpenJZUUJuQTNnMEVBaThHVzVqV1ZZNmdHUWkraWxVUkpabFRXVG1DUUIyS2FWbTV1VGtqSXh1MHhqSGNVNUZiTTRGQ2lVSy9DNTBKQWFLaTRzcmk0dUxUMjdxYTRUYWpQQ3RTc2IzZXliQm9SQy9QeWR2Mzc3OXMzMGhHSXhXWEZ5TVpjdVdnWm5oOC9rd2NlSkVISERBQWFpcHFjR1VLVk9Ra3BLQ2M4NDVwMTY3OEVIdjhZNkN1T0tLSytJbVMzbnV1ZWRpZ3NOcnJybW15V01kOW9hUFAvNFk4K2JOdzlGSEg0M0Jnd2MzcTgzS2xTdng2cXV2NHR4enowWDc5dTN4NmFlZm9rT0hEdWpmdi85dWpTVjhvSDE1ZVRrZWZ2amh1Ri9QZUpSU3VQLysrM0hQUGZmZzNYZmZ4UVVYWElCWnMyYWhiOSsrdXpVZUlZUVE4YVdtcGk0QWtFTkVKMml0azVWU2IzVHQybldZMW5vK0VmWHkrWHlXVWlySXpFRUFRY013dW1xdFBRQktsVktKQUlaYWx2VkhadjdSY1p5M2ZEN2Y1VVJVU1VTbk1QTU9BRUhidHNjQ3RUT1VSUFF5Z0pPWitTVWllc1kwemVjQWJDR2lTbVllQ1VCcnJUOEdBTk0wcHdINEc0RHBydXRPOW5nOEh4bUdrV2VhNWlJQWkwUHRxZ0ZVb3phd0RUOU9BTkJlS2RVZVFBb3pHNDdqM0d1YTVqRkUxQWZBUDlDSTlQVDBqcW1wcVRPSmFBY3pWeEhSb2FnZFdQRWUvdkwvNWtsd0tNVHZqRzNiNzdmMUdPTHAxNjhmc3JPemNleXh4K0t5eXk0TFowckZwRW1Uc0dMRkN0eDg4ODNvMUtsVHZYYjUrZmtBc0Z2QlNQVHhJdzBsYWRtVHFxcXFNR3ZXTER6enpEUG8zYnMzN3JxcmZ1WnVqOGVEWURCWXIzemp4bzFJVEV6RWZ2dnRoeDkrK0FINStma1lQbng0aS9mN2hiT2NobWNQVjZ4WWdjMmJOK1B1dSs5R1RrNU92ZnFscGFXb3JLeU1tM2dtSVNFQmt5Wk5RcTlldlZCZVhpNkJvUkJDN0Yycm1YbU80emlmQTREZjcvZHJyVzhpb3RPWWVYOGlhb2VmejBjRzBPQXhXOWVIcnQwSllBRFhHaHRkUVNsbE1mTnhXdXRIQW9IQXVPenM3RTRKQ1FtWDRlY1lZaDB6WHhXMUphVVF3UE9PNDF3TkFIMzc5alc3ZGV2MmQ2WFVPUUN1Qk5BSlA1L3pISGRjek14RTlHTG80WkdoOXdNTDZsV01VbFJVVkdxYTVqQUFYYU8yemJ4ZFhWMDlvN0Yyb2o0SkRvVVErd1RETVBEc3M4OUdncHpLeWtwTW1qUUpDeGN1eFBISEg0OVJvMFpoNTg2ZEdEdDJMSHIzN28zMjdkdGo2OWF0K09TVFQ1Q2RuUjAzYytqNTU1OWZyd3lvVFhZVC9VdnpxNisrUWxGUkVWSlNVaUxMTk9NdFI5MWRXN2R1eFR2dnZJTlhYbmtGR3pac2dOZnJ4ZFNwVStzZHp3RUFmZnIwd1FjZmZJQlpzMmFoVDU4K0FHcjNGMzc5OWRjWVBIZ3dsRko0NUpGSHdNd1lPWEprcys0L1o4NGNsSlNVSURFeEVTdFdySURydXBFbG9JY2VlaWhlZi8zMW1LTTVwa3laZ29xS0NpUWtKQ0FRQ0FCQW96T2NiVEg3S29RUXZ6YzdkKzY4cnFpb0tKSjRKWFJZL1pYUmRmeCtmMEpOVFUwaU15ZlcxTlNvNkl6cXUzYnQwb1poOFBMbHk4c0JnSWlPQ3dhRHFVcXBUWUZBWUhOMFA3WnRmK0wxZXRQRGUvc0tDZ3EybzNhV3ovRDcvY3EyN1ppOWpsVlZWVThYRmhaR01vcXVYYnUyWXUzYXRmOUEvSmsvUW0yZ0NEU1FxVDBRQ056djkvdm4yYmJkNUF5ZzR6ajdoZnBUQU9wL3VpcWFSWUpESWNRK0kzcjI2Nzc3N3NQQ2hRdHg3TEhINHI3NzdnTVJJVFUxRlJzM2JrUitmajVjMTRYSDQwRjJkbmJjbVRjQXVPMjIyOUM5ZS9kNjVlKzk5MTVNUnRNZmYvd1Jqejc2YU9UNW9FR0RjUGpoaCsvQlYxYnJxNisrd21PUFBZWmV2WHJoOXR0dng1bG5udG5RcDdrNC8venpzV1RKRWp6enpET1JvemdTRXhPUmtaR0IyMjY3RGN5TXlzcEtEQjA2RktacHh1MURLWVVPSFRvZ0lTRUJBRkJVVklRRkMyby9mQ1VpNU9UazRMVFRUb3ZVcjN0bVkzZ3ZJVkI3dnVSRkYxMkU0Y09INzk0WFFRZ2h4RzZKRGd3YkVrcFFVd09nckJsMWYyenNlZ05KWDl6YzNGeTNibUZoWVdGMVUvZUx3Z0RxOVZGWHZQMlJqZERZaThlQi9SN0lTWkZDQVBCNnZZZDdQSjUvTTNNeU01OFZDQVErYmVzeDdldlNCdm1HZ2ZqbGpxbXB2WjcrNXlNNC9MQS83TkgrZCt6WWdYZmZmUmVqUm8yS0cwQnBYZnV6UDk0MTEzVlJWVldGZHUzYTFVdTZFazh3R0VSRlJRVzAxakFNbzBYSFhiU1ViZHZ3K1h3TkJvVXRzWFBuVGxSVlZhRmJ0MjdOYnFPMWh1dTZJS0o5OHVpSnI3LzlINjY3NlZaczNycTFCSXl6aXIrVC80dENDQ0hFTDJYZmUyY2doQkFBT25YcWhBc3V1S0RCNjQwRlY0Wmh0T2hRZG8vSHMxZVdrY1pUOTdpSjNaR2FtdHJpY1N1bDlraGdLb1FRUW9qZkhubUhJSVFRUWdnaGhCQkNna01oaEJCQ0NDR0VFQkljQ2lHRUVFSUlJWVNBQklkQ0NDR0VFRUlJSVNEQm9SQkNDQ0dFRUVJSVNIQW9oQkJDQ0NHRUVBSVNIQW9oaEJCQ0NDR0VnQVNIUWdnaGhCQkNDQ0VBZU5wNkFFS0lYemV0Tlg1YXR4NHJWNjF1NjZHSTM0Q2YxcTJINjdwdFBRd2hoQkRpZDBtQ1F5SEVicW1vcU1ERGowOUR1M2JKYlQwVThSdFFVVkdKMHAybGJUME1JWVFRNG5kSmdrTWhSS3U0cExjWXJDcTFacXpmc0tHdGh5TitZNGhSRXlTOXBhM0hJWVFRUXZ5ZVNIQW9oR2lWTmN2eWwvWEx5RHJQMEo2K2JUMFc4UnZFZXYyYUZmbkwybm9ZUWdnaHhPK0pCSWRDaU5aeTF5eGY4ajhBLzJ2cmdRZ2hoQkJDaU4wbjJVcUZFRUlJSVlRUVFraHdLSVFRUWdnaGhCQkNna01oaEJCQ0NDR0VFSkRnVUFnaGhCQkNDQ0VFSkRnVVFnZ2hoQkJDQ0FFSkRvVVFRZ2doaEJCQ1FJSkRJWVFRUWdnaGhCQ1E0RkFJSVlRUVFnZ2hCQ1E0RkVJSUlZUVFRZ2dCQ1E2RkVFSUlJWVFRUWtDQ1F5R0VFRUlJSVlRUWtPQlFDQ0dFRUVJSUlRUWtPQlJDQ0NHRUVFSUlBUWtPaFJCQ0NDR0VFRUpBZ2tNaGhCQkNDQ0dFRUpEZ1VBZ2hoQkJDQ0NFRUpEZ1VRZ2doaEJCQ0NBRUpEb1VRUWdnaGhCQkNRSUpESVlRUW9rVnljbklPc3l6cnFqM1ZuMm1heDFxVzllK1d0TW5JeUVqdDI3ZHZ1ejAxQmlHRUVBSUFQRzA5QUNHRUVPTFhSQ2wxSW9BYkFEd2RMdlA3L1FkcHJjM0cyakZ6TUJBSXZCSG5VbTltSGg2dmpkL3ZUd2tHZzMyVlVnY0E4QUx3RTVHZm1ROXUzNzc5Qld2WHJuMWxOMTZLRUVJSUVVT0NReUdFRUw5Nm9TQXFLeTh2endZUS9LWHZ6OHdqaU9pZnpGeldRSlVFSXFvQjBLRTUvVm1XOVRhQXc1bDVQOE13NnQ2TEFSUXpjMUtkWnVUeitTNVRTbDNGekZsRTVBRlF5TXpQT283ek5BQ3VjNDhmQWZTTGQvL0t5c3JVd3NMQ1hkRmxQcC92Y2lJYVEwUlpxUDBhZisyNjdwMTVlWG5mMW0yZms1Tnp0R0VZdHpMekVRQTZFTkVhQUsrWGxaVk5XcjU4K2M3bWZBMkVFRUw4OGlRNEZFSUk4YXVudGU1dUdNWTNwbW11QVBCRVRVM052M2Z0MnJXNXVMaTRDbldDb3IyRm1hc2N4NGtiL0ZtV2RRMHpQeEIrN3ZmN0Q5QmFIeHhxbDZXVU1relRQQ0gwdkFKQUNUT3ZBZkFORVRHQVU3WFdOelB6eHg2UFozbHVibTU1M1h1WXB2azRFVjBEWUNVUnZjSE1IUUg4a1lpbW02WjVxT000ZjZuVHBCc3pid1R3UmQyK3lzdkxZd0pzeTdLZUFYQWxNMjlrNWpjQmRDR2lQeXFsL21PYTVrbU80M3dXcnV2eitjNGpvcm5NWEFMZ0V5SnltZmxvSXJxNWZmdjJKM205M2lQejgvTWJDcUtGRUVLMElRa09oUkJDL0dZUTBVQUFqeVVrSk56VHBVdVhUenQzN3J5SWlKWldWVlV0S1N3czNMQTdmVnVXZFRFQU1ITU9NeWVGbjd1dVcyL21yQ2xhNnpNQlRBNk4yUU1nQ2NBYm9lYy8yTFk5T0Z3M05BdDNLb0NQOHZMeUFvMTBtdzdnRXR1MjU0UUxzckt5K2lVa0pIeE5SSCsyTEd1YWJkdTVBQkRhcjlpT2lCYll0ajJxaWRkOUdvQXJBVGpWMWRVbkxGMjZkRnQ0WEVxcGp3RThCMkFRQURjMGZpK0FxZHUzYjcrcnVMaTRNbnkvSGoxNnZBSGdSTU13cmdMd2NMTy9XRUlJSVg0eEVod0tJWVQ0VFdGbUVGRW5BR2NBT0IzQTV1VGs1QldtYVRwYTYzL1gxTlI4V1ZoWVdOMktybDhBQUNLS2VXNFl4cldoY3VYeitjNXNvSzAzK29uak9JOERlQndBVE5NOG41bWZhMmpXc1FVdXRXMTdjM1RCa2lWTDFwaW0rUlNBZTVqNVNBQzVBTkM1YytkdW9TcWIwUVJtdmpEMG1zZUhBME1BeU12TCs4S3lyT2NBWEcxWjFyRzJiWDhTdXZTNDR6Z3gvYTVkdTdhaVI0OGU5d0k0RWNCUmtPQlFDQ0gyU1JJY0NpR0UrTTJwM1paWEc3QUI2QW1nSnhFZGJSakd0VXFwZGFacC9xdXFxdXJKbHN3bWJ0dTJyUjBBZE8zYTlWWUExMnpidHEwdkFCUVhGOWRZbGpVR3Rmc0s1OFJyeTh3SkFHcWlpZ3pUTkk4TFhZdFpWa3BFeGJadEY4WHBKaVU3TzN1QVlSaTlsRkk5WGRmZG5KZVhGMWtTV2pjZ2k3SWoxRzlWNU9hRzBTMTA3MDNOZU9scEFGQlRVL045bkd0ZkFiZ2F3QkVBUG1uT09BQlVOWEJkQ0NGRUc1UGdVQWdoUkpNT1B2amdic25KeWZ1Rm56UHpwb0tDZ3UzaDUvdnZ2MzlLNzk2OWU5ZlUxRFQ1ZTBVcHBUZHQydlRUdW5Yckl2dm1mRDVmWjYxMXorYU1SV3Rkdm1USmtuVUlMV01NbFhVTkoyNkptdG1MQkluUmlHaC9BSGNrSlNXTk5VM3phd0QvY1YzM2kyQXdXRlJZV1BoalEvY05MNUhzMHFWTGtJZ2l6MFAzK1p5SXJuVWM1NGw0YlUzVC9BTVJIUjkrN3ZWNmsvSHpNdEtZWmFYTS9KQnBta2xFbE1ITVBSRktHcU9VK2xLcHlBbFVOWVpoUElzNCt3WGpHQW9BV3V1bDRRS2wxSDZoZTQ4d1RiTWZNKzhrb2lYTS9Ib2dFQ2lwMDM0SEFDUWtKQXdFc0NyNkFqTjNJU0l3ODRITkhRY1JMVzJxb2hCQ2lMWWh3YUVRUW9oR2ViM2VBejBlejBNQURnbVhNZlA5QUdhSG4zZnYzajJMbWYvaDhYaTZOOVVmTTVkMjc5NzkyblhyMWtYMjZpbWxUbEpLM2RXYzhURHp0d2NmZlBCTjMzLy8vWmFvOXFmSHF4c3ZVSXlhVld3UDRJL01mTHpINDlucDhYaFdocGFldnIxNTgrYjNvNFBYeHFTbnB5Y3g4NEhNdkxhaFphWE1ER2IrM3V2MURzblB6LzhtbEpDbEF4Qi9XYWxsV1k4dzh3WUErVVRVRWNBTnpQeFhBRjlWVjFkdldMcDA2WFkwSTlHT1pWbkhNL1Baekx3MEVBaDhHWFVwdkt6MGNDSTZQUHgxSXFLSFRkTzgxSEdjdDZMR3ZwQ0lUbWJtU1lNSEQxNGNYbHFhblowOUFNRC9oZG8xdWlUVzcvZjMxbHFQQjFDdHRYNitxWEVMSVlSb0d4SWNDaUdFYUpSU3FqOXFsdzMyQ3BjeGM5Zm9Pa1NVQW1CZ2RKMUdsSVRxUjRSbW9BWTFjMGdiUEI1UHpPOHZJdXJTVktOd0FCUWRKQklScVBaQ1J3QW1FZlZTU3ExSVRrNytwT0dlYW9XU3ZaeElSTjhEK0RlQUNtYldqZHcvbVlqZUJuQm1UazZPR1o2OXE3dXNORlQzRnR1MmE0QklRcG9ibURrM0VBZ1VOald1TUovUGR5WXp6eUdpc21Bd2VHbjBOZGQxRjVTWGwzY3FLaW9xejhqSWFKZVVsRFRRNC9GY0ErQUtBSy82L2Y2YzNOemM3d0NncEtUazZTNWR1bHhFUkljbUpTVjliNXJtZjFHN2hIWVlnUDhDNk1QTWxmVUdFR0paMWlGYTY3ZENNN1pYNWVYbC9kVGMxeUNFRU9LWEpjR2hFRUtJWmdtZDRmY3dhcy9PczZPdmFhMExBZnlOaU5vMTFROFJWYnV1R3hQazFOVFVmSmlRa0hCQmM4Ymh1dTZtOHZMeWtqcGw3eG1HY1VPY01UYzBCakJ6RFlEMW9TTWpuR0F3K0daQlFjRkhEZDNYTk0zdVJIUTBnT01CN0plWW1QZ2pNMnV0OVYrVVV0QmFIeGtJQkFJQTRQZjdPN211ZTJCMWRYVmhPUGxONk94Q0FJQmhHUGN3ODNHaHNhUUFJSVNXbFFKQVdWbFpmd0JibS9QMXFNdnY5eWN3ODRPb25XMWNDK0RNL1B6OG1IK3Y2S01rUXVjTzJnRCtiRmxXRFJHTlp1YS9BYmdCcUYxT201S1Njbnh5Y3ZKRUFDTkRzNGhybWZsdVpzNVhTaDNQek5zUWg4L251NHlabnlRaVEydDllU0FRbU5XYTF5U0VFT0tYSWNHaEVFS0k1cXBoNWs4Q2djQ25kUy9rNStkdkF2Qm1henRlc21USlNnQXJXOXRlS2JVOC9MaXhnREIwdllTWlB3ZndydGE2b0tLaVl2WHk1Y3ZYTmRhLzErdnRHenJJSGN6TVJGU2h0ZjVyVFUzTlFtWk9URTVPanFuUHpDY3JwZVltSkNUMEJWQnZwc3kyN2RORC9mWXdER01OTTlmVXpWYnE5L3RUcXF1cmV4bUdrUmthLy9tbWFaNkYydVE2UFVQN0VUOTJIT2ZPY0p1c3JLeWVvWE1JaHpEei9PcnE2dEhSR1VhYm9yV2VwWlFhRFNBN3VyeXdzSEFYZ0p0RGZ5Sk0wN3cyOUhCWm5hNDhwbWxPSjZLL0FpaW9xYW01cUtDZ29LQzU0eEJDQ05FMkpEZ1VRZ2p4bXhXOTUxQnJ2WnlJSG5OZGQzNXBhV2xwY1hGeEZacXhidzhBOHZQek4xaVdOWldaM3lhaTR3QmNHd2dFWGdLQXpNek1la3RwdGRZZGxWSWdva1lQZXpjTVl6UVJWVEd6TWszekw1czNiMzZwZS9mdWx3TjRrSms3SkNRa1JMK1dDMEl6Z1J0UUczRG1FdEYvdzlkTjArd080QXRtN3NmTW93T0J3TFBOZVczUlhOZmRxWlFDTnhSaDEzY0NBQ2lsb2hQaktNdXk1Z0U0QzhDMDB0TFNHNHVLaWlSRHFSQkMvQXBJY0NpRUVPSTNKUlFRVmdJb0JyQlNhLzJsNjdwdjcrYk1WZEMyN1ZzQXdEVE5ZNktEemdiR01BREF6a0Fnc0tPaE9uNi92NVBXZWl3elB3UGdHZ0EzOWVqUjR5SUFOMnV0THlhaWpjRmdjS05TS2wwcDlZSFcrb3p3c3RVR1BBdGdnTlo2UkY1ZTNnY3Rmb1VBUEI3UHNORERKak9LV3BaMUNJQlRBZVRhdHIwc3F2dzZBR2N4ODczUnM1cENDQ0gyZlJJY0NpR0UrTTFnNWcxRXRGQnIvUm1Bd0taTm03NXZidGJSUGNnZ29yT1llV3Q2ZW5wcVVWRlJhYnhLV3V2N2lTaVBtZjhISUtpVStxUFcrajlFOUVoRlJjV3BvYjJBeU1uSjZST3Z2Yy9udTFJcDljZlMwdExMT25YcTFKT1p6d0N3cURtQllVNU96bkZFNUVRZlcyR2E1aEZFTkltWk5SSE5pSzd2OS9zUHlNM04vVEg2dWRiNk5TSXltUG4vNm5SL0xUTlhWVlZWVFdwcUhFSUlJZll0RWh3S0lZVDQxZHV4WTBkSnAwNmR6cTJvcVBoVUtiV3pzTEN3QnMxY01ycTdxcXVyeTVPU2ttWUVnOEd0QU9EeitlNEdrRUZFTmFtcHFTc3N5N3JUdHUwWnpQdzJNN3NBWUpybUNhSEVMMzhFMEJzQWNuTnoxMXVXTllLWnAzZm8wS0VEZ0oyTjNWY3BOWkNaVHlzcUtxcXlMQ3NIQUpoNWdHbWFiOFNyVDBUYmJkdStJdFIyRkJHOWJacm1wd0EyRTlGQnpIeFVhRFhwOWJadDUwZTMxVnAvYjVybVY2amRGOXFkbVljRFNHYm1teHpIK1RoY0x5TWpJeFhBQUFCbFNVbEo4MHpUakR0MnJmWGZKV3VwRUVMc2V5UTRGRUlJMFNpdGRTVVJyU0dpSk5kMUd6eXlvQzJ0V3JWcUI0RDV2OFM5aU1oQVZPQVptaG44cTJtYSsxdVc5UUtBaXdITWMxMzNScVhVL2N6OGxHVlpmd2N3MW5HY1QwSjlUQUR3dE9NNG41bW1lWDY0TDl1Mml3QU1yM00vRFFCS0tTTzZuSmtQSXFMbFFNd2V4LzRBK3NjYk56TnZqT3J6YlFBK0lob0tJQ1dVYmZRdEluckl0dTNQNHpTZmg5b3NyVWNDMk1ITUg4U3JtNXljM0RIVWYzc0FaelQwTmZSNFBMYzJkRTBJSVVUYmtlQlFDQ0ZFbzhyTHl3dFRVbEwrWmhpR0tpOHYvNzZ0eDlOV1ROTzhOcFE4WmhTQWJRQ1FrNU56bUdFWWh3STRHY0JKekd3QWVFQXBOU0V2TDY4R3dLV1daVTBEOERTQWowM1RmRXNwZFNNelR3MEdnMDJlcFFnQVJQUVRBRER6ZUovUHR5QlUxaFhBcWFIOWlnZ0VBaThDZUxHNXI4VzI3YmNCdk4xa3hSREhjUzV0dWhZUW1nMXNmRU9tRUVLSWZaWUVoMElJSVJvVm1obXptNno0MjNjdGdJRUF5cGo1QmdBd0RPTkNBTmN6ODA5RTlDUVJQUm1hL1l1d2JmdnJ6TXpNUXhNVEV5Y29wZjRHSU1HMjdRWE52YW5qT0QrWXBqbUZpSzRtb3JORHhVRUFYMWRXVms3ZU15OU5DQ0dFRUVJQUFMeGU3K0dXWmEwM1RYTzd6K2NiMW5RTEljVHZsSUdvbWJHTWpJeFVuODgzc0xtTk16TXpPelJkU3dnaGhHZ2JNbk1vaEJCQ05KOGIvU1NVVWJUUnhESFJRb2ZKQ3lHRUVQc2tDUTZGRUVJMHl1djE5bFZLblV4RUh0ZDEzODdQejEvYjFtTVNRZ2doeEo0bndhRVFRb2hHaFE1aG44VE15VXFwN3dCSWNDaUVFRUw4QnFtMkhvQVFRZ2doaEJCQ2lMWW53YUVRUWdnaGhCQkNDQWtPaFJCQ0NDR0VFRUpJY0NpRUVFSUlJWVFRQWhJY0NpR0VFRUlJSVlTQUJJZENDQ0dFRUVJSUlTREJvUkJDQ0NHRUVFSUlTSEFvaEJCQ0NDR0VFQUlTSEFvaGhCQkNDQ0dFQU9CcDZ3RUlJWVRZdDJtdFM1VlN1UUNTdE5hbGJUMGVJWVFRUXV3ZEVod0tJWVJvVkdscGFXR0hEaDNHYUsycHZMeDhVMXVQUndnaGhCQjdod1NIUWdnaEdsVmNYRndKWUUxYmowTUlJWVFRZTVmc09SUkNDQ0dFRUVJSUljR2hFRUlJSVlRUVFnaFpWaXFFRUtJSjJkblpBd3pET0orSVBNRmdjRTVCUWNHcXRoNlRFRUlJSWZZOENRNkZFRUkweWpDTUE1UlMxekp6c21FWS93RWd3YUVRUWdqeEd5VExTb1VRUWdnaGhCQkNTSEFvaEJCQ0NDR0VFRUtDUXlHRUVFSUlJWVFRa09CUUNDR0VFRUlJSVFRa09CUkNDQ0dFRUxRSEJTSUFBQ0FBU1VSQlZFSUlBUWtPaFJCQ0NDR0VFRUpBZ2tNaGhCQkNDQ0dFRUpEZ1VBZ2hoQkJDQ0NFRUpEZ1VRZ2doaEJCQ0NBSEEwOVlERUVMOGVxVU5HcFFHVGh6VTF1TVFlMWRadGRzL0pSRUZZRExLYTl5TXRBeHZjbHVQU2V4ZHJxdFhyQ2xhc3JLdHh5R0VFT0tYSmNHaEVLSlYrZzd3RFNUdzYweEliK3V4aUwycjJnVnFLalFBZ0VGSEVsRWJqMGpzYlliSFdOOTNnTytrdGFzQ0s5cDZMRUlJSVg0NUVod0tJVnJGazRnK1RPaW1TQ1h2MTdVcmtwSVMyM3BJUW9qZFZGVlZqVzNidDhQVnVvc25FWDBBU0hBb2hCQy9JeEljQ2lGMlMwcTdkcmp4dXF2aHpScmMxa01SUXV5bS9DVkw4ZUFqajJON3lZNjJIb29RUW9nMklNR2hFR0szS0VNaHJmOEJ5RHdrbzYySElvVFlUYVU3ZDhKanlGc0RJWVQ0dlpKc3BVSUlJWVFRUWdnaEpEZ1VRZ2doaEJCQ0NDSExTb1dJeSt2MXR2ZDRQRGNET0orWjA0aW9rcGtYQTNqQWNaeVA0N1hKek16c2tKU1U5SDlFZEM2QU5BQlZ6THpVZGQxUitmbjVhK08xOGZsOHc1UlNzd0JjWmR2MndvYkcwNXEraFJCaUgwSStuKzh5cGRSVnpKeEZSQjRBaGN6OHJPTTRUd1BneGhyN2ZMNExsVkl2QWxocDI3WmtTQlpDaUwxRVpnNkZxQ01ZRE1Majhmd1h3RVFBSlFCZVlXWUh3QjhCZkdpYTVxVjEyMlJsWmZWTFRrNE9FTkVkQUtxWitTVUE3eE5SWDZWVXQ3cjFjM0p5VE5NMFgxTktMUUp3UUdQamFXbmZRZ2l4cnpGTjgzR2wxRXdBM1lub0RXYitnSmt6aUdpNmFaclBOZFkyTXpNemtZanUvWVdHS29RUXYyc3ljeWhFSFZwcmc1bVR0ZFpEOHZMeXZnMlg1K1RrbkdnWXhydk0vSWpmNzM4NU56ZTNKblRKazVDUXNJQ1pEd1R3RjhkeC9oWFZIUUV3b3Z1M0xPdC9BUHdBS3BpNWtJZ3lHeGxPaS9vV1FvaDlWRHFBUzJ6Ym5oTXV5TXJLNnBlUWtQQTFFZjNac3F4cHRtM254bXVZbEpSMERZQTBadFp5eHFZUVF1eGRNbk1vUkIxS0tWY3BkVlIwWUFnQWVYbDVId0Q0aklpNlZsZFhEd3FYbTZaNUpSSGxBSmhjSjNnRGFwZEtCV01LbURNQVBLKzF6aVNpUlkyTnBhVjlDeUhFUHVyUzZNQVFBSllzV2JJR3dGTUF3TXhIeG11VWxaWFZEOERkQUdZQ3FOamJneFJDaU44N21Ua1VvZzZQeDRQYzNOd3REVnplQVFCS3FhcHdBUkZkQ2FCU0tmV1A1dlR2dW02di9QejhNZ0N3TEt2UnVpM3RXd2doOWtXTzQyeHU0TklPQUNDaXFuZ1hFeElTbmdSUUErQldBS1AyenVpRUVFS0VTWEFvUkRObFptWW1Ndk1RQUdWbFpXVS9BTURnd1lPN0FqQUJmSktibTF0cVdkYkpvVS9BR2NEbmp1TjhWTGVmY0dEWWxOYjBMWVFRdnpKREFVQnJ2YlR1QlovUGR5RVJuYTYxL25zZ0VOaHNtdVl2UDdwZlAvTDVmT21CUUdERm51elROTTJoanVQOFp3LzIyUklxTFMwdHNiaTR1REpjNFBmN08xVldWaHBMbHk3ZDFwb092VjZ2cFpTeVhOZWRYMUJRc0gzUERiVldUazVPSDJZdWFlN3YveEFEZ0VZVHlacUUyTk1rT0JTaW1aS1RrMjhEc0QrQUo0dUtpcW9BSUNFaHdSdTZYR1JaMWlzQXpvdmVFMk9hNXB0S3FmT2k5aWMyMjk3c1d3Z2gycHBsV2Njejg5bk12RFFRQ0h3WmZjMDB6ZjVFTkEzQU40RkE0S2syR3VLdm5tbWFkeERScmFacEh1bzRUbUZqZFhOeWN2b1loakhiZGQxeGVYbDVUa1AxTE1zNkM4QjgwelRQY3h6bnRUMCs2Q1pZbGpVTXdOdWRPM2UrTUJBSXZBRUFXdXNiazVLU0puaTkzZ0g1K2Ztclc5S2Z6K2ZyVEVRTGlHaGxJQkJvTkRsU2EvajkvazVhNndJaWVoUEFGYzF0WjVybW1VUTBtNWxIeEF2RS9YNS9OMmJlRE9CdTI3YnZhcVNmN3N6Y3ZqVmpOd3hENStibS90aWF0dUxYUy9ZY0N0RTBaWnJtSkFCM01YT2gxdnFPOEFVaUNtY0wvUk16cDJtdEQ2dXNyRXpWV2g4ZFNqWnpCalBmM3BxYjdzMitmeSsyYld2Vmg4ak5GZ3dHc1g3OStsYTEzZHRqMjEyclY2L0dQZmZjZzgyYmYxNE51SDc5ZWt5Wk1nVnIxemIvOUpUdnZ2c09xMWUzNkwzYUw0S1pVVlZWQldhT1c2NjFibGI1TDZta3BBUnZ2ZlVXZnZycHB6WWJ3NTdpOC9uT1pPYTNpS2pNZGQyNkdhQU5JcG9ESUNGMHJlMis2TDl5U3FuSG1Ya1RnT2xOMVNXaUZBRDlEY1A0TWljbloyUkQ5V3piL2pjQUJ5MElkUGF3czVrNWlZaWk4d0tjdzh6L2EybGdDRUFSMFd3aTJwK1poNWltdWF1eFB6NmY3OUNXRGpZM04zY0hNOThONEhMTHNvNXZianRtUGdwQWtsSXFyNlgzakVaRS8xUktMU09pcjhOL2xGSkZTcW04cUxKdmxWS3JsVktMbytvRW1EbC9kKzR0ZnAxazVsQ0lSbVJsWmZWTVNFaDRrWWorQ09CekFPY0VBb0dTOEhVaVNnNDliT2U2N21uNStmbWJRcysvek1uSkdhbVVLaUNpMFFBYS9GU3ZJWHV6NzkrRFRaczI0WXd6enNEbzBhTnh4UlZYb0xLeXNzazM5b1poSUNrcHFkbjMrTnZmL29hdFc3ZmkxVmRmaGNmVC9CK252OFRZZHRlbVRadnc1cHR2NHNJTEwwVDM3dDBCQUo5Kytpbm16WnVIczg0NnE5bjkzSFZYN2JmbjNMbHo5OWpZYnJ2dE5nU0RRZHgvLy8yUnIvczMzM3lEVjE1NUJWZGZmVFhTMDVzK0JtL0praVc0L1BMTDhkeHp6eUY2dWVMS2xTc3hhdFFvVEpzMkRVT0dES2xYL3ZUVFQrTVBmL2hEVEYvQllCQzdkdTFxOWV2cDBLRkRzNzUvMXExYmg3dnZ2aHVUSjA5R256NTlXbjIvdHVUMyt4T1krVUVBTnpEeldnQm41dWZuMjlGMWZEN2ZWQUJITS9OZjgvTHl2bStUZ2Y2S21LYjVBQkg5WDd4cnpJelFpcE0weTdJYVhKN0l6TU1keC9uSTcvY2ZyclYrVHlrMTF6VE5ya1EwaHBrUGl0TWtrWWd5VE5Pczk0MVBSSk50MjU3YzZoZlVPSU9aenlLaXoyemJYZ2NBbG1VZERtQXdNMC9Lek16czFWamp4TVRFeXFqZjRXU2E1alFBcHpMenJVUVU5MU1YWms0bG9uOEFLSzJxcWxvVHIwNWFXbHB5MTY1ZG01TXc2ZU9HY2cwdzg1ZU80eHdkZms1RVJ6T3piZHYyam1iMDI1UTNIY2M1UC96RXNxd2ladjZINHpoUEFZRFg2KzNyOFhqV0FEakNjWnlpVUoyTEFUeXhCKzR0Zm1Va09CU2lBYUZmT1A4RzBBM0FYYlp0M3d2QWphNmp0ZDZsbEFJemZ4a1Z2QUVBOHZMeWxscVd0UWJBQWRuWjJWMWF1bzloYi9WdFdkYlEwdExTYjhOTFkvY0ZsWldWcUt5c2JMcGlBNUtUazVHY25CeFQ5dXl6ejhMajhlRFVVMDhGQUZ4MTFWVllzbVJKby8wY2NjUVJlT0tKbjM4WGZ2bmxsNml1cm02dy9zQ0JBK0U0RHFaUG40NnNyS3dHNjNYbzBBR0hIdnJ6Qjg1N1lteTdkdTNDbDEvR3JNUkRRa0lDaUFoMzNIRkgzZWIxekprekJ3Y2VlR0NUOWFJdFdyUUlmZnIwd2NFSEg5eXMrb0ZBQUN0V3JJQmhHRGpxcUtOYWRDOEFlT2FaWnpCNDhPQ1lzbTNidHVIamp6L0drQ0ZEWWdLcWRldlc0YlBQUHNPRkYxN1k0dnNBUUhGeE1jckx5eU96b2ovODhBTlNVMU1qMTZQTFUxSlNrSmlZR0FsQ2x5MWJoc3N2djd4Vjl3V0FSeDk5RkVPSERtMTErMStMckt5c25zejhKb0FoekR5L3VycDZkTjA5WXFacFhrSkVZNWw1dHVNNE05cG9xQzJXbVptWm1KQ1E0Q3NySzF0ZFZGVFVVUEtkdmFrVWNSTDJhSzBOcFpSYnA3Z1RRb21Bd2lvcUtod0F5TTNOM1pLUmtYRjhTa3JLUDEzWGZkdmo4UlFENklEYXZhRVZBUDRIQU13OEZFQVJnSHBMSjVpNTBlV3J1OE95ckJFQTl0ZGEzeHgxdjJ1SkNFUjBaM0p5OHAyTnRXZm0rUURPOWZ2OUNWcnI1NG5vUWdEWDJMYjlaTHo2NmVucFNhbXBxZTh3Y3htQVB4WVdGbTVvWW9qVEFDeW9XNmkxVmtxcDZFOEFFMUQ3SGp3U1VMcXVHL2s5bnBXVjFST0FuNGpldFN6cnRPaStYTmRkblplWFYyK1BiaE5Pc0N6cjYvQVRadTRMNEJiTHNzSS91QkpENWE5YWxoVitieURuS1A5T1NYQW9SQnc1T1RsSEEzaWZtYmN4ODdHQlFPQy84ZW9wcFZZQkFCSEYvYi9FekR1SkNGcnJGaC9PdFJmNy9rOXFhdXFhbkp5Y21VcXAxNFBCNEk4RkJRVTcwWWJIWXN5Wk13ZlRwemU1NnFsQjExeHpEYTY0NHVjVlRrVkZSWGpqalRjd2J0dzQ5T2pSQXdBd2R1eFlyRisvSG5mY2NRY3V2dmppbU5tZjh2SnkzSG5ublpFWnNyREpreWVqcEtRRWpVbE9UbTV5Vm16QWdBRjQ0WVVYOXVqWU5tellnUEhqeHlNcEtRbEVoR0F3aU9Ua1pMejQ0b3NZTzNZczNubm5IYXhidHc1WFhubGxUTHVGQ3hjaUVBZ2dKU1VscG56VnFsVjQrZVdYTVhyMDZIcjNBbXFEcjl6Y1hGeDg4Y1dOdnRab3p6enpESHIxNm9WNzcyM2QrZVZwYVduMXl0NTU1eDI0cm92enpqdXZXWDB3TXhZc1dJQVJJMFlnSVNHaHdYcjMzWGNmYlB2bkNhd3BVNmJFclRkNWN1MkVTTisrZmZIbW0yL0dYTHY0NG91Um1SbDdiR2wrZmo3bXpwMkxhNis5RnIxNzk0NjV0bWJObWxaOTM5ZGRDaHRXWGw1ZTc5OTFYMkdhWm5jQVh6QnpQMlllSFFnRW5vMVhqNGpHaC82KzFMS3N1c3ROQWVDZzhBeVkxcnBMOUVxT3RwU1ltSmhDUkRkMzdOanhYTk0wNTJxdFg2eXBxZmxmU1VsSjZicDE2OHAvZ1NIVTJMYTlNRE16czFkeWN2STl3V0R3b2Z6OC9PV21hYjdJekgwZHh6a1dBUHgrL3dITW5NL01jNW41MW5oZnYrWExsKzhFRUE0YTFnS0FhWnFUaWVnYjI3WnY5ZnY5S1ZycjV3RTg0ampPUDMrQjF4YnRLbWF1M3JWcjEzd0E4SHE5R1VRMGlwbGYwRm8vbzVSNkJJQkhhMzF0dk1ZZWoyZEw2R3N3ajRpR01QTy9BSHhqbXVZZjR0VVBmVDhPWSthckFLVFVxVmZqT0U3ZEpaL0xiTnRlYUpybWRVU2tiZHQrSWljbjUyQ2xWQUdBUDltMi9UNEFXSmIxS0RQL2lZaXV0bTE3WVp4eG5rNUVDc0Jwb1Q4UmhtRThDZUNhNW55eG91UnJyZStKOC9vR0EwalFXZ2ZDWmVHZkwwcXA0UUQrM3NMN2lOOEFDUTZGcUlPWms1UlNMd0xZVVZOVGMyVG9MSzY0Yk5zdXRDeHJLd0MvMys5UHljM05qYndKU0U5UDcwaEVCekh6eHRaa1VOdWJmUk5SUDhNd0pqRHpUUWtKQ2QrYXB2azVnQUxYZFhOYnNXZGp0MlZsWmVHQ0N5NW9kZnZvMlNWbXhwUXBVNUNkblkzenpqc1BXN1pzd1FNUFBJRFJvMGZqc01NT0F3QmtaR1RFek5UTW5Ea1RXbXRjZW1uc2U5RjMzbm1uMVdPS1owK09MZXpwcDU5R2RuWTJacytlalJrelpxQnYzNzQ0OTl4elVWQlFnSXFLQ3B4NzdybVJ1cnQyN2NJVFR6eUJrMDQ2Q1QxNzlvenBaOE9HRFhqOTlkY3hhdFNvdU1GaE9CRGF2bjA3WnM2YzJlQnI5SHE5OFB2OStQenp6L0hOTjk5Z3dvUUpMVnB5Q3dEdDI3ZkhnQUVENnBVSGcwRzgvUExMNk4rL1A0NCsrdWc0TGV1YlBuMDZac3lZZ2FLaUl0eDQ0NDBOMXJ2cnJydFFVVkdCTld2V1lOeTRjYmpqamp1UW5aMGR1UjR1bnpoeElqSXpNNUdZbUZpdkQ1L1BoK09PTzY1ZStkeTVjM0hFRVVjZ0l5TWpwcnlnb0tCVndlRTMzM3lEazA4K09hWnM4ZUxGdVBYV1d6RjE2dFFtajhocEk4OENHS0MxSGhFNk16WXVabjZSaUJwYUdqZ2FRRG1BT1FDd1pjdVdmV2IxUXpRaU90OHdqUE1OdzFqWnMyZlB4VDE2OUxDMTFsOVhWVlVGUW9IWFhwT1VsSFFaZ0lzTnd3anZSODhCRU5rM2xwdWIrNk5wbW44RE1FMHBkWVpsV1VOdDJ5NUM3ZDc2RjVqNWcwQWdNQ3U2VDlNMFR5Q2lnYTdyL2hrQVhOY2RxWlJxRCtEVnZmbGE2dkw3L1lPMDFxY0FxQWl2ZlBGNFBQY2pkTlJKWGw3ZU90TTBkd0R3NU9YbGZkRlFQNVpsM2NMTUJ4UFJQNGhvSElBL04zVnZJb3FYcUdZcjRzeXVwYVdsSmFOMnU4Y01BRkJLZVlrbzBYWGR5Ty9XWURBNDJUQ01Bd0c4WjVybVE0N2pqS3R6djVFQU5oQlI1QWVLMWpxSmlBTE1ITE5TU0d2dDhmbDhsd1VDZ1Rtb3M3b3BNek96bCt1NlV3QWdsTHdtaGxMcU9tYnVvcld1bDFoSWE3MWVLZldPMSt2dG01K2Z2NzV1MytLM1M0SkRJZW9nb21OQ205TW5OaFlZaGdRQi9BdkF6YUVONStHbExxcGp4NDVUQVNRVFVXcy9XZDJiZllmM29yUUhjQndSSGNmTUpSNlBaNDNQNThzRE1GOXIvV0VMMDI2MzJ1R0hINDdERHo5OGovUTFkKzVjRkJZVzR1V1hYNFpTQ2c4OTlCQysvZlpiakJzM0x2S0phUFQrdnNyS1NzeVpNd2Nubm5oaW84c3NKMDZjaUk4K2F2N3BJVWNkZFJRZWZQREJYMlJzOFdpdFlSaEdUTm1MTDc2STh2SnlYSFhWVlMzcXE3S3lFcSs5OWhxVVV2ajQ0NDlqcnJtdWk1cWFtc2l5M2tzdXVRUURCdzdFQXc4OGdFR0RCdUh3d3cvSDJXZWYzYUw3NWVUa1lOcTBhZlhLMzMzM1hXemN1QkVUSmt5QVVrM25VM3Z2dmZjd1k4WU1ISERBQVJnOWVqUUFZT2ZPblNndkw4ZjI3Ylh2cjBwS1NyQng0MGFrcHFhaVQ1OCs4SGc4Nk5TcEUvcjM3NCtGQ3hmaTdiZmZ4cWhSbzNEY2NjZWhVNmRPT09DQUE1cTFwN0UxVnExYWhROC8vRER1dFRQT09DUHkrSU1QUHNCTk45MkVEaDA2QUtoZDFucmpqVGVDaU9yOW0rOExRak0xWndCWTFGaGdDQUNPNHpRNHpXeWE1dVZFdE1XMjdaYk9tdnlpd3YrWGllZ2dJam9Jd05rZWoyZXJ4K05abDVPVDg0YlcrcVdDZ29KVmUrbjJmMmJtZjFkVlZSbGVyN2N2RVdVdzg5dlJlL0dxcXFvK1RVcEtPaEhBcU1yS3lsMmhhN3NBZEZaS1BXK2E1dEhidDIrL051cW9pRHVaZVZrbzRLSlFRQVZtL20vZDQwV0k2RWJidHAvWkd5K01tZThnSWhYKytscVdkVHFBc3dEOHczR2NkYzN0eDdidHFhWnB6dEZhSDZ5VUd1ZTY3a2xFMU9LOXJjRmdNRzZ3MUxsejUzTUFkR0xtVnpJek0zdUZaaWlybFZMaHJ6V0N3U0NDd2VCVlNVbEoveU9pTDBOQlhObnk1Y3QzZXIzZUF3R2N3TXh6YmR2K0x0eXYzKzhmeE14ZzVtWFI5MU5LblFzZ3c3S3N2MnF0THdrRUFzWGhhOG5KeWU4M3NHYzBMSW1JeURDTTd4cXFZQmdHc3JPenZYdnhlMWJzWXlRNEZLSytkQUFnb2orWnB0blFSL0NmTzQ3ekVBQ1VscGJlMjdGang1TUJqRE5OOHhnQVM0am9VQURaQUp4Z01IaDNhd2V5Ti9zbW91ZzNNUURRbVprN0s2V3lBVnhNUkZ0TTAzek5kZDFabFpXVlJlWGw1V1ZyMTY1dHpvYjdOck5peFFvOCt1aWo4UHY5K09LTEw3QjU4Mlo4OE1FSHVQUE9POUdyVnk5czNMZ1JRTzFldU5OT3ExMnBNMi9lUE96WXNTTVNQRFNrdXJvYXZYdjN4dTIzTjUwZzlzRUhIMFJWVmV5a3h0NGNXenpCWUJCcjFxeEJkWFUxRWhNVHNYUG5UcnowMGtzNDdiVFRjTUFCQjdTb3I3ZmVlZ3NsSlNVNDVKQkRNR2ZPbkpocnp6Ly9QUDc1ejMvaWswOCtpU1RNdWVHR0c3QjkrM1k4OXRoajZObXpaNzI5a2ExUldWbUpwNTkrR2dEcTdVT001OHN2djhUZGQ5K05MbDI2NE5GSEg0MEVVbzgvL2poZWYvMzFTTDF4NDJvL3NEL2pqRE13WWNJRXBLV2w0Wk5QUHNHQ0JRc3djK1pNcEtXbDRZa25ua0NYTGwzd3lTZWZOSHJQN2R1M1k5MjZkZlhLQUdEejVzMHhleGdCWU11V0xUSFBmL2poQjh5ZVBUdW1UR3VONnVwcURCa3lKREpiR1E3V0w3LzhjaXhkdWhUWFhuc3RsRko0OHNrbkc5MzcybGFZT1NmMDl3RFROTitJVjRlSXR0dTIzVmJaTC9lS3FPVy9pY3pjbTRoNkc0YmhOd3hqa21tYS93WHdkRlZWMWFmdDJyWGJrWnVidXd1N09UUGo5WG9QSktLREFSeWNuSndjMlh4TFJQK1huSndjTjJGTmNuTHlPS0IyaWE3ak9LZFpsblV2RVkzdjJyVnJ2K0xpNHBOTjAvd1RFUjNEelBjRGdNL251NHlJQm11dHh3T0lCQ2xLcVlFQUh0UmE3NVVQRkwxZWJ4YUE4NWs1OG9PVm1lOGtvaldWbFpVeHZ3ZUpxSmZQNTZ1M0NaaUlLaDNIbVF1QUhjZFo1L1A1RGc3MXN5NHZMNis0YnYzV0lxSVRRMHRDRjRjL05BdjlqdjJwN3Q3NHNGRDVZd0J1TUF6aktpS2k4UCtic1BCejEzVUw2alNmQytBSEFFOG9wZkpNMC95ejR6anpBY0MyN1J3MHdyS3NPUUM2T1k1emNtUDF4TytMQklkQzFCYytEOGhQUlA0RzZrU3lweFFWRlpYNmZMNWppT2h1QU9jUWtjbk1Qd0dZVWxWVmRXOWhZV0dyZjFudXpiNkJ5QytzR0ZFQll6Y0Fmek1NNDRyMjdkc1h0Ry9mUHJkYnQyNmZNM09nRlp2aGZ4RWRPblJBdjM3OTRMb3V2djMyVzN6KytlY1lPblFvemp6elRBQkFSVVZ0Ykx0bzBTTGNldXV0OEhnOHNHMGJ6SXlMTHJvbzBzK2lSWXZpTGh0TVNrcEN2Mzc5bWh4SHZLeWllM3RzZFZWVVZLQ3NyQXpmZlBNTmhnNGRpaVZMbG1EWHJsMzQ4TU1QOGVtbm53S296Ylk2Y21TREdlc0IxQWJGNFdXazhZN3QyTEpsQ3pwMzdoenptaTNMd3JCaHd6Qm16QmlVbDdkc3U5V0lFU1BpSnRTWlBYczJObXhvS2hkRXJZVUxGMkxpeElsbzE2NGRwaytmanY3OSswZXVYWFRSUlRqaGhCT3dldlZxVEowNkZUZmRkQk1PT3VpZ3lQN1A4TDBlZSt3eEhIUE1NWmc2ZFNydXUrOCtUSm8wQ2F0V3JjSjExMTNYNERMWisrNjdyOEV4WFgvOTlVMk8rN2pqanFzWFNNK2NPUk5QUGZVVTB0UFQ4ZU9QdGNlTnBhYW00b1VYWHNDQUFRTXdmdng0dEcvZkh0T25UNiszYkhWM3NHWWtHdnBBMHpTMTFsb1RFUU5ncFpRT0JvTk1SSkhIU2lsTlJFeEVIQXdHSTQ4Tnc5QTFOVFhzdXU3QmhtR0FpUG9ENkIvM2ZzeWJNek16ZXltbFdDbkZDUWtKdXF5c2pBM0Q0SVNFQkcwWUJvZG0xY25yOWJiZnRtMmI5bmc4N1BGNHVGT25Uam8zTjVmUmh2dW02d3IvYkkzZUh4cjltSWlPQkhCa1VsTFNabVplWXBybWwxcnJiNnFxcXI3NjdydnZ0cmJpbGx4ZVhyNHVOVFUxa3ZtS2lLNEhjRTR3R0R6T01JeEdBODlBSUxBVEFOdTJmYnRsV2N1Q3dXREE2L1cyQi9CNHFLL3E3T3pzTGtxcCs1bDVXM1YxOVVOSlNVbXZFZEdUdG0yL2I1cG1PQ25Nb2xhTXZVa2VqMmRhYUovOXE4d2NEbnpQWSthMHdzTENtSXlwekR5UWlPSmwyZHlDMmtBcVJ1aDdHejZmNzY4TnRJdVc3empPWVkxY1o5ZDE3eklNNDUraHNYUlFTbjBFNENsbWZyNnhqbXRxYWpabVoyZDNJYUl4QUxZU1VXWm9TZWZhVUYvREFHd3VLQ2lvbDczTXR1MlpPVGs1M3lxbFhpZWkxM3crM3lPQlFPQVdoUDVQbUtaNUk0QjZldzRCSktFMmEydThkTXU3SE1kcE5QdXIrRzJTNEZDSUtFU1VDR0JKdlBYM2RkWDlaSktaSFFCTzlCdUF4TVRFYzMwK1g0TjlhSzMvaDlxem91Siswcms3ZmJkVTNUY3pVVUZpRW9BL01MT2ZpQzVTU3YzazgvbVdCVFVLZDFWeml4UHQ3RTI5ZS9mR2E2L1YvdFBkZi8vOTZOS2xDeVpNbUJDNUhnN0FTa3BLOE1VWFgyRFlzR0VZTldvVWpqMzJXQURBL1BuenNYcjE2Z2FYNW4zMzNYYzQ2YVNUbWpXV3Vudmk5dmJZNmdvSFplKzk5eDZHRGgyS3RMUTAzSFRUVFFCcVo3UCs5YTkvTld0cDVzS0ZDN0ZwMHlhTUdERUM3NzMzSHJaczJZSnUzWDdlWnZQamp6OWkvLzMzajJrVDNoODVZTUFBeko0OUcwUlVMNHZvbkRsendNeTQ1SkpMSW1VVEpreEFUVTFOdlRIODhNTVBtRFZyRnBSU1RSNzU4ZnJycitQOTk5OUh0MjdkOE1RVFQyRGd3SUV4MTlQUzBwQ1dsaFpKM0hMSUlZZEVqckxZdUhFakprMmFoSysrK2dxbm5ISUtKazZjQ0kvSGd3a1RKcUJyMTY1NC92bm44ZFZYWCtHMjIyNkx1Ni92NzMvL083eGViMHpaNHNXTDhkeHp6K0dPTys2bzk4SENxbFdyR2t4OEUvYmhoeC9paUNPT2lNeDhBc0NGRjE2SVo1OTlGbVBIamtWNmVqb2VlK3d4OU9xMVo5L0RFWUIyQ1o2TGlDalRNQXh3NkFjQ00zUG9lNUFCSUNFaGdjT1BBWEFvY0k3VTlYZzg0VGZmcTZMcmhic0xQd2VBNU9Ua1Q2T3VjN3QyN2NMRENRZUd4YUY3Zk4yalI0K1l2a3pUakI1SHRDQVJCWm5aUmUxNWlacUlORE83ekJ4NVRFUWFnQTZYMWFuanhybW1pY2dOMTBGdDlrbHYzWnRIZndBWEwxQWtvdTZvWGRwL2pHRVkyOXUxYTdmTzUvTjlEbUJXSUJCWUhQY2ZwNzcyekZ3VzJvZjN2M0NoYVpwRGlPaHpwZFR5aHBJWUdZWlJscHViRy9PZnpyYnRPUUJnV2RaTUFIMFIrakRVNC9GTUE5Q2RpSXprNU9Uc1VNSzJ4LzErZnhZem53bkFhY255enViS3lja1pER0FvTTk4QUlKTFZ5WEdjSDFBN1kxYlg1NDdqREd0RzF3a0E0UEY0S29IYTVHOUVsS1MxdmlqMC9WRFhkYUh2aFhxU2s1UGJBNERXdWl5MGIzODFBUGg4dm9zQUdLN3J6aWVpb25odEt5b3EzUEJlVk11eWJnZlEwWFhkazVSUzg1VlM1NkIyUnRHZzJyT05QMFQ4NzNQazVlVXQ5Zmw4UXdETUk2S2g2ZW5wUmxGUlVmZ0RrMFFBbTVSU2NRUGJ1aDhVTS9QNXpQeEF2THJpdDArQ1F5RUFoRko5TTRBVUl2cS9lRE5xdjFlaHZZa0lMWE5KWWVidVNxa3lhUGZIUGZsMWV2bmxsMk95UlRiWGtDRkRZcEt1QU1Cbm4zMkcxMTU3RFk4Ly9qaTZkdTBhS1E4djhjdkl5TURjdVhNeGJOZ3dISEhFRVFCcWwrbzk4c2dqT09ta2srSUdZTm5aMmVqWnMyZXpzblhPbmowNzVzMzgzaDViUENVbEplalhyeDgrL3ZoamJObXlCYjE3OTQ0RWFBc1cxR1phYjg0K3orSERoeU1ZRE9LeXl5N0RlKys5aDhXTEYyUEVpQkVBYXI4Mzh2UHpJMGR5MU9YMWVtRlpGaDU2NkNFTUh6NGNKNTU0SW9EYUlQdUxMNzdBMldlZkhYUEdZRlF3RUJFTUJuSG5uWGRDS1lYenpqc1ByN3p5U3FQamZmLzk5NUdlbm81SEhubWtYdERha0lxS0N2enJYLy9DU3krOUJLMDFycnp5U3B4MTFsbll1dlhuQ1p5UkkwZWlUNTgrbURadEdxNjg4a3I0L1g1TW5qd1ozYnAxUXpCWSsvN3JrRU1PcVhjR1lyaVB6TXpNZWpON1RaMWJ1V0xGQ2l4ZnZyeGVZTjIvZjMrY2V1cXBXTEJnQVc2Ly9mWTlIaGhHRUNjd294M1ZpcFJHMXdnL1lPYTQ1UlQ3UXlKdWViaHQzVDVhZWs5cTVBZFMzVXVobjJuMXJ0VjkzTmkxNkRvTkJWL054Y3dHRVhVQWtFcEVxY0Znc05udnowTHRTcVBMTE12eUF4Z0lZS0JTcXNHampselhQUXRBekZKZnk3SXUxbHJ2QkhDNTFubzhFVjJGMm5NTlQwQnQ5c3FybWZsdkFNWVQwU1BCWUhDSVV1bzRJb3FiSVhSMzVlWGxMVFZOYzNvZ0VQaW5hWnA3OHZ6RXpnQlFWbFlXazdFMUVBak1RNXhaYU5NMEx3bDl5RkJQdTNidE9nQ0FVaXJtMzBFcGRUNEFHSWJSNEpyMGxKU1VQQUErQU5CYXYwaEVnL1B5OGo0d1RYTUJFVjBKNERITHNrNEIwRnRyUGF1aGZrSmpMd0V3d2pUTnJuR09xOXFmbWV0bFJvMkhtZmRyVGozeDJ5VEJvUkFBZ3NIZ2p4NlA1Mk9sMU43Sk5MRnZpUnNSeEh0ekUzb0Q1SWF5bzIwQnNOcDEzY2Z6OC9NWHBnM3lEUU54NDJzU1cyREZpaFg0NzMvam5oalNxT2haTEtEMnFJZzc3N3dUbDE1NktUSXlNbEJRVUlDTkd6ZmlxS09PaXV6eHV2NzY2M0gxMVZkanlaSWxrVDFhSDN6d0Fjckt5bkRPT2VmRTlMZDQ4V0xzMkxFRFBYcjBRSThlUFJBSUJOQ1U4T3pSUng5OWhKU1VGQng1NUpGN1pXeU4yYng1TXk2NDRBSzgvLzc3ZU9tbGwzRGRkZGRGcnIzenpqdkl5TWhBMzc1OW0reW5YYnQydU9XV1d3QUE2ZW5wK09pamp5TEJZVUZCQVhidTNGa3ZJS3FxcWtKaFllMVJaNGNjY2dqUzA5T3hkdTFhT0k0REFKZzBhUko2OWVxRkUwNDRJVkxXdTNkdmVEeWVlak9EaXhjdnh0S2xTekZ4NHNRR0Q1cGZ2SGd4WnMycWZjODBmUGh3M0hYWFhmWE92V3lNWVJqNDZxdXZNSGp3WU54MjIyMTQ2S0dIOE95ejlVOWE2TnUzTDE1NzdUVk1tellOcTFhdHduNzcxYjUvQ2dlSGpSMlYwUnBQUC8wMHVuYnRpdUhEaDllN05tYk1HQ3hhdEFpVEowL0c3Tm16bTdYVXVDVVlRSGwxY0ZhS1J4VWJoa0VBU0d1dG9oOERJS1dVWW1aaVpzWE1aQmhHNURFems2cWRuaVptVmtvcEN0Y050WTNVamE0WEN2b0lRTGdzNWo1S3FjajEwRFZpWmc5aWcwaUV4dWtKM3plcWZ1UWVvYjFoa2V1aEQ4SHFqaEUwelFBQUlBQkpSRUZVamJuT3ZWUzRiZFJZazBMN3dXT21oeHNLR3FOV2FwUVIwVVlBNjEzWGZiK3FxbXBhUzVlVk1uTlhJdHBScDJ3Y2dCSUE3WWhva3RZNkp2V3lVbW9DTXg5bkdNWTNkYnBUelB3NEViM056QThFQW9FSFROTzhpb2lxWGRjOU5TOHY3MXVmejZlcE5obmF2Ylp0anpKTjh6VWkybHBhV3ZwQ1M4YmRFbzdqWEwybisxUktkUVdBNzc3N3JybUh6TzhQSU80bm1GcnJycUVaOWtoZmxtVWR3c3luRU5FR1pxNGlvbk8wMXBIZ1VpblZsMnZQWFl3RWJLRmtNaGNCQURQUFZFcDlZSnJtbjdnMkdjK3F2THk4K0JtcllybU80OFE3YTNPRDF2cmNPT1h4bkV0RWR6V3pydmlOa2VCUUNBQkxsaXpaNlBmN3I2bW9xS2cvZGZFYms1eWNITms0eHJFSmFXSWVNL00yQUcrNXJqdVhtWXRyYW1vcVhkY3QrLzc3N3h2OEZIcDNUSmd3SVdhWlpXczkvUERES0Nzcnc1dzVjeUxKUGJwMzc0NWpqamtHeGNYRjZOQ2hBNFlNR1lLc3JDdzgrdWlqZU82NTUxQmRYWTBaTTJiZ2tFTU9xWmZzNUxISEhzT3FWYXZRc1dQSEZvOWw1ODZkNk5hdFcrUVlpRDA5dHNidVcxcGFpbDY5ZW1Ia3lKRjQ3TEhITUdyVUtQVHMyUlBmZi84OUZpOWVqUEhqeHpmYVI5MkVPZ0J3eWltbjRJa25uc0Q2OWV2UnUzZHZ2UEhHRytqWXNXTWsrQTNidkhrenJya21OcUhrakJrelVGTlRBNjExWk1Zc09tQWRQWG8wRWhNVDY5MzMwRU1QeGNpUkkvR25QLzBKTDczMFVzeTFqUnMzWXZyMDZaR1pVQUE0OTl4eld4UVlBa0JpWWlLZWV1cXB5R3p2MkxGajhaZS8vS1ZldmVUa1pIVHUzQm5qeDQrSDY3cVIveXZoSmJ6cjE2L0g4dVhMWTlxRTkybis4RVA5MVcvaFBZVHhMRnUyRElzV0xjSjExMTBYZDRheFo4K2V1UG5tbXpGeDRrUTg4TUFEZStUL1RqUlNoS0Qyck1yUEQzemFkTzE5V2poNFE3eS8vWDQvS2lvcUNBQ3FxNnNKQUlMQklBV0RRUUlBclRYMTd0MGJOVFUxTVhWYzE0MzVPekV4c1hOU1V0TGpSTlFQYVBURE5vU3VMMmJtNTVWU1gxUlhWNWU1cmx1ZWtwS3lJeTh2cnpWbklnNENFTm1zR2dwS1JnSzRPN1F0NE8rdTYwNHJLQ2pZRHRRZVRjSE1aeExSWDNKemMyTTJFdWZrNU9RUVVSZG0vc2h4bkpqc1NIbDVlZC9pLzl1NzgvaW82bk4vNEovbk81T1ZBQUVFa2JvQTVySUVTTTQ1UXhWUWloWHJBbFdMZGIyOVhyUjF4YXBWS21xdHRkeXF1SUdJZFJmOGFVWEY5V3BWWEtvVlFSRXdjeVlCSXdncUNvb2kreEt5ekh5ZjN4K1p5WjFNSm90S0NNdm4vWHI1U3VaN3Z1ZWNaNFlYd1NmZjcza2VBT3ZXclh1OFc3ZHVWNnZxTk1keFpvbklyd0ZjdW1MRmlucXJac2tHREJqUTJSaWppUmhhV1k5NHU0NEdWUFdwcE42T1JhcjZPUnA1VnRWeG5KN0dHRGYrcktPcnRRVmhac1NQNVNmM2lEVEc5SXQvWFo1MHI3K0l5RllBd3dFc1V0VmZSQ0tSeEZaTjQ3cnVWQkg1Zk1PR0RhbEptQUpBSkJKNTAzWGRkd0E4S2lMNUFNNUdJMXRLVzBKRTlnZlE1SE9QU1hPNy85alZjTnB6TVRra2lpc3BLZGtNb0tXL1FkeGpKWjZWU213WFRSQ1JIYXE2eFZyN3NZZzhVbEZSOFVKcjkrUnFEYWVjY2dxR0RCbUNuajE3NHVDREQwYVBIajNxVmxYS3k4dnJua0ViTjI0Y3hvMGJoMmVmZlJZYk5tekE2dFdyMDY0V0FjQ0lFU013YWRJa0FMV0pRQ3pXZUcwSFl3emF0YXV0YVhUVFRUZGg0Y0tGclJwYk9rdVgxbFlsUC9UUVE5R3JWeS9NbURFRHQ5MTJHeVpQbm95cFU2ZWlXN2R1ZFJWUkV4TC9JN0I2OVdyTW1qV3JYc0tWOE90Zi94cVBQUElJN3JyckxseHl5U1Y0OWRWWGNlYVpaelpJWGc0ODhNQzBGVXB2dU9FR0xGdTJERTg5MWFBbUJBQmc0Y0tGRFFyWUJJTkJYSDExdzBLTGQ5NTVKMmJObWdWckxVNC8vWFRzdi8vK3VQdnVIOTZQT3k4dkQydlhybTJRM0NYYnRtMGI1czZkaTRNUFByaGVrWnZFbHVDLy9yWHhYN1JmZSsyMUxZNmxwcVlHRXlkT1JINStmb010MDhsKytjdGY0dDEzMzhXTEw3NklBdzQ0QU9lZmYzNkw3N0VQYWV4WlJBQkFTVWxKc3hkSXJVQ2JqdU00QnJYOTl1b2svWHlOcXVwV1ZWMEg0RmtSbWVIN2Z0cm56NzZ2bmoxN1pvdEliMVY5SUhGYkFGTUJiSXBHbzNkblptWldXV3RQQ3dhREx4Y1VGSnlRbDVjM1NFU2VCZkJFT0J4dTBMRFVHSlBvcTlkbzM1N1ZxMWZ2Nk5LbHl6bkdtRG5HbU5FQVhnK0h3dzE3ejhTRlFxRmNWZjBXd090SWFlamVHa1NrRjRDMExWRkU1RitvWFZHRnFnNFdrUS9UellzZmJ3ZmcrYVEveDM5OTk5MTNEd09BTWVZMXovTkt3K0h3aGZHNUEwUmtTMGxKeVpjQVVGeGNmQ1NBMHdIOFR6Z2NYdUU0emxYR21QdGMxMTFwakhuT1d2dVlpTGdBams1cUdaSXVoanVNTVM4RFdCTU9oNTlvYkY1THFPcDZhMjNEYWw5cEJBS0JFd0EwWDBXTDlrcE1Eb24yVWZGLzhDb0JsS3RxeEZxN0VNQzgzYlVTYVVzZGM4d3hEY1ppc1JpcXFxb1FpVVRxMmtJY2Z2amhPT0dFRXpCbHloU29La2FQSHQyaTV1RVhYM3d4bGl4cFVDeXVUdS9ldmZITU0rbDdRN2RHYkJkZWVDRkVCTkZvdEc3RjdQMzMzMGQrZmo3NjkrOFBZd3dtVEppQUNSTW00SW9ycnNDQ0JRdHd3dzAzTkVqb1B2Kzh0ai96K1BIajBhNWRPNHdZTWFKQlg4ZTh2RHhjZE5GRnVQMzIyN0ZzMlRMazV1YmluSFBTMTFHNjY2Njc2cldNQUdxZm5ZekZZblZGZGhKQ29SQ21USm1DL1B6OEpsZlRrbVZsWldIWXNHRzQvUExMY2NnaGgrQ0ZGMTVvZE82NmRldnc5Tk5QNDZTVFRtcXdsWGJWcWxWWXZYbzFyTFhJeU1qQTlkZGYzK3k5TDdqZ2ducTlJaE5WVkdmTW1ORmcxWEwrL1BtNCsrNjdNV25TcEhvSkpWQzd6VGpkaXQvOTk5K1A1Y3VYWTlLa1NYVy9hR2pNeElrVHNXYk5HdHgvLy8xUTFSL1U5b1IycnFSazRsTlYvVkJWUzBSa1FVVkZoYit6ZitIV3VYUG5Zd0FFNHorLzRYbmVKUUNPVmRVTGtsWUtmd0ZnWG9jT0hkNEQwRnRWWC9KOWYyd2psenhCVlQ5dXJyQk12T1ZSRkxXRlRyNHVLQ2pJU1BPTUd3QWdHbzBlSGdnRWdxcmErRi9TblVoVjMydXVJRTBvRkRyWVdqdFlWUnQ5aUxtMHRQUmp6L01LQVdSVVZsYXVMUzh2cnl1WHJLcDlSYVFzOGRvWWM3eXFMZ0tBdm4zN3RqZkdQQ1lpS3pkczJIQXJBRVFpa1lkZDF6MUVSQjYzMW82WDJ2NlR4L20rMytodkp4ekh5VGZHM0JJdmZuU0E1M2tQYjlpd1lWeFR5V1F6b2lLeXVpVVRyYlViV1h0aDM4WGtrR2dmcEtwZmljZ1RzVmpzSldQTVoxVlZWZXZLeTh1cjJ6cXVuYVc2dWhxTEZ5L0doeDkraUVXTEZpRVFDT0M0NDQ1RFRVMU52U3FpWjU5OU5tYlBuZzBBT1BIRUUxdDgvVkdqUmpYWU5nblV0aDFvYmlWaVo4ZDIzbm5uMWZVdHpNaklRRFFheFJ0dnZJRmh3NGJWVlNNZE9YSWtoZzRkaW5mZmZSZXU2K0trazA1cWNKM0VpdG5wcDUrT0N5KzhFTXVXTFd1UUhBTEFHV2VjZ2FlZWVncGZmdmtseG80ZGkvejgvTFJ4blhIR0dRMmVsWHZ3d1FmeHhSZGZOR2o1a0VpQTl0OS9meXhhVkZ1ZzhkRkhIOFdHRFJ0d3hSVlhwTDMrdUhFdGZ3UnA3ZHExbUQ1OU9qSXpNM0h3d1Fkai92ejVkYzlFVHB3NEVjWVlqQmt6Qm9ucXZ5Ky8vSEtqQllXT1A3NWhPN0R5OG5MazUrZWp1TGhoUzdHVksydmJweDF5eUNFTkN0SlVWemY4Sy9mMjIyL2owVWNmeFlnUkkrb0srRFFsSnljSDA2Wk53N25ubm9zSEhuZ0EzMzMzSGE2NjZxcWQvZ3dpdFp5MTlnVVJlVVpFRm0zZXZQbTd6ejc3YkF0K3hIYkFwcWpxcVNLeXByUzA5SDNIY1k0Q2NMdXF6bzVFSWc4blRlc3FJcCtqZG5zalZQWFRVQ2pVcWFTa3BGNmpUY2R4OGtWa2hLcmUzOWo5NGtuVnRIamx6QmRWZGE2SVRHcmZ2djF3eDNIK0ZJbEVua050VmRnNnhwZ2o0aFZkWDlwcGIveEhzdGFlVS90NHFTWnZZNmdHZ0lLQ2d0ejRGbGtiRG9jL1RqM1hkZDFpRWNsWDFRVkFiWDlKQUNFQUZ3TUk1dWJtem94dkw2NWJGWXl2bnE1SGJiWGN3UUFXVzJ2YnAxNDdvYWlvcUoweDVwK3FPa0JWLzB0RWVxcnFqWjA2ZFRvaVB6OS9FbXFMQ0ZXbzZtUnJiWXNlMWhlUkh2R1YwMmFwYXFPeDBkNlB5U0hSdnVmNGpSczN6dmtSdjMzY2JTMWR1aFJUcDA1RldWa1pxcXFxY01BQkIyRG8wS0g0MmM5K2hqdnV1QU9PNDZCUG56NEFhcmRQL3ZHUGYwUXdHRVF3R01UNDhlTng2NjIzMWxVSWJjcjI3ZHZUYmpWcnJHQkthOFNXbDVlSG80OCtHc2NjYzB5OXB2WXZ2dmdpdnZubW0zckZheFl1WElqUzBsSUF0WW5NVzIrOWhaRWpSOWFMNzdycnJzT29VYU9hZlA4VkZSVzQ2YWFic0dyVktuVHAwZ1dQUGZZWW90RW9McmpnZ25ySjFKWXRXNUNkbmQyZ1dtaE9UZzR5TWpMU1ZoSGR1blVyZXZic2lmWHIxMlBUcGsxWXVYSWxQdjY0d2YrWC9TQmZmZlVWQUtCSGp4NzQ0SU1QOE41Nzc2R29xQWlqUjQvR2dBRURVRmhZaUp5Y0hMejY2cXNBYWovYjFJYjFqYW1vcU1DaVJZdHcyR0ZOdFQ1cm1jV0xGK1BQZi80emZ2S1RuM3l2WndnN2RlcUVoeDU2Q0pkZGRobWVmLzU1ZlBMSko1ZytmWHFqL1JocDU5dTJiZHVPdkx5OHFiRlk3Skt5c3JLMXUrS2VudWNWQVBoUGErM2ZQYzl6VmZXZnFyb3FHbzMreG5YZC9RQ2NJQ0svQVhBc2dBV3FlZ3lBa1NMeVIxVzkwdk84V2FyNlJrMU56ZHRMbGl6NUZzQm8xTFozYUpCQVdHdHpQTSs3M1ZwN2FieWR3eFcrNzA4RkFNZHgzakxHM0M4aVQ3dXUrN21JWEI0T2g1UDNwUjhCWUY0alJWSjJPZGQxdXdLNEFzQnJ5U3VrcXJwWVJOQ2hRNGRIUGMrYmJkUDB6VEhHNUtucXhRQXFqREV2QWtBd0dQeUxxbFlCZU01MTNYK0l5SWtBTGcySHcrOTVuamNFd0ltcWVnR0FYRlc5UlVUZVVkWEpnVURnZGRkMVMwWGs2V2cwK2xaWldkbUhBR0toVU9qUStDcnJJRlc5S2hLSlBCR1ArejBSbVN3aWo2anFkRlZkS1NJcmpUR0hlSjUzSm1xM0wxc0FHU0tTVlZsWmVYOHdHRndaRDcyRHFuNFZpOFZhMHVJRHdXRHdOQUEzRmhVVkhSaC8zOXVTbjdHa3ZSdi81U0RheDRURDRkZmJPb1prTDcvOE1wWXZYOTc4eEdiMDdOa1RQLy81ejJHTXdjVVhYMXpYMnc4QTdydnZQcXhldmJxdUNFc2tFc0dFQ1JPd2JkczJUSjA2RlhsNWVianNzc3R3MldXWDRaeHp6c0h2ZnZlN0pvdWF6SnMzRHdzV3BCYjVxOVc3ZCsrNjcydHFhdXEybUhYdjNuMm54dGE5ZTNmY2Z2dnQ5ZTY5YWRNbVRKczJEVC85NlUvclZzRVNEZUgzMjI4LzNIenp6YmpsbGxzd1ljSUVqQnMzRG1QSGpxMUxJTEt6czV0TURPZlBuNDliYnJrRlgzLzlOUzYvL0hLY2Z2cnBtRFJwRW1iT25JbFhYbmtGWjUxMUZrNDk5VlRrNStmajdMUFB4dXJWamU5ZVNrMU1FNS9iMUtsVDZ6N2YxYXRYTjlpRzJaVEVTdG4yN2RzYkhFdXNFdmJ1M1J0SEgzMzBUaTNlOHZycnI2TzZ1aHJEaHcvLzN1ZW05blJjdEdnUk1qTXpjZGRkZDZWZGtmMzIyMjhCb0s1SFk3S3VYYnRpK3ZUcHVPYWFhM0R5eVNjek1kekY0bHNxR3o1bzI0cXN0WWNiWXlxajBlaXRXVmxaTVZYOWR5d1dHeGNJQk00Q2tHakMvaTZBMDN6ZlQvVHVmY3QxM2I5YmF5OFhrYkVpY2s1bVp1YWFVQ2pVMzFyN0xZQ1hqVEZ6VXU4bElwVUErb3ZJTTdGWTdKclMwdEt2RXNjaXRTV2NoM2llZDRxSW5GdFJVWkc4a21WRVpDaUEzYW55NVVVaTBqNzErYnRJSkxMSWNady9pY2dGQUk1SjF4cEZWYXNCZkd5dHZUQVNpYXhEYlhYWFlhcDZWeVFTK1M3ZW96SVNpOFVlOFR4dk9XcTM4YTRWa2NkVjlmYWtaTlR6UE85WEFDNVIxUnVEd2VCTm51ZE5pRWFqejFwckY4WGp1eVFTaWRROXkrbjcvaHdBZzR1S2lyeGdNRGdTdFFWMWVnTW9WdFdPcU4zaUcwUnRrbGlSbVpuNXFqRm1ibkw4d1dCdzFmZjVvSkxtM3dPZzRYWVoyaXZ4WHc4aWFsTno1c3pCMjI4MzJnS3F4WVlPSFlveFk4YmczbnZyMTBXWU4yOGVac3lZZ1JFalJxQzR1QmhUcGt6QkUwODhnYnk4UE54enp6MTFmZlptekppQjhlUEhZOGFNR1hqdHRkZHcyMjIzb1gvLy9nM3VNMkRBQUJ4MzNIRU5lczhCdGMrZUxWaXdBQTgvL0REV3IxK1BOOTk4cys1WndmejgvRmFOelZxTEcyNjRBVnUzYnNYdmYvOTdiTjY4R2JmZmZqdG16NTZOM3IxNzQ5NTc3MFhYcmwzUnQyOWZYSExKSmJqMzNudng2cXV2WXZ6NDhRMnFqU1pidVhJbC92NzN2MlB1M0xrNDZLQ0Q4T0NERDliRk5YSGlSQng3N0xHWU1tVUs3cnZ2UGp6MDBFTTQ0NHd6TUgzNjlMUkZlNlpNbVlKUFAvMFU5OXh6VDROandXQVFYYnAwd2NpUkl6RjU4bVJVVkZRMHVxVTBuVVF4bnlsVHBxQzh2THl1cmNUNjlldnh3Z3N2b0d2WHJ1alRwMC9kVnR1bXBOczZtbEJaK1g4TDdoVVZGWFZWVGhQdFBab1NqVVp4NTUxM0lqYzNGeGtaR1hqMzNYY0IxRzZuQllEZi92YTNHRFZxVkYzZndxMWJ0MkxpeElubzJMRWpWQlZ6NXN4Qk1CaXNlNitwY25Oek1XM2F0R2Jqb0wxREpCS1o2VGpPSi9GVlB3QTRDUUFLQ2dxbWQralF3VVNqMGY4dEt5dHI4RnVhZUlKeU5ZQS9lWjQzVEZWM2hNUGh6YWhkTVd5d2F1ajdmcytXeEJNT2g1OEg4SHpLc0EySHcrbjNudjhBdnU5ZkErQ2FKbzQzZkxBN1JYVjE5VDJabVprVmtUUjlpU0tSeUNRQWs3NUhTTlphZTJJd0dQdzJmbjdkRC9sNEM1Q2c3L3R2QWtqOWdhamhjUGdGQUM4VUZoWjJ6OHJLK3JudiswOERpSG1lOTVkWUxQWlJhV25wdjlQZHNLeXNMSXhHV21xazhhT0syTkMraWNraEViV3BHMis4c2NucW55M1ZXSFA0SlV1V29IdjM3cGc0Y1NMbXpwMkxtVE5uWXZqdzRianV1dXZRdFd2WHVubTlldlhDRTA4OGdjbVRKMlA1OHVYbzFhdFgydXNsZXY2bHMyN2RPc3lZTWFPdTc5MmdRWVB3aHovOG9kSDVPek8yRHo3NEFQUG16Y09sbDE2S2Z2MzY0YlRUVHNPWFgzNkpNV1BHNE1vcnI2eGJiZXJXclJ2KzhZOS80SzY3N3NMVFR6K05aY3VXTlprY0FyVnRGUzY4OEVLTUhUdTJRU0diSTQ0NEFrT0dETUViYjd5Qlo1NTVCcU5IajI3UWV6SWhPenNid1dDd0xobEs1eTkvK1F1bVRwMktiZHUyNGVTVFQyNHlybVI5K3ZUQlZWZGRoU2VmZkJJelo4NnNxNzZha1pHQkFRTUc0TW9ycjJ4UllnalU5cHBzYk9YNDVwdi9yd2Qzb3JMcStlZWYzMmpobUl5TURPVGw1Y0VZZzJBd2lEbHo1dFMxdDhqSXlNQ1lNV1BxdGhNRHFOZlF2bjM3OWdpSHc5aThlVE5FQkQxNjlNQ1ZWMTdaZWszdmFZOFRpVVFXcFk3RlZ6SC8zb0xUWStGd2VHN3owL1l1SDMzMDBRWUFrM2ZXOVVwTFN6OUpOKzc3Zm91ZTc0c1h1bmt5OFRvY0RyZmt6NDZJaUdqMzByT2ZjMVRQL3NWcmlnNDdVdWN2V0tTN3M0MGJOOVo5djNqeDRtYm4xOVRVdEdZNDllek0yTjUvLzMyMTFxcXE2cUpGaS9TOTk5NXI4bHFmZlBKSmkyS01ScU10bXJjdit1S0xMelFXaTMydmM2TFJxRlpWVlgzdjgzYUYrUXNXNlUrUEhLazkrenNiZS9aeld2UjhFaEVSN1QyNGNraEVlNzNrNTdjR0Roelk3UHhkK2J6V3pvd3QrWm5Cd1lNSE4zdXR4cllucG1wc1ZaWlFyeGhRU3dVQ0FYNm1SRVMwVzJyWkhoc2lJaUlpSWlMYXEzSGxrSWlJaU9wUnE4Z0tha0dpNnUyZVFFUSs5MzMvaTdhT2c0aG9UOGJra0lpSWlPb1JBTmtaNW14alRKOW1KKzhtVlBWTHgzSE9pRVFpSzV1ZlRVUkU2VEE1SkNJaW9nYU1TSWFxTnQ3d2MvY1JCSkFMSUJ0QVR3Qk1Eb21JZmlBbWgwUkVSRlNQQXFpb2pzM0l6VEFyMmpxV0ZuQkU1SHF3amdJUjBZL0c1SkNJaUlqcUVTT29qc21LVHo2S3ZOUFdzVFRIY1J5SVNQVWVzc3BKUkxSYjQyL1ppSWlJaUlpSWlNa2hFUkVSRVJFUmNWc3BFZjFJMWxwODlmVWFmUHJaNTIwZENoSDlTRjk5dlFheFdLeXR3eUFpb2piQzVKQ0lmcFFkTzNaZ3lyUjdrWlBEeDMySTluUTdkbFJpeTlZdGJSMEdFUkcxRVNhSFJQU0R4TVN1QzZpcHRGYXg1cHR2MmpvY0l0cUpSRkVURmJ1dXJlTWdJcUpkaThraEVmMGdxejR1Ky9pZ3ZnTlBDOWpnZ1cwZEM3VytnSWtlYWtRQ05iSEFKMjBkQyswQ2F0ZXNXbDcyY1Z1SFFVUkV1eGFUUXlMNm9XS3JsaTM1RU1DSGJSMEl0VDdIY1c0RGtCdUpSRzVyNjFpSWlJaW9kYkJhS1JFUk5hbFBuejc3aWNpeEFFN28wNmZQZm0wZER4RVJFYlVPSm9kRVJOU2t2THk4d1FCNkdHUDJpMzlQUkVSRWV5RW1oMFJFMUJSUjFhRUF1cWhxKzFnc05oU0F0SFZRUkVSRXRQTXhPU1Fpb2tiMTd0MjdBNEJoSW1KRVJJd3hoN211eTYybFJFUkVleUVtaDBSRTFLaU9IVHUyQTFDVWVDMGlUaXdXNjl5R0lSRVJFVkVyWVhKSVJFUk5HU1lpM1ZRVnFnb0EzWTB4UTlzNktDSWlJdHI1bUJ3U0VWRlRmcDg2SUNMbnRVVWdSRVJFMUxxWUhCSVJVVnI5Ky9jL0JFQzZWY0xEQmcwYTFIdFh4ME5FUkVTdGk4a2hFUkdsbFoyZC9kOGlraG5mVGdvQVVGV0lTRVl3R09UcUlSRVIwVjZHeVNFUkVUVlFXRmlZQjJCVUUxTk9pczhoSWlLaXZRU1RReUlpYWlBckt5c2tJb2NrVmcxRkJDSzE3UTNqWXoyeXNySkNiUmNoRVJFUjdXeE1Eb21JS0ozQnF0cWxpZVB0UkdUUUxvdUdpSWlJV2gyVFF5SWlxdWZBQXcvTUVSRkhSRElCMUswWUpuOGZQM1o0Mzc1OTI3ZEprRVJFUkxUVE1Ua2tJcUo2OHZQek82anFFYzNOVTlVak1qSXl1dTJLbUlpSWlLajFNVGtrSXFKNk1qSXlCb2xJcitRcXBhbmlWVXQ3QlFLQm9sMFlHaEVSRWJVaUpvZEVSSlRxd3NRM3lWdEswNDBaWTg3Wk5TRVJFUkZSYTJOeVNFUkVkUW9LQ3JxS3lDK0I5SWxoUXRLemg4Y1dGUlZ4YXlrUkVkRmVJTmpXQVJBUjBlNGpMeTl2bUtwK2t6d21JdGtBdXFxcWlNaGFWYTFNUG02TUdRSGdtVjBaSnhFUkVlMThUQTZKaUtoT0pCSjVFY0NMeVdPTzR4eGxqSGtTUUxhMTlxeElKUEpPMjBSSFJFUkVyWW5iU29tSWlJaUlpSWpKSVJFUkVSRVJFVEU1SkNJaUlpSWlJakE1SkNJaUlpSWlJakE1SkNJaUlpSWlJakE1SkNJaUlpSWlJakE1SkNJaUlpSWlJakE1SkNJaWFsWkJRVUdIdG82QmlJaW90UVhiT2dBaUlxTGRYZnYyN1o5eVhUZkg5LzJqQVdqSzRjQ0FBUU02QmdLQnJvRkFvTHUxZG45alRIY1IyVjlWNS9tK1A3dTE0Z3FGUWdkRW85RkR2ODg1d1dCd2FVbEp5YnJXaW9tSWlQWmNUQTZKaUlpYTREak95U0p5Z3JYMnF1TGk0c0pBSUhBL2dId0FIUUhrcTJxZWlFaGlmaUFRQUlCS0FOOEJxQUl3MjNYZGtTS1NrM3B0VmQwaUlrY0MrSjhXaExJdEhBN25wNXovYTJQTUhRQSthT0hiR1c2dC9RMkFwMW80bjRpSTlpRk1Eb21JaUJwUlZGVFVUVVFlQkxBZ0VvbE1MUzR1SGdMZ1NGVzlXMFErQTdCWlJEYkZZckh0Z1VEZ0Z3Q2VFNUd5a3BLU2lwUkxQUXJnSjJsdThSR0E4NnkxMVlrQkVUbE5SQVpaYS8rU1BGRkVxaHVjWFR1K3pWcjdlRXZlajRnTWFjazhJaUxhTnpFNUpDSWlTcU93c0RBekdBdytCeUFyR28yZUJTQ2FPR2FNdWJla3BHUnA0clhqT1BrQVhnY3dKMDFpaUdnME9pZ3pNek9ncWlFQXIxbHJmeE1JQk42dzFrWjkzOStFcEpVLzEzWEhBWGd1RW9uYzBZcHZqNGlJcUFFbWgwUkVSQ2xDb1ZDR3RmWUpBRU1CakM0cksvczgrYmkxZHBUcnVrN1NVRzU4ZkxqcnVubkpjNlBSNk1MRml4ZC9CZ0NlNTIwR0FHUE1sblRQL1JVVkZSMHVJcjFVOWR6dkVXNDdFVG16SlJORkpLaWErc2drRVJGUkxTYUhSRVJFS2FMUjZKSEdtRk5VOVR6ZjkxOTNYZmNzQU9YV1dnQ0FpUHhOMDJSWnhwakxWRFdXUEJZSUJDNEI4RmxMN2hzTUJzOVMxZVcrNzg5cGFheXF1aG5BTFMyY2ZrUkxyMHRFUlBzZUpvZEVSRVFwU2t0TC8rMTUzZ25oY1BqMVVDaDBzS3BPVjlYSEFEd09BQ0lTQ29mRDliYVZpc2hHQUtmNXZ2OXk2dlU4enpzRlFBOVY3U2tpVU5YUm51ZjFCUEJkT0J5ZUJRQjkrL1p0RCtBY0FOV3U2ODcwZmY4MzZXSXJMaTd1SXlJbnhWL3VEK0F0VlhYU3pVMGxJaThCS0hZYzUwQUFpRWFqczVZc1diS3FoUjhMRVJIdDVaZ2NFaEVScFJFT2gxOEhBR3Z0ZlFEV2I5MjZkVUs3ZHUyS0VzY2R4em5DR05NcC9ySWRBS2pxVHozUHE3dkc5dTNiNXl4YnRteXJxbDRFWUppSUdBQVFrWFBpSzR4bEFHWUJRRzV1N3ZtcTJoN0FZZ0RGbnVlTkFUQTBIQTVQU0k3TEdGT2xxdXZpc2ExRGJWR2JGckhXems1NVhkUFNjNG1JYU8vSDVKQ0lpS2dSanVPY0p5S2pWSFhzaWhVcnRuaWVKd0FRalVadElCQ1lEQ0NrcWxYeDZkc0JqRmRWeEpQQW5LeXNyRUVBbHZpK2Z5d0FlSjQzQk1COHBLd3dGaFlXWm9ySTVRQ2VVMVVEb0orcUhpUWlWN211dTlqMy9YOGs1dnErL3dXQS93Y0FydXYrRGNEM2VUNFJxbnB6SkJLNTl3ZCtKRVJFdEJkamNraEVSSlJHY1hHeGE0eTVHd0JFWkcxOE9CY0FWTFVpL25XNjcvc1hwWjdydXU1Z0VWblUwbnRsWldWZG9hb0hBVGdKd1BVQTRQditOTmQxandGd1gxRlIwY0t5c3JKbHFlZUpTQ2RWWFI2THhjNU9IZzhHZzg4QVdCR05ScTlOR2Y4WGdBNHRqWXVJaVBZdFRBNkppSWhTT0k3VDB4anppcXBXaUVoMllqemU4QjZ4V0t3aUdBeENSSG82anZPck5KYzR0S1gzQ29WQ0IxaHIvd3pnY2QvM1MxM1hyVHUyWThlT2MzTnlja3FEd2VEVEJRVUZoNjFZc2FJcXpTWDZCd0tCcVNsakJRQzZwUmsvb0tWeEVSSFJ2b2ZKSVJFUlVRcGp6Q0JWTmRiYVV3T0J3TnRKaHpxcXFtWm5aMjlWVmFqcUVTTFNML1Y4RWNsczVoYUZudWNWcXFxb3Fnc0FOVFUxMTZWT1dycDA2WHJQODg0RE1MdERodzYzQXZoRG1udXRqTVZpOVpKQVk4eWhBTDZ3MXFhT2V5QWlJbW9FazBNaUlxSVU0WEQ0bFZBb2RGUXNGdHVXY3FpUGlLd3FLU21waVJlZW1kbUNiYVdtdUxoNHNJajhETUFKOGJGYkFTd1ZrYzBBRGdkd1dXTlZROFBoOEd1dTZ6NEs0RExIY1Y2SlJDSnZwa3paSGd3R2x5WVBXR3NyQUd4S0hWZlZLdlk1SkNLaXhqQTVKQ0lpYXNpV2xKUXNMU29xT2pCbHZKK3FMays4RUpIZnVhNzdYNmtuSjZxU0FrQW9GTXEyMW40Z0loYkErNnI2UjFWOVNVUXlSR1NScXI3bCsvNDlUUVVUalVhdkNBYURSeGhqT3FjY3FsSFZ3MVIxU2NyOU93TndyYlhIcDR5M1Y5Vm8wMitkaUlqMlZVd09pWWlJV2lZSVlEaUFCeE1EcXZxS3RmYU8xSW5HbUw0aThqQUFsSlNVVkJRWEY1OFpEQWJmTGlrcFdaZVlFd3FGOXJQV1BsdFRVek1CZ0czcXhvc1hMOTRZQ29VS1MwcEtFcTBuZ29XRmhkbVZsWlhYSTE3QUpsbDJkdlpzVlYxV1ZWWFZZQnNxQUJRV0Z1YVZsNWZ2QUJCci9tMFRFZEcrZ3NraEVSRlJDemlPODNNUjZSeUx4VjVKR3Y2bXRMUjBYdXBjMTNVcmsxK1hscFkrblRvbm5paU9iZW45a3hKRE9JNXpob2c4ME5oY1ZjMFJrU0ZaV1Zsbk5qYkg4N3dUd3VIdzNKYmVuNGlJOW41TURvbUlpRnJBR0hPOXFuNVJXbG82UHpIV2ttMmxyU0N3YWRPbTV3QTgxOWlFenAwN3Y2R3F5elp1M0hocE05Y3lhR2JWa29pSTloMU1Eb21JaUpwaHJlMGlJbFpWYjBUU1ZreFZmVk5FMGpXVUx3QndaMnZFNHJydXRTTHl0K2JtaWNqd3pwMDduOWZVbkU2ZE9wM20rLzZ6T3k4NklpTGFrekU1SkNJaWFrUlpXZG5YaFlXRkJ3RFlVRjVlUGhPQUpJNkZ3K0Voelp5ZTJtT3dSWHpmUDdXWjR6Y0N1UEdIWEp1SWlLZ3BUQTZKaUlnYVo4dkx5NzlKZXMwK0VFUkV0TmRxeldjaWlJaUlpSWlJYUEvQjVKQ0lpSWlJaUlpWUhCSVJFUkVSRVJHVFF5SWlJaUlpSWdMbldnUElBQUFKcmtsRVFWU1RReUlpSWlJaUlnS1RReUlpSWlJaUlnSmJXUkFSRVFFQWlvcUsyZ1dEd2FzQW5LbXFQVVdrVWxVWEFiakY5LzIza3VjT0dqU29kMFpHeHFlTlhLb2tIQTRQVGg0SWhVSzUxdHByQUp3Qm9DZUFUUUJtRzJPdUxTa3BXWk55dmppT005WVljNkdxRGhTUklJQnlWWDNJOS8wSGtLYWRodWQ1WTFUMUtnQkZBR3BFWkY0MEdyMjJyS3hzU1pxNVJhcjZQd0NHaTBnMmdNWFcybHNpa2NqL3R1UnpJaUtpdlJkWERvbUlpQUFKQm9QdkE3Z0J0WW5iTEZYMUFZd0U4S2JydXYrZFBOa1lzMS84MnlXcStsenlmOWJhZW9sa1lXRmhucXJPRlpIckFjUUFQQ1VpbjR2SVdHdnQvSUVEQis2ZlBOOTEzV25HbUVjQWRCV1IvMVhWTjFTMXI0amM1N3J1dzZtQmU1NzNCd0RQQXlnQThLeUlMRlRWMFlGQVlINVJVZEhBbExsREFDd0FjRHlBZjZ2cVN3QUdHV05lY0J6bm5CLzY0UkVSMGQ2Qks0ZEVSRVJBUUZXenJiV0hsNWFXTGt3TUZoY1hIeHNJQkY1VjFUdERvZENUSlNVbE5RQmdqT2tDQUtwNnIrLzc5elYxNGF5c3JMOEM4RlIxaHUvN0Y2QTJRWVRuZVJORTVOYk16TXhKQUg2YmRFb0JnTFBENGZEamlZR0JBd2NlbEpHUjhZR0kvTmJ6dkh2RDRYQUpBQlFWRmZVQ2NKdXFyb3pGWW9lWGxaV3RCUURIY1M0M3hrd05CQUozQXZoRjBudDhWRVNDcWpvaUVvbThEd0N1Nnc0V2tmZEZaRXJmdm4yZlc3WnMyZFlmODBFU0VkR2VpeXVIUkVSRVFNd1ljMFJ5WWdnQXBhV2xid0NZSXlLZHE2dXIreVVkU3F3Y2Z0ZmNoVVhrUHdGRXE2cXFMa2M4TVFTQWNEaDhPNEFsQU00c0tpcHFsM1RLZnljbmhnQ3daTW1TVlFEdUJ3QlZIWllZTjhaY0JDQkRWU2NtRWtNQWlFUWkwMVIxcFlnY1UxeGMvQk1BY0YzM1dCSHBvNm96RTRraEFQaSsvNkdxUGlraW5YSnljazVzN3YwUUVkSGVpOGtoRVJFUm9DVWxKZXNhT2JZWkFJd3hWWWtCRVVra2gydlRuaEZYV0ZpWUNlQUFBR3ZLeTh1M3BkNVRWUmNBeURIR09JbEIzL2NiU3pnM3grOWRGNGN4NW5nQXFLeXMvR2ZxdFFHOERnQ0JRT0RJK05qeDhmTmZTblB0MmZGanc1dDZQMFJFdEhkamNraEVSTlNJd3NMQ1RGVTlYRlczYjkrKy9ZdkV1TFcyQ3dDSXlCODh6M3ZBZGQxSmp1T2NqSlRITmNyTHk2c0I3QUJ3UUdGaFlWNmFXM1FDQUdOTXJ4YUVNengrNzQvaXJ3T3EyazlWdjE2NmRPbjYxTWtpc2hRQVZQVS80a01ENHVjdlRwMnJxa3ZqMy81SDZqRWlJdHAzOEpsRElpS2lSbVJuWjE4TG9BZUFlMWFzV0pGdTVYQk0vRFZFQko3bkxZMUdvNzhxS3l0YmxuU1oxd0g4S2pzN2V6S0FTd0JFQWNCeG5ORWljaklBcUdxNnhMR081M2xIcStvcHF2cFJKQko1RHdDS2lvcTZpRWdtZ0cvVG5XT3RYV3VNQWVJSmFQeDlZTnUyYlEzbWk4amErTmRPcWNlSWlHamZ3WlZESWlLaWhvenJ1bjhEOEZkVkxiZlcvam41b0twZUl5THR3dUZ3UUZXN3Flb3ZBTXdEMEM4UUNMd2MzMDRLQUlqRllsZXI2Z1lBRjNpZXQ4eDEzV2RjMTUwbkl2OEU4Rzc4ZXBXTkJlSTR6cTlVOVNVUjJSNkx4ZXFxcGhwamNwczYxeGhUQ1FBaWtoVWZ5Z1dBek16TUJ2T3JxNnNyNDlmS1NqMUdSRVQ3RGlhSFJFUkVTUVlPSExpLzY3cHZpTWlmQWN3RmNGUWtFdG1VUENjU2lXd3FLU21wQUdCOTMvL085LzEvYmRteTVSZ0FaU0pTa0ptWk9Tb3h0N1MwOUJOanpHR3EraFNBamlMeVN4SEpVZFV4OFdjT0lTSWJVdU1JaFVJWm51ZmRhWXg1QWNCR0FEOHZLeXNMSjQ1YmE2UHhiOVB1QWxMVlJJSmFFYjlIRkFCeWNuSWF6RStkUzBSRSt5WnVLeVVpSW9xTDl3RjhBYlhWU1A4YURvZHZSRktGMGFhc1dMR2l5dk84V1FDS1JHUVFnTHFtOGlVbEpaOENPQ3YxbkVUL1JGWDlPSGw4NE1DQis2dnFpd0FPVjlYbnFxdXJML2pvbzQvcUpaRFJhSFJUTUJpRWlIUk9GMDlpNjZ1cWZodi91bEZFVUZOVDB4a3BTV0F3R053dmZrN2FMYXBFUkxSdjRNb2hFUkVSZ09MaTRpTUJ2S1dxVVd2dGlIQTRQQkV0VEF3VFZEWFJJMUJiTUQwSTRDZ0EzMFFpa1U4VGc2N3JkczNJeUppbnFvNjE5Z0xmOTA5TlRRd0JvTHk4Zkp1cWZnM2drRkFvbEp2bSt2MEFRRVFTQld3K0FRQmpUUC9VaVlGQW9GODgvbzlTanhFUjBiNkR5U0VSRWUzelFxRlFyakZtRm9ETk5UVTF3NUw3QUg1UFJ3SDFFckpHT1k1enJvaDBWdFdaQUd6U29ZY0E5TGJXbmhTSlJCNXE1akx2QUFqR1lyRmpVOFlGdGEwckt0YXVYVHNIQUZUMUhRQXd4b3hPYzUwVDRsOW5OeGMzRVJIdHZaZ2NFaEhSUHM5YSsyc1I2YUdxOThjYnpqZko4N3dUa2ZKb2h1dTZGNHZJS2FxNmVzT0dEWFZKbHVNNCtRVUZCUjJTNXpxT2M1U0lURkhWRGNhWVd4TGpvVkRvWUJFNVdVVG1sSmFXdnRGY0hLcjZFQUFZWS82V2ZBL1hkUzhGY0NpQWgxYXZYcjBqUHZ5TXFtNENjSDVSVWRIQXBMbURBZnlYcWtaODMzKzN1WHNTRWRIZVM5bzZBQ0lpMnIwNWpuT1VNZVpKVmMxVDFlc0JSTm82cGxad3NUSG1kRlg5UkZVYmEwSmZCdUJwQUJDUnh3RGtBU2hGYld1S0FoSHBxYXJiVmZWcUFIVXJoNm82eUJnekNVQlp2R3JwZ1NKU0JLQVN3TldxbXR4M2NLZ3g1bVpyN2JjQVZxUUxRa1MycXVxdFNVTlhHV05HcWVwM3FycElSTG9CQ0FINFFsVi9EMkI3MHR4ZkdHUCtGSzl3K3A2SUdGVWRCc0RHWXJITGpERnA3N21iYzBUa2VnQkdWY2RFSXBGMzJqb2dJcUk5RlpORElpSnFVbEp5MkEzQUpoR3BidXVZZGpaVjdTZ2lPYzFNcXdTd0NRQ3N0ZTNpODRNaUFsV05pVWlWcW00WGtYclBLYXBxQUVCSDFLNDBtdmp4eHVabWkwaCtNN0hhUkYvQytHdW9hanNSeVFVUVFPMFcxVW9BVzBXa3diT1A4WFlWZVFBeVVQdHNaRlY4N3ZkNnZuSjNvYXFaSXRKUlZiY3lPU1FpK25GWXJaU0lpSnBrclYxampGa0RJQnUxcXpQWmJSMVRLNmhTMWFybXB5RWJBT0tKMURhZ05qbEwrcHFocWhscHpxdXJEcHFZMzlqYytOYlBKcVgrR2NUajJab3lMU3ZwWHFtMnA3eHVMTzQ5Z3FwdUZaRnZZN0hZbXJhT2hZaG9UOGFWUXlJaWFvNXhYYmRmZk9XUWFMZGtyVjFYVmxaV2p2ckZm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xYOGYwN0FHdVFTc1lTUEFBQUFBRWxGVGtTdVFtQ0MiLAoJIlRoZW1lIiA6ICIiLAoJIlR5cGUiIDogImZsb3ciLAoJIlVzZXJJZCIgOiAiNTExMjQ0MzQ5IiwKCSJWZXJzaW9uIiA6ICIxMjYiCn0K"/>
    </extobj>
    <extobj name="ECB019B1-382A-4266-B25C-5B523AA43C14-2">
      <extobjdata type="ECB019B1-382A-4266-B25C-5B523AA43C14" data="ewoJIkZpbGVJZCIgOiAiNDU1NzQ3NTg2NzAyIiwKCSJHcm91cElkIiA6ICI1OTM5NzQyOTEiLAoJIkltYWdlIiA6ICJpVkJPUncwS0dnb0FBQUFOU1VoRVVnQUFBWDBBQUFJTENBWUFBQUFFNmt3UUFBQUFBWE5TUjBJQXJzNGM2UUFBSUFCSlJFRlVlSnpzM1hsNEU5WDZCL0R2TzBtYkFxWHNBbDZVS21XeFFwdVpYTVVGRUhCRFhINHVpSG9Wcm9vN3VGNjljc1VyN3Q2cktDcnVpaWpLb3VJQzRvSUxnaWlyelNSdGFWRXFGRVNSSGRwQzB5UXo3KytQTERkdDA1VzJhWnYzOHp3OFpNNmNtYnduYmQvTW5EbHpCaE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kVmS0JZQnlDRWFIcWFwbTBBMEQvYU9tWmVydXY2Y0FCSVQwL3ZrWlNVdEwzQytqSUFXNG5vYzQvSDg1Kzh2THcvSyt6Q29xcnExUUN1QXBCSlJDa0FEakh6SmdEUDY3citabU8yVFZUUEd1c0FoQkN4dzh6TEFmZ3JGTHVqVkMwQ3NJS1ppWWg2QURnT3dPMUpTVW1YRFJvMDZOU2NuSnhOQUpDV2xtWkxTVW41QXNBSUFBWXo1ekJ6RVlDamlHZ2dnTE1BU05LUElVbjZRc1F4WnI3UTVYTHRyMFc5emJxdW54ZGFIamh3WVBlRWhJUTVSSFM2MVdwOUJzQ0ZBSkNTa25KN01PSHJYcS8zLzNKemMzOExiYU9xYW05bVZodXhPYUlXbEZnSElJUm9lWEp6YzNjb2luSnRjSEZVZW5wNll2RDF5T0QvajBRbWZBRFFkWDJMeStYNnBHa2pGUlZKMGhkQzFFdFdWdFpXWnQ1TFJEYWJ6ZFlWZ1RPQ2d3QmdtbWJYV01jbm9wT2tMNFNvRjRmRGtVQkU3Wm1aRGNNNEVDeGVBQUJFOUppcXFxZkhOa0lSamZUcEN4SEhpR2lCcG1ubEx1UWFodkdvMiszK29hWnRUZE1jUTBRSkFOWmxaMmNmUktBTFo3NnFxa09KNkdZQTM2aXF1b2lacDdwY0xsZGp0a1BVbmlSOUllSVlFVlU2R2xjVTVZMXFOckhZN2ZhakZFVzVFTUJESEJqTzgrK0k5YXpyK2kycXFuNUpSRThTMFFVQXp0YzA3UU1pdWlNcksydDdOZnNXVFVERzZRc1JoMExqOUUzVDdGVGQ2SjFvNC9RamVFelR2Tm5sY3IxVnhYcUxxcXAvSTZLcEFQb3c4eTRBWitxNkhtMUlxR2dpMHFjdmhLZ1JNeDlrNXVYTXZJeVpGekx6dnczRFNLc200UU9Bb2V2Nk94NlBKeDNBaTBUVWpZamVCV0Jwd3RCRkJkSzlJNFNvallMUVhicDFsWmVYNXdWd3E2cXFaeFBSd0VHREJxWG41T1RrTkh5SW9qYmtTRjhJMFJTWWlBNGdjTTJnUTZ5RGlXZVM5SVVRRFVaVjFaYzBUVHU3WW01UlZmVVNBSFptUHVqeitXUWtUd3hKOTQ0UWNTemFrRTBBS0NvcUdsdFFVRkJVai8xcEFHNVdWWFUvRWVVeWN4a1JIUVBnV0dZMm1YbGlYbDVlU1lNMVFOU1pKSDBoNGxpMElac0EwS0ZEaDhSbzVUVXhET05mRm92bFdnQ0RtZmtFQU1UTXZ3Y3Y0RDduY3JsK091eWdoUkJDQ0NHRUVFSUlJWVFRUWdnaGhCQkNDQ0dFRUVJSUlZUm8zbVNXVFNGRXJmVHExYXROOSs3ZGp6UU1ROW05ZS9lMmJkdTJsY1k2SmxGM01nMkRFS0pXampqaWlIVFRORjlSRkdYbUVVY2NrUjdyZUVUOXlCMjVRb2hhWWVaa0lockl6RWtBa21NZGo2Z2ZPZElYUW9nNElrbGZDQ0hpaUNSOUlZU0lJNUwwaFJBaWpralNGMEtJT0NKSlh3Z2g0b2drZlNHRWlDT1M5SVVRSW81STBoZENpRGdpU1Y4SUllS0lKSDBoaElnamt2U0ZFQ0tPU05JWFFvZzRJa2xmQ0NIaWlDUjlJWVNJSTVMMGhSQWlqa2pTRjBLSU9DTFB5QlZDVkdLMzI4OVZGR1Z4WGJZeFRmTWlsOHYxU2VORkpScUNIT2tMVVlHcXFrZG1aR1MwaTNVY3NiUi8vLzV2bVhsYmJlc3o4eC83OSsvL3NuR2pFZzFCa3I1b3NleDIrOTJhcGsydldLNXAybEJWVlg4QVlLbHFXMVZWeDJtYU5pczlQVDNhczE3ZnNscXQ3bmcrRXk0c0xQUUFlTCttZXN3Yyt2K1Q0RGFpbVpNSG80c1dRVlhWQ1VUVXBrTHgvd0hvcG1uYXJ4WEtNNGpvVkZWVkp4S1JHYm5DNS9NdHo4bkp5U0dpTGdERzJXeTJJYXFxanRGMTNZM0FGNG1kaU01azVsYzFUZXRUWFV4bFpXVjcxNjlmdjdlaDJ0amNlTDNlMlltSmlaTUFKQUlBVWZudndJaUU3elZOYzM1c29oUjFKVWxmdEFoRU5KR1pPMWNvN2tKRVZtYSt1MEo1MjJDQ3VpdVVtRUtzVm1zUmdCeW4wL2xzWm1hbVcxR1VCVVMweXVGd0RNakt5dHBLUlBjRTMrOUdBRGRXRjFOQ1FzSmpBTzV2bUJZMlA0WmhiQU9RUjBUMmlwOWpDQkdCbWZOTTB5eHM4Z0JGdlVqU0Z5MkMwK25VS3BhcHF2b0tNNmZwdW41R1pMbmRicitRaUQ3V2RUME5nTCtxZmJyZDd1OHlNek5QVmhUbGZLZlR1VFV6TTNNSWdNc0JQR1dhNXR5YVl2SjZ2WDhlUnBPYXZYYnQyaFV4ODQ4QTdBZ2UyWWVPOWlPL0JJam9SNC9Ic3pOMmtZcTZpTnMrUzlFeVpXUms5TEpZTEVPQ2kvMEF0QUhnanF4RFJGMlplU0NBNWFacEdtNjN1OGErNmZUMDlPU2twQ1EzTXl2Nzl1MDdUdnFuQSt4Mis5VkVOQU5BTWlLNmVFSkpuNGc4cG1uZTdISzUzb3B0cEtLMjVFaGZ0Q2hXcTlYT3pNOVdWeWQ0UkpvRTRFYUx4V0pVdkNBWlBCT1lTRVEzTzUzT0FnQ3cyV3pUQUJ3TFlIVG56cDNYZE9yVXFkcisvTkxTMHQ0Yk5telkwMEROYXJaTTAxeGx0VnAzTW5NeUtoemhCNWVMVE5OY0ZhdjRSTjFKMGhjdGl0UHBYQXlnUnhXckxacW1uUW5nU21ZZVFVVHZtNmI1RmdJamVzN3orLzFyczdPemR3WXZDRHNBNUtpcStwQ3U2OU9ZK1ZzQUIzVmQvOEp1dHljcWl0Syt1amo4Zm45Sm96U3dtY25PenQ2b3F1cUc0QmRpTkQ5bloyZHZiT0t3eEdHUTdoM1JJcWlxT2cvQStWRlcvYTdyZXYrMHRMU1U5dTNiYndSd2tJaDZNdk1rWGRkbkFyQ3Fxdm9JZ0h1WitYR1h5M1UvQUF3Y09MQjdRa0xDbTBRMDJqVE5PMXd1MTNOTjM2cVd3VzYzLzAxUmxEa1ZqL0tERjNHdkMzN09vb1dRSTMzUkloRFJFOHdjbVZ4T0J2QVFnQjhBb0VPSERvbk1mRVR3aXlFVndJdDJ1OTJqS01va1poNEE0R3FYeXpVN3RIRnVidTRPQU9lcHFucVp5K1g2QUlHemdSVUFqcXNobE4xT3AzTkFZN1d6T1RJTTR3c2kyZytnWTJRNU14OG9MUzJWTzNCYkdFbjZva1Z3T3AzWm9kZXFxbzRub3NrQTVqaWR6aHVpMUgxQjB6U05pTjRGc01rMHpZRnV0L3YzS0x0bFhkZkQ0OHNOdzVpaEtFckZZYUZoUkhRcE14L2ZRRTFxTVhKeWN2YXBxdm9SRVYwYmNRRVh6UHg1UEZ6WGFHMGs2WXNXWTlDZ1FjY21KQ1E4emN3WE1QTlVYZGVmU0U5UGI1T1hsM2VRbVU5RzRNSmpDUUtKZjRLbWFYc0EzSzBveWx4VlZTZnJ1bDdwZ3FPcXFoTVVSWm1YbFpWMXFLWlJQbmE3dlI4UkRXckVKalpiaG1ITXRWcXRmd2RnQ1k3Z01VelRYQkRydUVUZHlUUU1vdGx6T0J3ZFZGVjl5MnExNWpQelFOTTBUOU4xL2RIMDlQUTJOcHV0U05NMEU4QWladjdkNi9YK0ZOeU1uVTduUFlaaGpBVFFnNGhXcXFxNlNWWFZDMEw3MVRRdGc0amVZT1luYXhPSG9pZ0dFZGthcmFITld3NkFnb2dobTcrYXB1bUtkVkNpN2lUcGkyWXZLeXZyQUJGWkFkeFhYRnc4ME8xMi93QUFlWGw1SlFET0JYQ0phWnJuK2YzK1FjR3lNTGZiL1oydTYrbW1hVjRJSUV0UmxKV2hkY3c4T3ZqL1o3VU1wU1E0ZEZISnpNenNwMm5heUhqNUd5b3FLaXBpNXJXaFpTSmE2L1Y2ZDhVMktsRWZNbnBIdENpYXBsMVc0WUp1alpqNW55Nlg2NlVvKzFvQklNUGo4WFRMeTh2ejFyUWZ1OTEraTZJb0x6THpFY3g4cHFJb2N6d2VUOCs4dkx4V2ZXZHVTR1ptNWlTTHhmSVVNMXRNMC95SDIrMmVFZXVZUk4xSm43NW9NVEl5TXRwNXZkNlZpWW1KbDFkVnh6VE5Qa1MwT1hLaU5kTTA5MWVzcDZycWtRQk9adWIzYTVQd0VUaTYzUng4bVVaRVhRSDQ4dkx5NG1iNkFXWmVDV0FYRWJWVkZFVnV5R3FoNHVMVVZMUU9Gb3ZscVlTRWhJK2NUdWRpcDlPNW1KbnRBTWFGbGowZXowOUU5RjhpT2paVVpoakdRWXZGOHAybWFSZFYyTjE0QUJabS9yaTI3MjhZUmhZem13RE9JS0plQUg0RllOWmkwMVloT3p0YlorYXR6UHlucnV0NnJPTVI5U1BkTzZKRlNFOVA3NUdVbExRSndIK2RUdWREQ0hiMUFKaHZtdWFwTHBkckpRSkg4RE1BWEdPYVp2L2dNRTNTTk8wTEFFT0Q5VnpCZW5sRWRFeXdhNmZXZDllcXF2b1pnTk1BSENLaXhVNm44OXFhdHVsNXpIRzliVGJiTVlmM0NUUVA3Ukw0RW9YSVZ1eEZqUlBTdFJUTTVwWXRQMmR2cmtYVlZrRzZkMFNMa0pTVTlCUXplL3grLy9PaE1xZlQrWUdtYVE4cGl2SW9nSkVJakxCNWlKbi9yaWpLQkFBUEEyQWl1c28wVFplaUtCK21wcVllMzdadFc1T1p2d1RRb3k0SlA3ai9tMDNUWEFqZ0NNTXducTZwZnE4K3g2ZFpFNjF6QUQ2Nm5rMXZWZzc1V0FHWVFCVHQ3dWdXU1FIdFN1MDNhR3poTHprYlloMUxVNUNrTDFvRVp2NkVtYi9JeWNuWkYxRnMrdjMrdjV1bStVZW9JQ3NyYTdlbWFacXU2d1dSWlhhN2ZTd3pkNHVZUGZPdStzU1JsWlcxRllCYTIvcFdxeVVOb0g0S1VjYzJiZHJBWXBFZTFlYkNORXdjS2kyRnlXWkh3RElBUUZ3a2ZlbmVFYUlScGZiUEdBVkZtZGN4SmFYalhiZmRncjVwMVU3ZUtacFE0WmF0ZU9iNWw3QnI5MjRQVExxaThKZjRlS2k3SE9rTDBRUVNFaEl3TVAwNHFQYU1XSWNpZ2xMYXQ0Zk5saGpyTUpxY25Hc0tJVVFja2FRdmhCQnhSSksrRUVMRUVVbjZyWXVscWQ4d1BUMDljY0NBQVYyYStuM0Y0ZnY0NDQveDNITzFlM2JNcTYrK2lwa3pLODkrTVcvZVBNeWFOYXRTdWNmandUMzMzSU9ORy8vM1VLMWR1M2JoWC8vNkYzYnMySEdZa1l2RElSZHlXNG5Nek15L1dDeVdYMHpUSE90eXVjSVRpRGtjanFPWk9iMjZiWDArMys4NU9UazVGY3RWVloxSFJLWFYzWUJrczltV0VoRURHQTdBYUlDbWlFWTBkKzVjbkhMS0tVaE5UWVhMNVlMTDVjTHR0OTllNDNZclY2NUVZbUlpSmt5WVVLNTgvZnIxS0M0dXJsVGY1L05oNmRLbEdETm1UTGpzNE1HRCtPcXJyekJod2dSMDc5NjlnVm9rNmtxU2ZpdWhLTXJaek56RzYvVm1SWll6OHdVQXFwMFl5MnExdmczZzZvcmxSTlNabVd1NmVla0ZBUE5VVlgxUTEvVi8xemYrNXFSLy8vNUh0bTNiRnJxdS8xR0w2aTNHbmoxNzhQVFRUNk9rcEFRMzNGRHAyVFBsK1AxK2VMMWV0RzNidHRiN1AzVG9FQjUvL1BIdzlnQXdhOVlzZlBycHB3Q0FrcExBcjlJTEw3eUE1T1JrQU1Db1VhTXdaTWlRZXJkSjFKMGsvZGJqNzBTMExTa3A2YSthcGdHQnVXSkM4Nk1jY0RxZFhhTnRwR25ha3FwMnlNd0VvTnlEVVRNek0vK2lLTXJKRVVWK0FOa0luQm1FRCt1SXlPVjBPZ3ZRQWlVbEpRMGhvbG1xcXE0RzhEWXpmMTlTVXJLM29LQ2dwQ1hQdGZQamp6OENnYk8vR3V1Ky8vNzdlUHJwcDdGeTVVclliTFY3aEFBejQ5Q2hRMEJFMGk4ckt3dVhlVHllOFArS29wU3JKNXFPSlAxV3dHNjNuMEJFdzRLTG40YktMUmJMdUlocVVmKzZ1TUxUcmpWTnU5Z3dqQkszMi8xVnFBb0NDZjFtSXJJdzg1OUU5RUhGL1JCUnhRSG9kd0o0dHY2dGlpMW10aERSU0dZZVFVUzdVbEpTZEZWVlZ4TFJXcC9QdDZiQ25jRXR3dUxGaXdFQWQ5NTVKNGdJSG84SGhtSGd0Tk5PQzlleFdDeFl1blJwdGZzeFRSTStueS84MmpSTmxKV1Z3V3ExNHVtbm53WVJvYmk0R01PSEQ4ZE5OOTJFd1lNSEF3QUtDd3R4eVNXWDRPNjc3MFphV2xxanRsVlVUWkorSzZBb3luK1llVmR4Y1hGYVFVSEJvWWhWaHFacEUrdXlMMmErUWxHVUJBQmZBVkFpcGlpK0VjQjNBUDVFNEN5aXY4L25pOXI5WWJQWmRvZWVzTlNDRVFKZlpnVGdDQUJuRTlIcHpMelBhclh1MGpSdG1kL3ZmeWM3TzN0MXJBT3REVjNYa1pXVmhYUFBQUmVxR3BoRll0R2lSZGk2ZFNzbVRab1VyaGM2QXEvTzZ0V3JjZXV0dDVZck8rV1VVd0FBOCtmUFI3ZHUzZUR6K1hENzdiZWpjK2ZPMkw4L01MTzExV3JGN2JmZkRwdk5odjM3OXlNNU9SbFdxNlNncGlhZmVBdG50OXRIQXhoSlJQOHNLQ2dvcXFKYXNxcXF5NnBZbHdsZ1cyaUJpTDVoNW1ucDZlbUpSS1F3c3pGdzRNQ2ppQ2pUTk0wN2d2UElnNWtQVlRWWldTaXB0SEFWVDRJUS9IdnBSa1RkQUtSYnJkWmJWRlhkek14dks0cnljVmxaMmJha3BLVGlyS3dzWDJ4Q3J0b0hIM3lBVHAwNllmTGt5ZUYrZXBmTGhiMTc5K0tpaXlyT09sMjlBUU1HWU5xMGFmRDcvWmd5WlFyNjllc1h2c0RidG0xYm5INzY2ZUc2MFVZSGhjcWVmZlpaREIwNjlEQmJKdXBLa240TFo3Rll2bWJtMTVqNURsVlZwMGFzK2tMWDlVdURyMzBBdmtFZ3FROEI4RmRtZmphNDNDc3l1Zmw4dnE4VEVoS1NiVGJiVUdhMkFQQW5KQ1JjeWN5N1hDN1hDbFZWNjVZaGFwQ1JrVEZRVVpTbzF4dGlSVkdVZEFCSzZIT0plQzVzdUU3RXVtT0k2RUVBLzB4TVRNdzFUWE50Wm1abUxvRHYzRzczeGlyZW9ra3hNKzY4ODA3OCt1dXZNQXdqUE5yRzUvUEJOTTFLbzI5cU90cnYzTGt6Um93WWdSOSsrQUdHWWFCTGx5NFlNV0lFQUlTUDZoOTU1SkVxcngwVUZSWGg4c3VyZkE2T2FHU1M5RnU0NEZIbGphcXFYZ0xnV1NKeUFYalBOTTF0Q0Z3b1cyZTFXaC9WZGYweEJNNE0vcVVveXBHNnJqOGFYTjZtS0VyNERDRW5KMmVUcXFxYkFad0NJQUdBbDRqNk0vT0hqVEVrMDJxMS9nUEFxSWJlNytGZzVxUm9meHZSdXF3aXZnamFFdEdKekh5Q3hXSXBCZkNucXFxNUhwL3g4eUZmcFRPR0pyVm56eDZNR2xYMVJ6eDgrUEJ5eThjZWUyeXRqdjYvL3ZwckFJRFg2OFZubjMyR2M4ODlON3h1MTY1ZCtPMjMzNkp1RnhyRkkySkRrbjRyb2V2Nmg2cXFQc1RNNjNWZGZ4ZkJCNDhvaWxKbW11Wm5kcnZkamtEaTZzUE1TbWdaZ01zMFRXUm1adlp6dTkyL0lIQUVlSEp1YnU0T1RkUEdNSE9wMCttOHRlTHZDak4zY2pnY25paWh3RFRyTk1BbElaaGttNU9FK213VStnSmc1Z1FpU21IbTdnclIxb1lPcnE0NmRPaUFHVE1xajlwOTU1MTNzR25USmt5ZE9yVmNlZHUyYlpHWGwxZnRQcjFlTDVZdFc0YVVsQlQ4OXR0dmVQVFJSN0Zueng1Y2NNRUZBSURaczJjaklTSDZ4eGlsMjB3MElVbjZyVmhTVXRKTkFLWkdXMGRFRlI5M2x3WGdyd0NRbTVzYnVtWHlTQUI3ZzYvOUNQekJKaE1SRWhJU3NxdjY0NjNMUlZ5LzMvOGZSVkhlcVBVR1RXTTRFZDFYTWZsWDdPNUIrYTRmWDNBKzlqVUFja3pUL043bGN1V2s5czg0a3hUbHFxWnVRS1NFaElUd2hkWklTNVlzd1I5Ly9CRjFYVTFKLzVOUFBvRnBtaGc4ZURES3lzcHcxMTEzNGQ1NzcwWC8vdjJCWVBkT3RQMGkyQVVVMmU4dm1wWWsvUlpPVmRVekFJVG1BVzlEUlAxVVZaMUVSR3NCZk0vTWhjeDhFWUxqN2kwV3kxZk0vRm1vVHgrQlB0ekpBTXFOb1V0TlRVMEMwQlhBMy9yMzd6L3Q1NTkvRG5YOGRnaitmMzVWdzBBQkxLcHQvTm5aMmJsMWJIS2p5OHpNUElLSW1JakF6RkdQVENPUy9TNW0vc0F3akkvOWZ2L0d0bTNiN3NyS3lqb1VaYmN4OTlGSEh5RS9Qeis4bkoyZGpYMzc5dUd4eHg0clYrL2VlKyt0ZGo5ZXJ4ZXpaczNDMldlZkRZL0hnN0t5TW93Y09SSUxGaXhBaHc2Qlg0OS8vT01mdFJvSkpKcWVKUDBXVGxHVTljeDhFd0lKNkFrQUxpSjZEOEF1QUNjVFVabXU2eTRFK3U4dkJOQ1ZpRlJGVVR4WldWa2JFQmlidjd0aTB1L2N1WE8vNE10ajI3VnI5eEtBMEpqL2JzeThWOWYxeFZYRnBLcnFHWVpoYkdxOFZqZXU0TFFTSE9YSTNnQndpSm1MQWF3a29wbTZybjhaeTFqcll0V3FWZmpwcDUrUWtSRzRwU0kwVG4vbnpwMEFnQjA3ZG1EanhvMjQrKzY3cTkzUGwxOStpWjA3ZDJMczJMR1lQWHQydUx4Mzc5NG9MaTVHMzc1OWNjVVZWK0RZWTQ4RkFEeisrT1BvMXEwYnJyLytlZ0JBYVdrcG5ubm1tZkJkdWFKcFNkSnY0Ykt5c3JZRGVCZUJaRHM1c2s5ZjA3VHduYk1aR1JtOWlPaEZBR3VZZVFlQUxFM1Q3blE2bmE5RjJ5OHpEdy9lZlhvUGdLZnRkdnVYTHBkcmpxSW9tY3hjYlQrMXJ1dmZOM3hMbXc0ekV4RkZKdnM5ek93RXNEcDRjOWE2aUM2d0ZpVXRMUzA4WkhMcTFLbHd1VnpoNVVXTEZ1R2hoeDZxMVQ1R2poeUpmdjM2VlZyWHZuMTd6SjgvdjF5WjErdEZuejU5TUdqUW9IQlp4VHFpNlVqU2I2VWlaNzYwMisxOWllZ3pJbEpNMDd6YzVYSnRWVlgxTVNKNlZWWFZJY3pzaTlJUGZ3YUFIRjNYbjFGVmRiU2lLQytxcXZvRE0yc0F2bWp5QmpVeElqSk4wL3lCbWQ4ekRPUDdoSVNFN2JxdTc2dW1TNnRWNmRXckYwNDc3VFJZTEpVbmJrMVBUOGY5OTk5ZnFYejI3TmxWenRwWldGaFk3cXdnNU85Ly96dHV1KzIyQm9wYTFJWWsvVllvZUJmdWpRQStZdWIyUlBRakVlM3grWHluNXVUa0ZDSndOUDR2dTkyZVMwUVhFOUdleU8yRE4yT2R3OHlQSUhDeDlRYXIxYnFJbWM5VkZPVklabTdSUi9LMThLUFg2KzJmbTVzYmZjeGhLeFVhZFVWRUdEWnNHSVlORzFabDNWRGZmYVRSbzBlWHV6R1BtZkhrazA5aTE2NWRZR1ljZmZUUm1EUnBVcmt2a203ZHVqVjRPMFQxSk9tM0hnb1JkV2ZtaWN6c0o2SmJBYVFSVWJIZjcvODdnTnljbkp5RGtSdTRYSzQ1QU9hb3F2cDY1Qmg4cTlWNkp3QXlET01kQk1mdUF4aWtxdXJMekZ4V1dscjZXYlFBV2d1MzIvMTdyR05vU212WHJzV09IVHV3Y09GQ0pDY25Jekd4OG5Oamk0dUwwYk5uejJyMzA3VnJWM1R0R3JqUGJ1UEdqWGo2NmFmeDIyKy80WVVYWGtENzl1MHhjZUpFVEo4K0hYZmNjVWRydVd1N1JaS2szMHBrWm1hZUZyeEl1NXFaTDNjNm5WczBUWHNRZ1ZFYWF5THJabVJrRExaWUxHT0pxSmlaYlVRMGxwa1hoOVlwaW5JYk03K1ZuWjI5T2JTTncrSG9iNXJtTlVUMHdZWU5HL1pFQ1VHMFVDNlhDMisvL1RhU2s1UERjK3R2MkxBQml4WXRRcHMyYmJCOSszWnMyYktseWlHWUNKNGx1TjF1dUZ3dUxGdTJETG01dVJneVpBamVlKzg5OU9qUkF3ajI0ei96ekRPNDRZWWIwTHQzYnd3ZE9oVERoZzJUTDRBbUprbS9sWEM3M2QvWjdmYnJTMHBLM2lrb0tDaXJycTdWYXZVRHVCQUFFNUVmd1BkK3YvL2ZDRXpyY0NFejcvYjVmRk1pdHpGTjh6b0FiQmpHdzQzZEZ0RTQvdm5QZjhJd0t0OVVmY01OTjFTYVh6OGhJUUh2dmZjZUVKeVdZZENnUVJnL2ZueVYrMVlVQmErKytpcDI3OTZOSVVPR1lPclVxZUhST3lIdDI3ZkgxS2xUY2MwMTErQ2pqejdDOTk5L2ozUE9PYWZCMmllRXFJZTB0RFNicG1tVkprMXhPQndKZHJ2OTNPaGJpYXFrOXM4WWxYcWNmZDhKUTA1bnArN21sc1EwVGZiNy9Xd1lScTNxKy8zK1JvK3BJYTNQMjhCRFRqK0hVd2RrbHFiMnMxOFk2OStWcGlKSCtxS2M0RmxDVnNYeTRCdy9yYm92WDVSSFJGRkg3MVNsTG5WRjdNZ3RjMElJRVVma1NGK0lKdUR6K1pDYmw0OHlyemZXb1lpZ3dpMWJVVllXZno4UFNmcENOSUdpNG1KTW4vR3lQQ21xR2ZFYmZoUVZGZGVpWnVzaXY0RkNOQ0xEajIyV0JONWhBdGgzNEVDc3d6a3NiREpDOTIwekFGSmEvQ014Z2NDMWl5TFQ5RzZKZFJ4TnBYWDgxSVJvdnBSZUF3WWRiNFdsU3kzcU5tczJxOW5IWmxYR0swUUpwVDVqWnBsZitUWFdNVFVFTW4zN052K3lQcmN4SGhMVUhFblNGMExVaXFxcXB4SFIvT0JEYnk3VWRYMTVyR01TZFNlamQ0UVFJbzVJMGhkQ2lEZ2lTVjhJSWVLSUpIMGhoSWdqa3ZTRkVDS09TTklYUW9nNElrbGZDQ0hpaUNSOUlZU0lJNUwwaFJBaWpralNGMEtJT0NKSlh3Z2g0b2drZlNHRWlDT1M5SVVRSW81STBoZENpRGdpU1Y4SUllS0lQRGxMQ0ZHSncrRm9hNXBtdDhneUl1ckJ6QllpVWdEMFVGVzFkK1I2d3pCMloyZG5IMnp5WUVXZFNOSVhRbFRpOS92N1d5d1daOFZ5b3ZCemwrWkh2QVlBS0lweUlvQjFUUlNpcUNmcDNoRkNWT0oydTdPWk9hZTI5Wms1MytWeVZmcVNFTTJQSkgwaFJEUUdNNytMUUVJSE0xZXFFRm5Pek8vSHl6Tm1XenBKK2tLSXFFelRYQWlncUJaVmkveCsvK0ltQ0VrMEFFbjZRb2lvRkVYWkFjQmRzZTgrVW5DZDJ6Q00zNXN5TmxGL2t2U0ZFRkc1WEs1aUFLdVoyVVN3T3lja29sdUhBYXpPejgvZkhidElSVjFJMGhkQ1ZNVmc1alVBRGxSVDUxQ3dqcThKNHhLSFFaSytFS0pLaG1Hc0FiQXJ0Rnp4b2k0UkZmbDh2cld4aWsvVW5TUjlJVVNWc3JPenR3RndSdXZYRDVZNWMzTnpmNHRGYktKK0pPa0xJYXJsOS90blY3WE9OTTAzbWpZYWNiZ2s2UXNocWxWYVdycVVtWGRVTEdmbVhmdjM3Lzh5TmxHSitwS2tMNFNvVmtGQlFSa1J6UXQxOFJBUmlBak0vSEZoWWFFbjF2R0p1cEdrTDRTb2tXRVk4NWpaRzFvT3ZsNFEyNmhFZlVqU0YwTFVxTFMwZEJPQS9JaWovUTBXaStYbldNY2w2azZTdmhDaVJxWnBGZ05ZeC8renp1Zno3WWwxWEtMdUpPa0xJV3BVVUZCUUZyd0o2eEFBTHpPdmtibnpXeWFaVDE4SVVTdEV0REo0bzFZNzB6Ulh4VG9lSVlRUWpZdFVWZjFHVmRWMTBrdlFjbFU5Zlo0UW9rSDBQT2E0M2phYjdaaFl4OUVRMmlaaXRBSzJsWGpwNDFqSDBsQ1l6UzFiZnM3ZUhPczRtb29rZlNFYVVhOCt4NmRaRTYxekFCd2Q2MWdhQmdkekJsVitxa29MUll4ZGJKcGpDMy9KMlJEcldKcUM5T2tMMFlpc1Zrc2FRUDBVb281dDJyU0J4U0s5SXMyRmFaZzRWRm9LazgyT2dHVUFBRW42UW9pR2tkSytQZTY2N1JiMFRlc1Q2MUJFVU9HV3JYam0rWmV3YTNkOFBRcEFrcjRRVFNBaElRRUQwNCtEYXMrSWRTZ2lLS1Y5ZTloc2liRU9vOG5KdWFZUVFzUVJTZnBDQ0JGSEpPa0xJVVFja2FRdmhNRHUzYnRSWEZ6YzRQdjk3VGQ1cUZaekkwbGZpRGpBekpnNWN5WjJSeG1wY3VEQUFZd2FOUW9mZnZoaHJmZTNldlZxVEo0OEdRY1BWajM5enVlZmY0NkxMcm9JMzMzM1hiM2pGZzFQa3I0UWNXRExsaTJZUFhzMnhvMGJoL3o4L0hMck9uVG9nRUdEQnVHSEgzNElsM2s4SHVUbjUrUFRUei9GOU9uVE1YSGlSTGpkN3ZENi9mdjM0N3Z2dnNQNDhlUHgrKysvUjMzUGtTTkg0dWlqajhZRER6eUFiZHUyTldMclJGMUkwaGNpRHFTbXB1TE5OOThFQUZ4Ly9mWDQ4Y2NmZ2NERFVWQllXSWdlUFhvZ096c2JkOTk5Tnk2NjZDSU1HVElFVjExMUZSNTc3REdzWGJzV1hicDBRVUpDUW5oL28wYU53dlBQUDQ4ZE8zYmc2cXV2eHFaTm15cTlaMUpTRWg1OTlGRWtKU1ZoNjlhdFRkaGFVUjBacHk5RW5PalRwdzllZi8xMTNITExMVGh3NEFDdXUrNDZyRisvSGw1ditJRll5TS9QeDFsbm5ZVisvZnFoYjkrK1NFMU5SVzV1THZyMjdZdDI3ZHFWMjkvZ3dZUHgwa3N2NGZYWFgwZVBIajB3WnN3WWJOKyt2ZEw3bXFhSmUrNjVwMUo1YW1vcTVzeVowMGl0RlZXUnBDOUVIT25WcXhjV0xGaUF4TVJFYk4rK0hTTkhqa1Rmdm4zUnQyOWZQUC84ODFpNmRDbXV2dnBxZE9qUUFXVmxaWmd4WXdiZWZmZGRYSGZkZGJqNTVwc3I3UzhqSXdNelpzd0FBRng2NmFXVkxnYm41K2RqMmJKbEdETm1ETHAxNjFadVhjZU9IUnU1dFVJSTBjUlMrMmVNU2ozT3Z1K0VJYWV6VTNkenJNeWRPNWUvK3VxcmF1dnMyTEdEaHcwYnh2Lzg1ei81cTYrKzR0R2pSL05KSjUzRWMrYk1ZV2JtWDMvOWxRM0Q0TzNidC9QZi92WTNYclZxVlkzdis5RkhIN0dtYWJ4Ky9mb0dhMHREV1orM2dZZWNmZzZuRHNnc1RlMW52ekRXdnl0TlJmcjBoV2psRE1QQWQ5OTloOG1USitPSko1NkEzKytQV3E5cjE2NDQ1NXh6OE0wMzMyRHk1TW5vMjdjdkZpeFlnTDhzZkJZcEFBQWdBRWxFUVZUOTdXOEFnRW1USm1IR2pCbGdaaGlHZ1lrVEorTGxsMStHYVpwTjNDSnhPQ1RwQzlIS1dTd1d2UFRTUzdqNDRvdXhZTUVDM0hUVFRmRDVmT0gxdTNidHdwdHZ2b256eno4ZkgzendBWTQ5OWxnQWdOVnFoYzFtQXdEczJiTUhPM2JzUUZwYUducjI3SW0zM25vTFE0Y094UnR2dklIbm5uc3VabTBUZFNkOStrTEVBYXZWaWlsVHBxQm56NTRBQUVWUk1IdjJiQ3hkdWhRNU9UbXdXcTA0ODh3emNjVVZWK0Q0NDQvSDBxVkw4ZWlqaitLQ0N5N0F5SkVqc1hQblRsaXRWcHg0NG9sQWNHVE8wMDgvalRmZWVBT1hYbnBwakZzbjZrS1N2aEJ4NU5wcnJ3Mi8zckJoQXpwMDZJQ3BVNmRpeElnUmFOKytmWGpkeUpFam9Xa2E1cytmanhVclZzRGo4ZUQrKys4dmR6SFdZckhneGh0dkRDOS8rKzIzZU9DQkI4cTluMkVZQUlEcnJyc09ST1dmMlRSMzdsejA3dDI3VWRvcHFpWkpYNGc0VWxoWWlOVFVWSlNVbEdEa3lKSGg4alZyMWtTdG41YVdoclMwdFBCeVVWRVJVbEpTd3N1ZmZ2b3BSb3dZZ2VUa1pQVHUzUnZqeDQ4dnQzMStmajVXckZpQjBhTkhWeHE5MDZGRGh3WnNtYWd0U2ZwQ3hJbURCdzlpekpneHVPYWFhekJxMUNqODYxLy9DcTlqWmpBekZDVndtUzkwY1RhMEhESjc5dXh3MGk4c0xNU0REejZJelpzMzQ3YmJicXYwQlFFQUgzLzhNVmFzV0lHTEw3NFk2ZW5wVGRCS1VSTkora0xFaWZYcjE0T1owYk5uVC9UcDB3ZnIxcTBMcjN2OTlkY3hmLzU4ZlB2dHR3Q0FlKzY1Qnp0MzdzVGJiNzlkNWY1Q2QvVU9HemFzQ2FJWERVVkc3d2dSSjNSZEJ3Qm9tbFpwM2ViTm0zSFVVVWRWdS8ycVZhdXdmLy8rOFBLS0ZTdlFzV05IWkdUSTA4QmFFa242UXNRSnA5T0p6cDA3SXpVMXRWejVuajE3c0h6NWNnd2RPclRhN1Y5NzdUVTgrdWlqQUlDU2toTG91bzZoUTRkVzZnSVN6WnQwN3dnUkJ6d2VEOXh1ZDZXdW1OMjdkK091dSs1QzI3WnRNWGJzMkhBNUVZR1p5OVhkdTNjdkJnMGFCQUJZdG13Wi9INC9oZ3daQWdBNGRPaFFlS1JPcExLeXN2RDZhUFAxSnlVbGxadklUVFErU2ZwQ3hJR3NyQ3o0Zkw1dzEwNUpTUWtXTEZpQVdiTm1RVkVVUFAvODgrV0diSGJxMUFrLy92Z2pQdnZzTTZTa3BHRFRwazNZdG0wYit2YnRDd0Q0NnF1dllMVmFjZEpKSndFQWJyamhoa3BUTmtlS0hOb1phZXJVcWJqZ2dnc2F1TFdpT3BMMGhZZ0RQLzMwRXhEc3p5OHBLY0dGRjE2SWZmdjJZY1NJRWJqbm5udlF2WHYzY3ZVdnZmUlNyRm16Smp6dTNtcTE0dVNUVDhZWlo1d0JqOGVEckt3czJPMTJKQ2NuQThGeCtQdjI3YXR6WEhhN3ZVSGFKMnBQa3I0UWNlQzIyMjdEV1dlZGhiUzBOQ2lLZ29jZWVnaWRPM2ZHY2NjZEY3VitXbG9hUHZua2t5cjM5OWxubjJIUG5qM2g1ZUhEaHpkSzNLTGhTZElYSWc0UVVia0VmK3FwcHg3Vy9qcDI3Q2hUSTdkUWN0bGRDQ0hpaUJ6cEM5RUVmRDRmY3ZQeVVSYnhsQ29SVzRWYnRxS3NMUDUrSHBMMGhXZ0NSY1hGbUQ3alpWaXQ4aWZYWFBnTlA0cUtLZzhqYmUza04xQ0lSbVQ0c2MyU3dEdE1BUHNPSEloMU9JZUZUVVpvbmt3R1FBclZzRVhMUUVSRnB1bmRFdXM0bWtycitLa0owWHdwdlFZTU90NEtTNWRZQjNLNGJGYXpqODJxakZlSUVrcDl4c3d5di9KcnJHTnFDR1Q2OW0zK1pYMHVnTXAzbDdWQ2t2U0ZFTFdpcXVwcFJEU2ZtWk1BWEtqcit2Sll4eVRxVGtidkNDRkVISkdrTDRRUWNVU1N2aEJDeEJGSitrSUlFVWNrNlFzaFJCeVJwQytFRUhGRWtyNFFRc1FSU2ZwQ0NCRkhKT2tMSVVRY2thUXZoQkJ4UkpLK0VFTEVFVW42UWdnUlJ5VHBDeUZFSEpHa0w0UVFjVVNTdmhCQ3hCRjVjcFlRb2hLSHc5SFdOTTF1a1dWRTFJT1pMVVNrQU9paHFtcnZ5UFdHWWV6T3pzNCsyT1RCaWpxUnBDK0VxTVR2OS9lM1dDek9pdVZFNGVjdXpZOTREUUJRRk9WRUFPdWFLRVJSVDlLOUk0U294TzEyWnpOelRtM3JNM08reStXcTlDVWhtaDlKK2tLSWFBeG1maGVCaEE1bXJsUWhzcHlaMzQrWFo4eTJkSkwwaFJCUm1hYTVFRUJSTGFvVytmMyt4VTBRa21nQWt2U0ZFRkVwaXJJRGdMdGkzMzJrNERxM1lSaS9OMlZzb3Y0azZRc2hvbks1WE1VQVZqT3ppV0IzVGtoRXR3NERXSjJmbjc4N2RwR0t1cENrTDRTb2lzSE1hd0FjcUtiT29XQWRYeFBHSlE2REpIMGhSSlVNdzFnRFlGZG91ZUpGWFNJcTh2bDhhMk1WbjZnN1NmcENpQ3BsWjJkdkErQ00xcThmTEhQbTV1YitGb3ZZUlAxSTBoZENWTXZ2OTgrdWFwMXBtbTgwYlRUaWNFblNGMEpVcTdTMGRDa3o3NmhZenN5Nzl1L2YvMlZzb2hMMUpVbGZDRkd0Z29LQ01pS2FGK3JpSVNJUUVaajU0OExDUWsrczR4TjFJMGxmQ0ZFand6RG1NYk0zdEJ4OHZTQzJVWW42a0tRdmhLaFJhV25wSmdENUVVZjdHeXdXeTgreGprdlVuU1I5SVVTTlROTXNCckNPLzJlZHorZmJFK3U0Uk4xSjBoZEMxS2lnb0tBc2VCUFdJUUJlWmw0amMrZTNUREtmdmhDaVZvaG9aZkJHclhhbWFhNktkVHhDQ0NFYUY2bXErbzJxcXV1a2w2RGxxbnI2UENGRWcraDV6SEc5YlRiYk1iR09veUcwVGNSb0JXd3I4ZExIc1k2bG9UQ2JXN2I4bkwwNTFuRTBGVW42UWpTaVhuMk9UN01tV3VjQU9EcldzVFFNRHVZTXF2eFVsUmFLR0x2WU5NY1cvcEt6SWRheE5BWHAweGVpRVZtdGxqU0EraWxFSGR1MGFRT0xSWHBGbWd2VE1IR290QlFtbXgwQnl3QUFrdlNGRUEwanBYMTczSFhiTGVpYjFpZldvWWlnd2kxYjhjenpMMkhYN3ZoNkZJQWtmU0dhUUVKQ0FnYW1Id2ZWbmhIclVFUlFTdnYyc05rU1l4MUdrNU56VFNHRWlDT1M5SVVRSW81STBoZENpRGdpU1YrSU9HSVlSbzExOXV6WkE2L1hXMk85a1B6OGZLeFlzUUkrWC9USDVQNzU1NStZTm0wYU5tN2NXS2RZUmVPUXBDOUVIQms3ZGl4ZWZQSEZhdXVNSHo4ZXI3LytlcTMzT1hmdVhOeDExMTA0ZURBd0ZZL1A1OE9oUTRmQzYvZnUzWXQ1OCtaaDI3WnRoeEc1YUNneWVrZUlPTEZ0MnpZVUZoYWlYNzkrNFRMRE1QRFRUeitWcTFkU1VvSTllL1pnelpvMWxmYlJ2MzkvZE96WXNkejJQL3p3QXh3T1I3aDg1Y3FWdVBmZWV6RjkrblNjZlBMSmpkb21VWGVTOUlXSUU1OS8vamtRVE5RclZxd0FBSFR2M2gyVEprMHFWODgwVFN4YXRBaWZmdnBwcFgwOC8veno1Ukw1dW5YclVGUlVoTFBPT2l0Y3RuTGxTdmg4UHZUdDI3Y1JXeVBxUzVLK0VIR2dyS3dNSDM3NElRQmd5cFFwNGZKSmt5WmgzYnAxNGVVZE8zWmc5T2pSbURGalJxMk8waGN1WEFpYnpWWXU2YTlhdFFyOSsvZEgxNjVkRzd3ZDR2QkowaGNpRG56d3dRZll2WHMzWG52dE5XUm1ab2JMTFJZTERodzRBSThuOEtqYi9QeDhBSURWYXNXT0hlV2ZoWjZVbElRT0hUcUVsNHVLaXJCczJUSmtabVlpT1RrWkFMQmx5eGI4L3Z2dlNFeE14SmxubmdsRVhEeCs4TUVIOGZqamo0ZTM3OTY5Tzk1OTk5M0diTGFJUXBLK0VLM2NnUU1IOE9xcnJ5SXpNeE1PaDZQUyt2Lzg1ei80NnF1dnlwWGRkTk5ObGVxZGRkWlplT0tKSjhMTEN4WXNnTmZyaGRYNnZ6UVNPcHU0L3ZycmtaU1VCQVJINzh5Wk13Y2pSNDRzMStYVHJsMjdCbXFocUF0SitrSzBjaDA2ZE1EWlo1K04zYnQzNDZxcnJncVhKeWNuNDVWWFhzSGRkOStOVzI2NUJRQXdZOFlNRkJRVTRMbm5ucXUwbjdadDI0WmZlendlekowN3Q5ejZnd2NQWXVIQ2hWQlZGZGRlZTIyNFBDOHZEM1Btek1Hd1ljTXdZc1NJUm1xbHFDMUora0xFZ2Z2dnZ4OXIxNjdGYTYrOWh1M2J0K095eXk0TEg0bDM2ZElGWGJwMEFRQnMzcndacXFyaXFLT09xblovNzcvL1B2YnQyd2VielJZdVc3aHdJVXBLU25EUlJSYzFjbXZFNFpDa0wwU2NPUEhFRS9IOTk5L0Q1L05oL1BqeEFJQlhYbmtGNzd6elRyaU94K1BCMXExYjhlV1hYMGJkeDNISEhZY25uM3dTYjd6eEJrNDQ0UVNVbHBhRzEzbTlYdlRvMFFObm4zMTJFN1JHMUpja2ZTRmFPV2JHbGkxYmdPREYxN0t5TWhRV0ZnTEJmdnFNak1ETW4xOS8vVFVXTDE2TS8vNzN2MGhNRE13K2VmRGdRY3liTncralI0L0drVWNlaWVUa1pDeFpzZ1NscGFXNDQ0NDd5dlh4WDMzMTFSZzFhbFM1UG43Ui9NaFBSNGhXenV2MTRwSkxMaWxYRmxwZXNtUUpqajMyV0NBNEJ0L2hjR0Q0OE9IaGVqdDI3TURreVpOeDQ0MDNZdkRnd1FDQWJ0MjZZZWZPblJnd1lFQzVmUzVmdmh3SERoeW85UDdidDI4SGdtUDZpNHVMeTYzcjM3OC8rdmZ2MzJCdEZUV1RwQzlFSzJleFdIREZGVmNBQUxLeXNyQm56NTd3dVBvMmJkb0F3WVM4Y2VOR25IMzIyVml5WkVsNDIxQVMvK21ubjdCLy8zNTA3ZG9WRG9jRHQ5NTZhNlgzbVRWclZ0VDVkWmdEVDFiOCtPT1BvU2psWjM2Wk1HR0NKUDBtSmtsZmlGYk9hclhpN3J2dkJnQk1tellOT1RrNTRlV1FsMTkrR1JhTEJhdFhyOGJxMWF2RDVhWnBBZ0RlZSs4OVdLMVduSGppaVhBNEhKV1NOd0M4OWRaYlVkOC9MeThQNDhhTncrT1BQeTZqZDVvQlNmcEN4S2svL3ZnRG5UcDF3dEtsUytGMnUzSGZmZmZCNy9mRGJyZUhqNzVEZCtnKzlkUlQ0ZTRkMGJMSkxKdEN4S0Z2dnZrR1YxeHhCWll2WDQ1cDA2YmhyMy85S3k2KytHSnMzYm9WdDl4eVMvaENyMmg5Sk9rTEVVZCsvLzEzYk5pd0FWT21UTUhsbDErT3Q5OStHNG1KaVhqNDRZZEJSUGpIUC82QjQ0OC9QbnhuYldnS0JTS0tjZVNpb1VqM2poQnhvclMwRkxxdW8zdjM3bmppaVNmUXAwOGY1T2JtNHQvLy9qZTZkKzhPQUZBVUJSTW5Ua1JPVGc0Ky8veno4TFRMTW5sYTZ5RkpYNGc0MGFaTkd6ejMzSE00K3VpajBhbFRKd0NJK2tDVmd3Y1A0ai8vK1ErWUdWYXJGZWVkZDE1NFdLZG8rU1RwQ3hGSEltZllySXFtYWZqcHA1OWdtaWFJcU5xdW5UZmZmTFBHcnAvMDlIUmtaV1hWSzE3UjhDVHBDeUdpaWpZc3N5S0x4ZElrc1lpR0l4ZHloUkFpanNpUnZoQk53T2Z6SVRjdkgyVmViNnhERVVHRlc3YWlyQ3orZmg2UzlJVm9Ba1hGeFpnKzQyV1pqS3daOFJ0K0ZCVVYxNkptNnlLL2dVSTBJc09QYlpZRTNtRUMyQmRsTXJLV2hFMUc2Skl0QXlDbGRZemRKNklpMC9SdWlYVWNUYVYxL05TRWFMNlVYZ01HSFcrRnBVdXNBemxjTnF2WngyWlZ4aXRFQ2FVK1kyYVpYL2sxMWpFMUJESjkremIvc2o0WGdCSHJXSnFDSkgwaFJLMm9xbm9hRWMxbjVpUUFGK3E2dmp6V01ZbTZrOUU3UWdnUlJ5VHBDeUZFSEpHa0w0UVFjVVNTdmhCQ3hCRkora0lJRVVjazZRc2hSQnlScEMrRUVIRkVrcjRRUXNRUlNmcENDQkZISk9rTElVUWNrYVF2aEJCeFJKSytFRUxFRVVuNlFnZ1JSeVRwQ3lGRUhKR2tMNFFRY1VTZW5DV0VxTVRoY0xRMVRiTmJaQmtSOVdCbUN4RXBBSHFvcXRvN2NyMWhHTHV6czdNUE5ubXdvazRrNlFzaEt2SDcvZjB0Rm91ellqbFIrTGxMOHlOZUF3QVVSVGtSd0xvbUNsSFVrM1R2Q0NFcWNidmQyY3ljVTl2NnpKenZjcmtxZlVtSTVrZVN2aEFpR29PWjMwVWdvWU9aSzFXSUxHZm05K1BsR2JNdG5TUjlJVVJVcG1rdUJGQlVpNnBGZnI5L2NST0VKQnFBSkgwaFJGU0tvdXdBNEs3WWR4OHB1TTV0R01idlRSbWJxRDlKK2tLSXFGd3VWekdBMWN4c0l0aWRFeExScmNNQVZ1Zm41KytPWGFTaUxpVHBDeUdxWWpEekdnQUhxcWx6S0ZqSDE0UnhpY01nU1Y4SVVTWERNTllBMkJWYXJuaFJsNGlLZkQ3ZjJsakZKK3BPa3I0UW9rcloyZG5iQURpajllc0h5NXk1dWJtL3hTSTJVVCtTOUlVUTFmTDcvYk9yV21lYTVodE5HNDA0WEpMMGhSRFZLaTB0WGNyTU95cVdNL091L2Z2M2Z4bWJxRVI5U2RJWFFsU3JvS0NnaklqbWhicDRpQWhFQkdiK3VMQ3cwQlByK0VUZFNOSVhRdFRJTUl4NXpPd05MUWRmTDRodFZLSStXa3pTVjFYMUFidmRmbnNOZFo3WE5PMnh3M21mNDQ4L3Z2UGhiQjlOZW5wNkQ0ZkRNYUNoOTl2VTB0TFNiQmtaR2IyaXJVdE5UVTF5T0J3RE1qSXkyalY5WktLeGxaYVdiZ0tRSDNHMHY4RmlzZndjNjdoRTNiV2tXVFl6aUtqYUcwQ0lxQitBL2ZWOUE3dmQzbEZSbEY4MFRadmlkRHBmcmFtK3FxcVRtZmtJbDh0MVQzWHpqaVFsSlMwSkRuTlRBWmoxamErdTdIYTdYVkdVSG5YZHp1bDBMZ0ZRYWJLVjVPVGsweFZGK1V4VjFmL1RkWDFSNUxwT25Ub05aT1oxVnF2MUhBRFN6OXZLbUtaWkRHQWRNMmNFaTliNS9mNDlNUTVMMUVPelR2b1pHUmtEclZickNVNm5jMVprdWQxdXY5SmlzV1F4YzJxRlRib3ljNUttYWFNaUMwM1QvTlBsY3JrUW5DY2NRTnVxM3RNd2pObUtvb3h3T0J3ZlZsWG53SUVEeFFVRkJXVUEyaXFLY3FlcXFobk1QTWJsY2tYOXdqRk44d0VpZWo4ek0vTVV0OXY5UTYwL2dNTkVSUGNEdUtRZW15WUE4RWNwUHkxNHc4NzNEUkNlYUVFS0Nncks3SGI3R2lLNkFvQ1ZtZGZJM1BrdFU3Tk8raGFMNVZnQTA5UFMwdWFHeWh3T1IxdG1mcDJabndRd3FjSW1LY0VqMUhjakN4VkZXUVRnV2dTUytuMktva3lwNmowVkpkRGp4Y3lYVlZVbk9UbjVlZ0J2NkxyK2dLcXFXNGpvVlNKYXJXbmFNOHo4VExSdGlFaFJGT1ZMVlZVcnJkTjFQYm5hRCtMd09QZnUzWHRxYlNwMjZ0VHBEaUo2SXJJc1BUMDkyV2F6UFl0QUc4NENjSWlJcG9YYXdjeExYUzdYM0NwMktWb1JJbG9adkZHcm5XbWFxMklkajZpZlpwMzBpNHVMbDZTa3BDZ3BLU21qUTNjQit2Mys4eFJGS2RGMS9aSDA5UFRIRHgwNkZMNHUwYWxUcDBWRXRIL3YzcjNqSS9jVFpZVEJ6MzYvZjB4b3dXS3g5Q0FpemUvM2YxNHhCb3ZGTXBDSXV2ajkvdVdoTW1ZT1R5Nmw2L3BNVGRQMk1YTmZSVkcrWk9hOVJKVEV6QmN5ODVkRXRKK0llcGltZVN3UnJhM2lDTG94Y1cxSFdIVHMyTkZmOFNZY3I5ZXIyR3kyVkFCdEFCekZ6SGtBd21kWWlxSTArRFVRMFR6cHVwNnZxdXF2QURwa1oyZm54VG9lVVQ5VlQ1L1hUS2lxK2lFUitablpBbUEzZ1A3TXJMdGNycnMwVGRzQW9IOU4rL0I0UEQzejh2TCtSS0JyNkZFaU9xK3NyT3hFQUowUjZITS9BOENUSG85SEMyNVNZclZhT3lLUTFPNGlJdFV3akhFSW5Da2NXcjkrL2Q3cTNzOXV0MTlKUk84d2MzK1h5N1ZSMDdTcEFDWjdQSjV1ZVhsNUpRM3l3ZFNDcXFvTEFHaEU5RUJ0NmpQemFDSzZ3dWwwVnVyZTBUVHRJZ0FmR1lhaEtZb3lFY0I4WGRlL3ljek1IR3V4V0VKSCtoWm1Ob2tvOG5yQVRLZlRlV09ETml4R2V2WHI5eGVyMHJadnJPT0lwYmFKR0syQWJTVmUrampXc2NTYTErZi85WTlmVzk3ZHlNMzZTQitCUlBSSzhKbWMxeU53aXZrMVVlQVh6alROODAzVHRJWHFXaXlXVndBVUc0WnhUK1ErOHZMeUtsMEFUa3hNUEVWUmxPOGl5NUtTa3JZSDMvUGZSUFJJNURxcjFmcGI4RDArQkRER2JyZWZRa1JUZkQ3ZnRibTV1ZVZ1WENHaW13RXNkYmxjRzRNanBNWUIrS0lwRTM2RTNzejhTaTNySm9SZWFKcDJEelBydXE1L2c4Qm5jaTZBMzkxdXQ2NXAyZ1FBdVFDK0lTSWR3QjBBamdad0R4RzlER0JEY0p2N0FWZ2FxMkZONlM5cEdiMnNwTHdLWXEwVzFWdXRRejRPRHQvQjJGakhFbXVKQ1pZTnFhbjJhd29MWFlXeGpxVXVtbnZTVjF3dTEzY0lITFhlUUVUa2REcWZST0FpYjM5RlVmcUcrdUNEMmdBd3JWWnJ1UXU4bXFiOUpUZ2lKY3psY2kwSGtLQ3E2aGdBcndNNFFFUTNlenllSlhsNWViNjB0TFNuVWxKU0ZnVXZGaWNUMGM5RWRKSFQ2VHlBUUdMdlNrUkRFeE1UZFZWVkw5ZDEvZnZnZTQwRWNLcGhHSmNCUUdabTVoZ0FmUUFjcmFwcXhhUy9XOWYxaWhlakd4SVRrZTUwT3Y5YW04ckJMN0t6Z2lPTTdnS3dFc0EzZ2ViU2FHWmVXSEdiNEJmYlJsVlZUeWFpZXdCODVIUTZseUx3V1V5SzlzU2xsaWdCNkFWQ09vRjZ0R21UQkt1MXVmL3BpTWJpOXhzb0xTMEZFd05KU0FVZ1NiK2hhSnIyUElDSkZjcHVRT0FvOGxGbXZyNktUU3ZPQjNJZ1NqY1FxNnA2TXhIOWk1bnZJNktwekh5WHpXYTdhZURBZ2RjbUpDVE1ZZVl0UkxRS3dFa0FGalB6RDZxcVR0SjFmYm11NjRzMFRSc01ZREVSZlp1Wm1UbkM3WGF2Wk9iL0VoRjhQdDhuNmVucGlZcWlQQUlnMnpUTnFaRnZyaWpLdjVrNXBTRStwMnJzQVREQzRYRDB6TXJLMmw1VFpaZkx0UkxBS2xWVkx3ZlFnNW0vUk9DTDYxUUFQVTNUclBLVW5vaEN2MHV0ZW9yZEJLc1ZOMTEzTFU1d1ZMNGdMK0tES3pzWEw3ejhHZzZXSG9wMUtQWFNySk8rMSt0OXhHYXp2ZUR6K2RwYXJkWWZBU3drb2djUkdFditzOFBoZUwyNjRaY0k5TUY3WEs3S3AxK2hoRzhZeHJrV2krVXZ6T3pSZGYwTXU5MCtPQ0VoNFFjaVdrTkVOekh6bE9EN3ZXQzMyejFFOUpuZGJoL2hjcm5XT1ozT2ZJZkRNZGcwemIrNzNlNGZORTJiQk9DdkNIUXBlVlZWblV4RS9aajVkZ0NzS01yVlRxZnpZZ1MrdkY0bm9vOGE3Y01MZUJ2QTMwM1QvRjFWMVZyOWhoSlJZckNiSjlkaXNjd0psbDNNekd5eFdJN1hOSzBmQWwrNlF6Uk44NXVtK2JQTDVmcmFNSXcyRm9zRkFGcm1YMEl0a2FLZ2Y5ODBuSFJpclU2ZVJDdFVWbFlHaTdYbDlsbzI2NlFmN0N2Zm9XbmFqUUNTbUhsL1VWSFJId1VGQlVVSTlPblBKYUpxaHlNU2tSdUFQV0paSVNMRDZYUyttcDZlL25GZVh0NmZEb2VqMURUTkZ3RVlMcGRycGQxdUg2M3JlZ0VBdHR2dHl4UkZLVURnU1BpTlFZTUdmWmlUazdNdnRMK3NyS3pkQUo3V05PMDRBUDlsNW9ORTFFN1R0QXhtZmdpQVFVUm5Ndk5kQU01VlZYVWNFVzBPM2xQd1dXTitmcnF1cnhvNGNHQy94TVRFVTB6VGJGOUQ5WTZLb3JRRHNOVTB6VzBXaTJWWlZsYVdML2laZFNjaUU4QlRFZlV2QW5BaEVjMEI4TFhGWW1tSHdKZHNjV08yU1FoeGVKcDEwbzh3S2RqbmZrNzc5dTNQdGR2dEk0Tjl5V0RtZDVqNXRtZ2JCY2VjbjF5aHVCMEFyNlpwYnpQelJhcXF3alJORUJGVVZRMlAzNDhjVDgvTVVGVTFmREUwTXpOenFOdnQxaEc0YjZDUFlSaURBWXhoNW4xRTlCeUFKd0djRHFEUU5NM0hGVVdaU1VTVG1Qbmg0QzV1QlBDbnJ1dVZob2cydE9CYzUrL1ZWRS9UdEJlWStUcGQxNU1xcnROMS9Vb0FWMGJVWlNMNmg5UHBmRFpVWnBwbUYwVlI0UGY3NWJGNVFqUmp6VDdwYTVwMlhyQUxaMm53eHBBMmlxSXNkemdjUTAzVEJJQnppU2dqMnJaRTlKZklNZlZCYlFFYzhQbDhUMXF0MXJlRFpVY0NlREg0SGpOcWlzbmo4UlNFWGpQeitZcWlUQWR3RnpOUFkrWit3ZVQzbXNWaVdlSnl1WDdXTk8xaEFKTjFYYjg1ZUFZd2k0aiszVmhqOW9ORFJtczZzaStIbVk4bklvdXFxamRGbHUvYnQrK3Qyb3p6SjZLZUFEdzFEV2NWUXNSV3MwNzY2ZW5waWN6OERETS9UMFJEZy8zaUUwelQvSWFaUXpkWFpSUFJ6Q3AyY1JXQWluUFBITW5NTzNOeWNuSUE1RGdjamdITVBKT1pzL2J0MjNkWlhhZUtaZVlSQURicnVqNGRnWVRiRDRFbkRoMEVrSWZBVWZDamlxSzhwS3JxZkdaK0RzQWZPM2Z1bkY2UGo2UldpT2crQUwzcnVFMWk4UGRoV21SNVVsTFNCd0JDbjRsVjA3UytDTFI3cktxcUZ3SEkxblg5VmdBREFPUlh0WDlWVmQ5aTV1OWNMdGZiVmRXSlI1TW5UOFpsbDEyR2FIZHF4OUlmZi95Qmh4OStHRTgrK1NSU1VxS1BOeWdvS01DRER6NklwNTU2Q2oxNzlxeDJmN3QzNzBaeGNUR09PZWFZUm9wWTFGYXpUdm8ybSswdUltcGZWbFkyMDJhekRVV2dEOTNuY0RndXlNcktLbEpWOVh3aTJrWkVVU2Y0TWsxelNKU2szemQ0Wnl6c2R2di9NZk5NQUYySTZJaE9uVHJ0N3RTcFU1WHhNUE9MTHBmcjNvZ2lCY0F3SXZxZ3VuYTRYSzdYTlUwYlEwVGZCdmN6Y3R1MmJhVjErU3pxUXRmMTQwT3ZIUTVIQjlNMEZ3S1lxZXY2TzFWdEU5RzlVMjVLQ0lmRE1VRFR0QmNCSEI4Y0FaV0F3SmRFWDJaZVIwUS9CSmVIUmh2U0dVSkVBd0VVQlM4dWk2QnZ2LzBXdzRZTmEzWkovOUNoUTFpM2JoMjhYbStWZFVwTFM1R2ZuNCt5c3JJYTl6ZHIxaXdzWHJ3WXk1Y3ZyN0d1YUZ6Tk91a1RrY2JNVS9MeThrb2kveWl5c3JJT1JGUzdpcG12cW1KN01MTTd0RHhvMEtCT1JIU3NhWnE3Z25mNlhzek12eEJSVzhNd3pxb3VGb3ZGOGdZUjJTTEw3SGI3eVVUVTBUQ01iNnJiMXVGd0hHMmFabnNpc2dTSFVWWWExcGlXbG1aTFNVbVpEMkMrMCttc3NRKyt0ckt5c2c2cXFwcERSTE5WVlIyK2I5KytpWFU1bXpFTXcwTkV3NG5vSndBTFROUDhTVkdVeFFBZTAzWDlXUVNPNHY4SzRDZ0FWU1o5QUVjQStLTkJHbFVIZHJ2OVZLL1h1eTR2TDYvcTdOV0U5dTdkaXkrKytBSlhYbmxscFhYTGxpMURVbElTdG03ZGlxZWVlaXJxOWdoTWw0R3Z2LzY2VWVLYlAzOCtoZzhmWHE1c3k1WXQyTHAxS3pwMTZvU2lvcUp3ZVdGaFlGQ2NydXY0NDQveVAxcTczWTYyYmNzUHJJdjJuTjI2ZXVlZGQ4ckZVRmRubm5rbSt2WHJkOWh4dEdUTk91a0RtS3JyZXJWemRqUHozTEt5c245RVcyZXoyUjRGNEFndFc2M1dVUUI4UkhRMmdKSE1mQVVSZFdYbS85UTArNldtYVpYdXBsVVU1VUptWnF2VnVyU0t6VWhWMWF0TTAzd09BREh6ZGNHTHVEK29xdnE2eitkN0xPS2gwallBSFpoNW5xcXEvWFJkZjZTS2ZkYVZYOWYxVzFWVnpTT2lHWjA2ZGRwV1dGZzR0V0lsWm01VFlmb0VJSENXVWxqeGJFblRLdDJVZWllQW4zVmQvN2FLR0t3QWVnS29lSDJsMFJIUnh6YWJyVVJWMVhjTnczamZNSXcvMXE5Zlh4U0RPWkNBd1BVZ1RKOCtIZjM2OWNNSko1d1FMamNNQTlPbVRjTkpKNTJFdm4zN2dwbnh3QU9WWjg5WXRtd1pnaFBHTm9wRml4YWh0TFFVUTRjT0RaZDkvdm5uV0x0MkxUcDI3QWkzTzN3TUJjTUl6Q2IrN0xQUElqaGNOK3pOTjk5RWF1ci83anNNRFphb3lvUUpFNnBNNXVQR2pjTUZGMXdBQkwrVS92enp6M3EzNzVoampwR2tIK3NBcXVOME9xdnNJNDVRR3BwWFIxWFZDVVEwZ0prOXpKd0k0UHhRVjA3UXJjejhQb0M3aWFpcjArbk0xelJ0RWhGWmdoZU1xOFRNSFNyKzBqTHpoVVRrQ2c3YkxFZlR0S0hCYXhGMlp2N1JNSXh4MmRuWm14ME94MnpUTkNjVDBlVEV4TVJyTlUzN3hPUHhYSldYbDFlVW5wNCtLaWtwYVRhQWgxVlZQVkxYOVlrTk5mKytydXN2YTVxMlZ0ZDFQUmpmbE9Dd1VRK0FEa1QwTjJiZVd0ZjkydTMyNFFDdVlPWUxLODdCejh3SEFJd01kZzlaRGNQUUc2SXRkVVJFZEF5QWYxc3NsbjlhTEJhM3FxcHJpR2d0RWEzS3lzcmEzSlRQT0RqeXlDTXhlUEJndlAzMjIrV1MvbGRmZllWZHUzWmh3b1FKK1A3NzcwRkU0VVFYYWZ2MjdZMmE5TTg0NHd3c1diS2tYTkwvNXB0dmNPbWxsMkxzMkxIdytmNTNrcnArL1hwY2YvMzFlT09OTjNEMDBVZUh5eTBXQzZ4V0s3Nzk5dHZ3RjVmZjc0ZmY3OGVwcDVZZllmM2lpeS9DYnJkajgrYk42Tm16SndZUEhoeGU1L2Y3TVdmT0hPemYvNzhaeXovN3JPcFJ6ZzgvL0RBV0xseUlaY3VXb1gzN09vMWppQ3ZOT3VuWFF3Y0FGd1dUczBsRUxzTXdKaVBZdFFQQVo1cm1mVzYzZTFkd0pCQVFTRTQyQU5YT1QwTkVSMFF1cDZXbDJRQXNBckF0V24zVE5EMUUxTlkwelNzanB4NE9qbjEvUkZYVm1jeDh0NklvdjRXNkhvTC9YNm1xcWduZ2NrM1Rublk2blFYUjlsOGZUcWN6SzJKeEFETmZTWUVQeXcrZ0FNQ3RkZHdsRWRHOVJQUzIwK2xjVkhFbE03K2tLTXBMd1dtdFg4L096czQ5L0ZiVVg3Qjc3c1RndnlKbTNxV3FhcTVwbW5PTGk0dVhiTnEwNlVBdGRuUFl6anZ2UE54Ly85bHFiOHdBQUNBQVNVUkJWUDNZdGkzd3ErUDMrekZ6NWt4Y2Nza2xOVjRRYld4RGh3N0ZpeSsraU0yYk53T0IzeGxzMjdZTm8wYU53dGRmZjQzNzdydXYwamFYWDM1NXVlV0xMNzRZVTZaTVFlL2V2VEYrZkdEQzJ4VXJWcUN3c0JEanhvMERBUHoyMjIvNDRvc3Z5aDM5WjJSazRMYmIvamY2K3RDaFE1Z3paMDZqdFRWZXRaaWtyK3Y2bUNobFF5b3NQd01nNm56MndSdXFUcXRZN25RNlh3VHdjblZQdm9vbStCQ1ZTdDFLTHBmckxRQnZCUmVybkFGVTEvVS9ndlBiVkdUb3VqNHVNek96ajl2dGJyQ0VYNUhUNlJ3WG5BaXVQdHVHLzFKMVhUK25xa25WZ2lOMVluM2hsaEc4MTZLQ0ZDSktJYUkrRm92bC96cDI3TGpIYnJkL3hNenpGRVhKM2JkdlgzRmpQZlI3eElnUnVQSEdHOE9qWXJ4ZUw0WU5HNFpycnJtbU1kNnVUdnIyN1l1SkV5ZWlTNWN1QUlEMjdkdGo0c1NKNk5peEkwNDk5VlM4OTk3L0xqZHQzTGdSOTk5L1A2WlBuNDRqanp3eVhONmhRd2NnY0dDRXRMUTBBTUN1WGJ1d2QrOWUzSGhqWU1MVkZTdFc0SXN2dnFqVUxTUWFYNHRKK28ySTY1cndtNERoZHJ0L2lYVVFkVkRuenk4MU5UVXArSWpGeG55QURBQWtobDZFamlvanZ3QWlYbmRSRk9WNkFOY0EyTmpwLzl1NzcvaW9xdlIvNEovbjNra21sUklFMUhVRkJTa0JKbk51N01zdWloVlhWaEVMYThHNjY0SUZlOEc2dXVyNnM0UFl2bUJoRVdIRnRxS2lzQ2dLSW1EbXpnd1l6Qm9FRkdsQmdWRFNaczd6KzJQdXhFa3lDZWtUa3VmOWV2bHk1dHh6NzV4N2dXZk9uTnExNi9MT25Uc0htSGxwTUJoYzFseUYyYmx6SnpadjNveGh3NFpoMDZiSWNrakZ4Y1U0ODh3elVWUlVWTm11cmJYR0gvLzR4eHJuNzk2OXUwVURaU2dVd3RpeFkvSDk5OThEQVByMDZZT2pqam9LNFhBWVRzdGdwVzNiSXEyYVc3ZHVyVkpqMzdScEU4ckx5L0diMy95bU1xMjh2QnhKU1VsVlBnZE9VNUJvWFJMMFJVSmtaR1IwQi9DSVlSaURXL0p6bkZGVFZkSnE2MUIwdmdCY1JEU1FpQVlhaGxFT29FZ3B0U1ljMWl0MmxjT0llMklETEZ5NEVQLzR4eitxcEUyWk1nVlRwa3dCQUJ4KytPRTQ5OXh6UVVTNDRJS2FtN2Q5OWRWWCtQYmJiNXRhakxoMjdOaUJrMDQ2cVVyYWlCRWpBQUFYWG5naDVzMnJPVEk2S3lzTEw3NVljenZwY2VQRzRaeHp6cWw4djN2M2JxU25wMWUrajNZQ3kycWxyVStldUVnSXJUVVJrWnVaYXl6N2tHak1EQ0lDRVpuTW5BN2dJQ1lqQXh4dThwakRFU05HNFBqamp3Y0F2UDMyMjVnNmRTcHV2ZlZXbkhqaWlZQVRCQmNzV0FBaXFtd1BqMVZTVXRKaVFUOHpNeE52dlJYWkd2cU5OOTdBbkRsek1IWHFWSFR0MmhXZE8zZkdOZGRjVTYrUk16MTY5S2d4WExPNHVMaXkyUWZPTHhsSTBFOEllZUlpSWZidTNidlY3WGJmMU5MTk84NkdPMTFpMDZKTk92RitBVEN6QnJBZXdOZmhjRGdQd0hLWHk3VjQxNjZLWExpTTA1cGFucFNVRktTa1JMN25vaE9WMHRMUzBMbHo1OHIwUkRGTkU3MTc5MFlvRk1Mbm4zOE9PRFg1WHIwaWs3dVhMVnVHOGVQSDcvTTZqei8rZU9XWFdOU09IVHR3eEJHL2Jqb21OZjNFa1NjdUVtTGR1bldsNjlhdCs3cWxQMGNwRmNLdkFiM0c4WmgyL3QxYTYvbEU5R1pwYWVuWGJyZTdLQkFJN0l4MkJQZnVHM2Q1cDBaYnNtUUppb3VMUVVSNDdybm44TzkvL3h0UFAvMDBEampnZ0diOW5NYjQ3TFBQc0hkdlpJWHM4ZVBINDdUVFRxc3lxdWJOTjk5RTkrN2RhNXkzZS9kdW5IbG16WkhQV210czJiSUZSeDk5ZEdWYWRLWnZiRHUvYUIwZEx1am41T1Q4eGpBTWwyM2I2eE5kbHVyNjl1M2J5ZVZ5SlgzNzdiYy9KN29zMWJYbDU3WVBHakZOTmpGS21ia1l3Qm9pZWkwY0RyOFREQWEzdGtxQnRNYVVLVk53MFVVWDRlbW5uOGJZc1dQeDRZY2Y0dEpMTDYxczI5ZGExeGpURHFjRE5MWnR2TGt4TTE1NzdUV2NmZmJabURGakJ1NjY2eTdjZnZ2dFlHWWNlK3l4QUlEYmJyc3RiZzA5Mm1SVDNabzFhN0IzNzE0TUhEaXdNaTI2ZElQVTlGdGZ1M25pbG1YZEQrRHo2Rlo5dFRFTVl3b1JIUkxkN0tRVnVMS3pzMnRVMzF3dTF5NW5VYmJLcE16TXpCWE9lUG1hd3paaWVMM2VNd3pEbUVCRTUxZGJraUt1M056Y3BOTFMwc3lrcEtST0FMcVVsNWNYUnZmcmJjUFByYmtZK0xXbVgwNUVLNWw1T1JHdElLS3ZmRDVmUVd0T3pvSlRVOTY0Y1NOR2pScUZwNTkrR2wyNmRNRUxMN3lBOGVQSDQ5TlBQMFZhV2hxSUNMZmNja3VOY3hjdFdvUmdNTmhpWlh2Ly9mZXhlZk5tbkg3NjZaZ3hZd2I2OWV1SFJ4NTVCQTgrK0NBR0RZb3M2WFR1dWVmR1hZU3R0TFFVRHozMFVJMzB5TnFHa1hINHNYa1IyYXU2eGU1RnhOY3VnbjcvL3YwekFZd0VjTGRsV1JPaisraTJCUjZQWjRETDVWcFpQWjJaN3dUd3o1aWtFQkZOQXZDc1V1cDYyN1luMVhaTlovbUh3Nkw3OVVaWmxuVWpNNDhEa094TVJFcGw1bFJtVG5hN2YxMDJ5TzEyWHdwZ2VsdCticzJJbWZrSFpuN0wyZTV4YlhGeDhiYVdHb08vTCt2WHI4ZWtTWk53M1hYWFZlbnN6TWpJd0xScDA1Q1VsSVRaczJlRGlEQnExS2dhNTIvZHVyWEZndjd1M2JzeGVmSmtqQjA3dGtxenk5Q2hRekZuemh6azUrY0RrVXBFcmMwNzhjeWZQeDlkdW5TcDdCdUFCUDJFYWhkQnY2Q2dZSmZINC9tRGFacHZFTkdqU3FsczI3WXZTM1M1WWpIejlWcHIyekNNL2tRMGxabERsbVVkV3kyUEQ4RC9BUHpCc3F6WTVTTVFEb2ZMQW9HQW5adWJtOFRNb3dBRW5MMXNnY2prbC9lWWVTRXptNFpobERCekNSRWRTRVFQYWEwdll1WkNBSHVJYUkvV3Vnajd5WE5ycW5BNFBIcnYzcjNMbmNsMENiZHg0MFlNSERndzduRE14clp2TDEyNkZMTm16Y0tERHo1WTZ6TEk5YkYxNjFha3BhVmh6Smd4V0wrK2FpdGU3TElHMVdmZzFtWHQyclZZdm54NWpaRklKU1dSUldaakt5TmJ0bXpCc21XL1RvbW9hNFZQMFhqdEl1amoxL1hyejNHV04xaGlXZFpBWmw1UlBSOFJwVEF6S2FYaVZVdk90bTI3emhVekc0dVpWd1lDZ2NWS3FhT2RMUlFad05KcVpZdSs3QWRnZE93eHd6RFdBK2dkQ29WR21hWjVnTE5aZStXWFJ2ZnUzVCszYlRzQW9ISkZMS1hVa1VUMGtHRVl5MnRienFHdFA3ZW1DZ2FEWHlTNkRMR09PZVlZSEhiWVljMnk0bVRVbmoxN3NHelpNbHgyMldXWU5Ha1NEam5ra0VaZDUvREREOGVUVHo2NXp5K2YxMTkvUFc2SDgrN2R1ekY2OU9ncTl6WnQyalFRRWM0Nzc3d3FlZGVzV1lNRERqaWdTdDVGaXhiVnVmVHlGMTk4VVRtcEs1N29aTGN2dnZnQ3FhbXB0ZWJyMTY5ZmxZbGpIVTI3Q2ZxT2tHM2JseUxTckRMWTVYS2xBL2cvQUxHL2gvOUNSRjJxN2ZkNktJQmJXK041RU5GcHpQeEZlWG41SzBsSlNmOTEwaTRtb3B1WithemFGajBqb3ZKSTdEZnVaT1lGdG0yZkVudGNLZlZueTdJdWpVMWo1bWkxNzJYTHN2WldPL2FJYmR2UmYyRnQvcm0xRjRaaDRNQURxMi94RVBIb280OWl3WUlGS0MwdGhkWWFwNXh5U28wOGUvZnVSV2xwS1U0NTVSU01HVE1HVjE1NUpVNCsrV1JrWldYaHhodHZ4R1dYWFlZcFU2YWdmLzlhVndDcFU1OCtmZmFacDJ2WHJqamdnQU93YmRzMnZQenl5MGhMUzRQTDVhcWNQOUN6WjA4QXdNY2ZmNHlQUHZvSVo1eHhCZzQrK0dBODl0aGpNQXdETzNmdXhKSWxTMnJjMzhpUkl6RnUzTGpLOTZXbHBWVW1lTjF4eHgyVnpVSjF1ZWVlZStvOGZ0dHR0OFg5cGRWUnRJdC9yRXFweHdFVTI3YjlqK3FkY2xyckQvMSsvN3N4ZVU4bW9rTjhQdCt6TVdsSEV0R3RMVjFPajhlVHpzekRBTnptYkN2NEN5SnQ4YWNpRW9pRHpsTEdjU21sUmdQSVllWWFheHNUMFRkYTYxa3g3NDhsb3F1ZDZ3NWw1c2RpZDdiU1d2K3d2enkzanVKM3YvdGRneFpjR3pKa1NPVnJ5N0x3N0xQUDRwcHJyc0c3Nzc2TDIyKy92YzV6bTBPblRwMndkT25TeWxFN3FhbXB1UHJxcXl0SDZienp6anZvMGFNSGJyMDE4bGZrKysrL3gvTGx5MkVZQmdZTUdJQnJyNzIyeXZWU1UxTXJ2ekRnZk1IRm1qRmpSdVg0L3FhSTF4L1JrYlNIb0c4UzBhRUF6bE5LL2I2a3BHUk1XeHp5aU1pSW5kTUF1SW5vM2RoMHJiVnBHRWEwTmwrcmNEZzh6elROKzRob2NiV04yMi96K1h6UFJXdm1sbVdkQTJBTWdMOER1QS9BUTg0WHdKOWoxcnczTGN2YUw1NWJlN1ppeGE4dGFVT0hEc1hRb1VQcnpGK1hJVU9HWVByMDZWV1dPVzZzdm4zN0lpOHZyMHJhTWNjY1V5VXRPVGtaNzd6elRxM1hlUGpoaC9Iamp6OVc5ak04Ly96elFQemhzMWk0c09iZ3NiUzB0Q3FmSjFzdE5vLzJFUFREUHAvdkFzdXl2aU9paWFtcHFaOERhTjZaTk0yRW1ZOENzS2Vzckt4S3V6Z1JwVG4vLzA0cFZXTUdFVE9QOHZ2OTg1MzI5MzhvcGI0RDhDb1J6V1RtVDV3T1lPVG01aDZndFg2RW1TOWg1a3VJYUMwUjNVZEVyemxMUUgra2xIb3RIQTcvUFJnTWJ0aGZucHVvdjlpTlN4SXRLeXNMV1ZsWk5kS2JzejlETkZ5VEY1QnFJOWpuODkzRnpHT1orYTQydUdwbTFKTUF5dHh1ZCt4UVRSQlJGb0N3MXZvK1pyNC8raDhSdlVaRTZjd2MyM3ZGdG0zUGN0YkE5OW0yUFNzUUNCUXFwUjdXV244SDRBd0FwL3I5L2lyNzl2cDh2aGVaZVFRUm5lWnl1ZFk2RzV2c0w4OU5DTkZNMmtOTnYxSzhqYitKNkJXbFZPd0dLVjBBbUVxcHpURjVXdVU1MkxaZFpGbldvd0FlVWtyZDc2eXBEd0RkQVJUNS9mN0hZL05ibGpVY3dIakRNUGJWZTZVQjlDU2l1VnJyZThyTHk3ZGxaMmRuT0R0WFBWcFJVVkdXbloyZFlSakcwdDI3ZHc5S1QwKy9TV3RkdWYxU1czOXViUWxyallMdkN0R3BrK3pNMUZHdEx2Z080ZEQrV3o5cVYvOW9QUjVQZjJiZTZteVlBa1FDMDV2VlI2RUE2RUpFOFVhaHRMalMwdExwS1NrcGp3TDRVM1MzTG1ZK0FzRDNjYklud3htakQyY1NXbHBhV25RSVlpb3ozNkdVdWdxUmZvSHpEY000MURDTXRkVVg3a3BPVHI3ZHlmTjFRVUhCVVU1YmY2WDk0Ym0xRlJXaEVLYTkraS84YTJhejdWMHY5alBsRmVVb3FjY29vcmFxWFFWOTB6UW5FdEZaSG8rbmNoQnVXeHVGa3ArZnYxa3B0WldJK3NEWmRwR0kralB6LzFYUHE3VjJHNFlCbDh0VmdrandMd2N3eHprOGtJaHNabDZHeUZEQTdhRlFxTWcwelJPSjZPOUVSRnJyeXAyMWllaGhaL1hJR3ZhSDU1Wm9tbmlyQ2Y2SlFWMTI3dHFWNk9Ja0JHdEd0RFdlQVpEUjRkdm1ONVd6M3BUb1FqUlVld3I2Qk9CMFpsNFZEQWIzeEs3ejBRYUZuSFhha1o2ZVBneEFxdGE2eG83UGhtR2tJQktBUy9EckZvMy9RQ1RnM2dIZ1k5dTJuNjEyMm1lV1pSbk1YT0QzK3orTEppcWx1Z0RZNVBWNnp3WlE0ZmY3bzUrM1B6MjNoUG5odTVYckR1dnZ1UktneEc1aW0wQXBTZHpIN1RMR0drUkpKUlhoYVdVaFdwUG9NaVVTaDhOYk5uNjM2cnRFbDZPaDJrM1E5M3E5UnhKUkQyWitOTkZsaVllSUxLV1VpNGlPQm5Bd2dIeEVhdG5qbUhsZElCRDRiL1Z6bURuZDJjeGpUOXlMT3JLenN6T2lDNmc1ZjZaREFNeU55V0lDNkFuZ1VNTXdSakx6RmdDL3hYN3czTm9RdmJZZ1dBQ2dJTkVGU1JTbEZCTlJQMlpPU1VzeUN3dFcyYlZQbnhWdFZuc1p2UU1BWnlFU0tOOXU2b1dVVXIyVVVwOE5pWjM5MGtSRU5JQ0k1Z040aUptL0RJVkNyK1RrNUp6SXpHYzV0ZmQ0UFVOZEVLbngxeHIwdlY3dlZXNjN1OERqOGFRNzcwY0I2QXdnOWtza2JOdDJOOXUyTTVoNUpoRnRpRG5XYk05TkNOSDJ0WnVhUGhGZENNQ3VQcVBWTUl3ZVhxODNkdkJ5R29EazJEU2lHai9aMDRubzhLU2twQ1ZLcVF0czIvNm9HWXI0dHRiNi81aDVaeUFRK04rUUlVTU9OMDN6WDBRMDMrZnp2VnpMT2I4RHNDMHZMNi9LMUVSbmRjdzBacjZiaUxvRGVDd3BLYWs4TnpkM2dOYjZXUUNmMnJZZGQ0TVNJc3BsNW1ETSsrWjhia0tJTnE1ZEJIMnYxM3M4RVIzR3pQRVczWGpSTUdyK29ERU1ZMjF0MTdOdE96OG5KK2M0MHpUbkVkRi9sRkpYMnJZOXZTbGwxRnFYK3YzK0ZZZ014Y3dGOEE2QXJWcnJDd0J3Nzk2OVU3cDI3VHFOaUlxWXVRVEFJQ0lheWN3MWhsT21wcVplUVpFWkxtWE1QTnkyN1VWS3FVdUlhRElSRlplWGwxZXV3V05aMWtSbTNrMUVwYzd5RFlPWitabVdlRzVDaUxhdlhRUjlJanFJbWRjQ3FORkV3Y3ozTVBQaXVzNDNES04vZFBoa1ZDQVErRWtwTlJ6QXAwUjBBNENaem9Tb0pzbk56VTNUV3M4RXNIelhybDFYRkJZV0ZzUFpQakFySzJzb2dFT2RHWXZGekR3SHdNM1ZyN0Y3OSs1WE1qTXpCNGRDb2R0V3JseTVQVHM3KzBBQVR6QnpRVGdjSHIxcTFhclk1cHZUaWVqM1R2UFJ6OHo4ck4vdmZ3VXQ5TnlFRUNKUmpPenM3QXluRTdQUlBCNVBqd0VEQm5ScnZtSkZBdjgrc2pTNHpEazVPWU9hZXErT1pubHVvdjFSU2cyekxHdVRVbXE3VW1wWW9zc2pHcWZERDdRVlF0U1BVbW9ZRWMxaTVoUm5Ed1VadmJNZmFrK2pkNFFRUXV5REJIMGhoT2hBSk9nTElVUUhJa0ZmQ0NFNkVBbjZRZ2pSZ1VqUUYwS0lEa1NDdmhCQ2RDQVM5SVVRb2dPUm9DK0VFQjFJdTFoN1J3alJ2Sncxb3JySHBoSFJnY3hzRXBFQjRFQ2xWSy9ZNCtGd2VGc3dHS3h6N3dlUmVCTDBoUkExaEVLaC9xWnArcXFuTzRzQkFzQ3NtTmRBWkFHK293R3NhS1VpaWthUzVoMGhSQTJCUUNESXpDdnJtNStaVi92OS9ocGZFcUx0a2FBdmhJZ256TXd6RUFub1lPWWFHV0xUbWZuZnRleitKdG9ZQ2ZwQ2lMaTAxdThCS0s1SDF1SlFLRFMzSHZsRUd5QkJYd2dSbDJFWVd3QUVxcmZkeDNLT0JjTGg4RSt0V1RiUmVCTDBoUkJ4K2YzK1hRQytZbVlOcHprbktxWlpod0Y4dFhyMTZtMkpLNmxvQ0FuNlFvamFoSmw1R1lDZGRlVFo2K1NwYU1WeWlTYVFvQytFcUZVNEhGNEdvQ2o2dm5xbkxoRVZWMVJVTEU5VStVVERTZEFYUXRRcUdBeHVBT0NMMTY3dnBQbFdyVnIxWXlMS0pocEhncjRRb2s2aFVHaDZiY2UwMWxOYnR6U2lxU1RvQ3lIcVZGSlNzcENadDFSUForYWlIVHQyekV0TXFVUmpTZEFYUXRTcHNMQ3dqSWplaURieEVCR0lDTXo4enJwMTYwb1RYVDdSTUJMMGhSRDdGQTZIMzJEbTh1aDc1L1djeEpaS05JWUVmU0hFUHBXVWxId1BZSFZNYmY5YjB6UUxFbDB1MFhBUzlJVVErNlMxM2dWZ0JmOXFSVVZGeGMrSkxwZG9PQW42UW9oOUtpd3NMSE1tWWUwRlVNN015MlR0L1AyVHJLY3ZoS2dYSXZyU21haVZyclZlbXVqeUNDR0VhRm1rbEZxZ2xGb2hyUVQ3cjlxWHp4TkNOSXVERGh2WXkrMTJINWJvY2pTSHRHU2NZWURkdTh2cG5VU1hwYmt3Ni9YckM0SnJFMTJPMWlKQlg0Z1dkRWlmUVgxZHlhN1hBUnlhNkxJMEQzWmlCdFhjVldVL1JZd2kxdnI4ZGY5YitXMml5OUlhcEUxZmlCYmtjcGw5QWVwbkVIVkpUVTJGYVVxclNGdWh3eHA3UzBxZ1dYY0J6QUVBSk9nTElacEhwOHhNM0hUOWVCelJ0MCtpaXlJYzY5Yi9nQ2NuUFllaWJSMXJLd0FKK2tLMGdxU2tKQXpPSGdqbDlTUzZLTUxSS1RNVGJuZHlvb3ZSNnVTM3BoQkNkQ0FTOUlVUW9nT1JvQytFRUIxSWh3bjZPVGs1Zzd4ZTcyV0hISEpJYWtQT1Uwb3RWa3Bkc284ODA1VlM5emExak5uWjJja05MVitpWkdkblovVHQyOWVkNkhLSTVsZFdWb1p0emRTNVdWcGFpb29LMlQ2M0xla3dIYmxFTk1Jd2pNYzZkZW8wRDBCSkE4NDdscG5ueHFibDV1WWVFQXFGZWdZQ2dXK2NQRWNEcUxWSHlMS3NnUUJ1M0xwMTY0UU5HemJVK3RsdXQvdUI3dDI3bjc1aHd3WnYvZStzNmJ4ZWJ4ZlROR1AvTGxUazVlWFZ0UmsyVWxKU0ZyamQ3bmN0eStwSFJQOHZMeSt2Y3JpYlVxcDdPQnh1MUJkQ01CamNCQ0RjbUhORjgvanNzODh3Y2VKRWZQbmxsM0M3NC84eGZ2TEpKOWkwYVJNdXZmVFNPcTkxOWRWWFk4aVFJYmpsbGx0YXFMU2lvVHBNMEc5TzRYQjRsR21hTDNtOTNxUDlmditLZmVYWFdsdUdZVnpSdlh2M25PN2R1NTlwMjNiUnZzNXBUVVMwbUprSHhTVGxBVGl5UHVkcXJUY1MwV1FBcDhRa3YrbHl1WVkxcGl3ZWorZTN6cjZzQ1pPZG5YMm8yKzBPMmJhOU1aSGxhRTVhYTVTV1Z0M3Z4RFJOdU4xdXJGNjl1c3BtNXovOTlCTUE0TnR2djBWU1VsSmxlbnA2T25yMTZnVUFXTEZpQmQ1KysyMzg4TU1QbURoeElrelRiTFY3RVUzVDRZSithbXBxM0ZuSUhvOG5mUityQnByUkdxaGhHSDhBc012djk5djErVXkvMy8rNlpWazdpZWhOWmw2U2s1TnpyV0VZTDFmUFIwU2RBS1FvcGVJRnZYL1p0bjFuZlQ2dmtaNE9oVUxUVE5NY1QwUkhlenllOUtTa3BOL1dsbGxyblFLZ3U3T2owczhlaitld1lEQXlsVjFyZlRjUkhWRFB6MDBub29lSXFCY0FINER0elhaSGpaU2NuSHdhRVQydGxQb0t3TlN5c3JJbDRYQjRlMEZCd1I0QU90SGxhNHhBSUlDcnJycXFTdHJ3NGNQeDJHT1A0ZkxMTDQvYkJIUEZGVmRVZVgvVVVVZmhoUmRlQUFEY2RkZGQ2TnExSzZaTm00YnQyN2ZqK09PUHg5U3BOYmZMM2I1OU85YXNXWU1GQ3hiVU9IYm5uWGRpMkxCRzFRMUVFM1M0b0srMVBobkF2MkxUbEZKM0F4aWpsRG8xWHUyT2lQNWlXZFpnbjg5M3NSUDhSd0Q0SEVDb3ZwL3I4L25tNXVUa25HRVl4c1V1bDh1bnRZNzl2WnNFNENZQXYySG05UUR1aUhPSndvYmVhME13ODVaZ01MaktzcXl0QU9CeXVVNWs1dmRyeSs5c3BwSGpsQnVtYVY0SllEQWlBV1p4ZlQ1enlKQWhRNUtTa3Y0Tm9CZUFLY1hGeFRjWEZoYVdOZHROTlI0enMwbEV3NW41UkxmYnZSVkFubEpxR1JFdDExcC81ZmY3ZHlTNmtJM3g0SU1Qb2x1M2JuanV1ZWNxMHhZc1dGQ2xwcjl3NFVJODhNQUQrT1NUVDVDYy9HdXJwY3RWTlZ5TUh6OGU2ZW5wU0UxTnhaRkhIb25Nek16S1k5dTNiOGZVcVZNUkNvVnc5TkZINDh3eno2eFJsdjc5KzdmQUhZcDlhVGRCMyt2MW5tRVl4dEhWMDVsWjI3YjlRRXpTMzJLRHZtVlpmd1h3SUROL1UxRlJFWTVKbjhYTXJ6bHZkd080U0NrMUJVQTZnRzRBVGxWSzdYWStJNDJJK2tUZng1aGoyL1psMFRlQlFPQlRBSjg2YjJjaDBzRTgxRENNRndGMFp1WkZBQTRsb2pzQnpHWG1LWWxxWXZENWZQTzhYbS9YMm80VDBTZEVORjlyL1JnaU95czFxQjNlZWU3UEFDaGo1dk5zMjI1TFcrOVJkRjBxaW55NzlRUndCb0JUbVhtN1lSaGJsRklMdytId0c4Rmc4S3RFRjdZaHZGNHZEajc0WU15Y09iTXlMU01qQXpObXpNRDc3NytQMmJObm8wZVBIaGc0Y0NBNmRlcUV0V3ZYNG05Lyt4dGVmdmxsOU83ZHU4YjFZdHYwZS9mdURXYkdlKys5aHhkZmZCRzlldlZDV2xvYWR1L2VqWmRlZWdsanhvekJ5SkVqa1pLUzBtcjNLMnBxTjBHZmlFNWk1cXVycFNVNy8yZ2ZpRWs3M3VQeEhCTU1CcGQ1dmQ2cm1QbDVJZ29DT0huVnFsVkZBT0NNU2huTnpMT0lDRnJyV1laaFZBQjRtSWkyQU5nRllBSTcxU1BETUI1aDVoK1krZmxxbjcrMmI5KytuVEl6TXljUjBRcytueThhSU1peXJGTUIzTVRNcHdDWXpzdzNFTkVkQUE0QWNEOHpYd2JnZjBxcHQ1bjVTYi9mNzIvaFI1anQ5WHJQQmpEQWVSOGlvaWxFZEZyMWpLRlFLTnZsY3BVeGM2aWhOZDYrZmZ0MjZ0U3AwMHNBTG1EbXIwT2gwQVVyVjY3OHZ0bnVvbm13VTl1dm51NEMwTjFwMWhyc2NybXVWMHF0WmViWG1IbU8xbnBqY25MeTdyeTh2UDFtdUVwZVhoNktpNHV4ZXZWcUZCVVY0ZE5QSTNXU0s2KzhFb3NYTDhhR0RSdXdjK2RPTEYyNkZHdlhyb1hiN1VhUEhqMHdZOFlNakJzM0RqMTc5Z1NjRVQ4ZmZ2Z2haczZjaVEwYk5tRGN1SEc0K09LTGNmbmxsK1BRUXcvRjRNR0RNWGZ1WER6MzNITVlQWG8wTHJqZ0FuVHYzajNCZDk4eHRadWdiOXYyelFCdWprMnpMR3NlZ0M2eGFjeTgzVFROZXkzTFdnVGdVUUNMeThyS3p2cm1tMjkraWVaSlQwL1BCdUF5REdNVklzR2JtZmxtWmo0RXdNc0FuclZ0KzVXWXo3bURpTmJhdHYxcTlYSU5Iano0dHdENk12T1hTcWxwNWVYbHR5Y25KOThINEhvQWN3RWNiZHYyMTg1YTVka0FlcGVXbGk3Tno4OS94K1B4OURCTjg2OUVORmNwbFc4WXh0bDVlWGw3VytnUkRqY01JeHZBd1FBMkFzQ3VYYnZHZGU3Y3VjYW9wR0F3K0xObFdlVjFqVmlxVFdabTVuOEJITW5Nazh2S3ltN0p6ODh2MzljNVNxbHNadTdSME05cUxNTXcrZ013b2tHZmlLbzBmOFMrSnFMRGlPaCtacjdWTk0yVld1dXZjM0p5VmdINE5CQUlmTmRhWlc2czU1OS9IcXRYcjBZb0ZFSW9GTUxkZDk5ZDVYajBYaWRQbmd3aVFyZHUzWEQvL2ZkaitmTGxXTEJnQWY3NjE3OWl6Smd4dU9LS0svRDk5OS9qN0xQUHhwUXBVOUNqUncvczJiTUhHelpzQUJIaC92dnZ4M25ublljMWE5Wmc5dXpaT08rODh6QnExQ2hNbURBaFFYZmVjYldib0YvZGdBRUR1Z0U0aVptcnRJOFQwUk1BL3VIOFhKOWRYRng4YWZWMlpDSTZEc0JPbjgrM3hySXNJUEtsc2tncDlUZ1JHVVQwVEgzTHNXclZxaDhCL01HeXJIdVorWjZrcENUYk1JeDdRNkhRcTRGQXdFYWtiVE16UFQxOUdqUC9FY0RPbEpTVUQ3eGU3eGkvMy8rZFU5Wi9XcFoxUkFzR2ZBQjQxdWZ6L2RPeXJQc0JuT24xZW04aG9sdTBydGx2YVZuV1J3RDJFbEZqNWhRY3hNeWYyYlo5ZlFQT3VjNHdqTE1iOFZtTndzeXAxZjl0UkRjRVI3V2dIL002SGNDeEFJNHhUYk1Fd0dhbGxMOHN6QVY3eXRydUtzVFJ6dGVwVTZkaXpwdzVtRGR2WHBYaitmbjV1T1NTU3pCOStuVDA3ZHUzTW4zMjdObTQ3Nzc3OFB6enorT29vNDdDUXc4OWhJeU1EQnh3UUtULy9zY2ZmOFROTjkrTVVDaUUvUHg4M0gzMzNaZzRjU0w2OU9tRGlSTW40dnJycjhmdTNkVmJRMFZyYUxkQlB6VTE5U0ptTmdGVWFTc09oVUt2bWFaNUtZQnU0WEQ0eW5nZGgwUTBsSm1YT3ovell5MWw1blNmei9kREE0dWpmVDdmL2JtNXViTml4clBiaUxTeC90RXdqT2VZMlEzZzFJcUtpdjhsSnllL1NVUXJMY3VhNUl5QjMrYnorVlkzOUJrMGhXbWFyenEvUkdvSWhVSzdETU40SEVCbWJMb3ppYTFYWGRjbG9rd0F2M1U2ejJ0VlZGVDBSTXljaG1SbWJzMkc0S1I2NUtrVk15YzVJN0Y2RXVzZjlvZHRLeXpMaXR2VzNyMTdkL3oxcjM5RlZsWldsZlRNekV3OCtlU1RXTGR1WFpXMi9sQW9oTm16WitPNTU1N0RZWWNkaHBreloyTHo1czJZT0hFaVJvMGFoYXV2dmhvalI0NUVSa1lHTWpJeVd1WGVSRlh0TXVqMzd0MDdCY0R0QU42M2JYdDk3TEZRS0JSeXVWdzNBL2lQYVpwUE9CMjdWWlNYbDEvcmRydDdWayszYmZzdEFHODF0bHd4QWQvd2VyMGpETU80ZzVsL3g4elR5OHZMYnpKTjg0aWtwS1JqZkQ3ZjhVcXBxd0hjcTdXZW9KUjZHOEI3aG1Fc3lNdkxhNVYxWVBQeThyWjV2ZDdmRWRGQmNRNS80UXl0clA2TUxnVHcrN3F1NjNSNnA5Y3lRcWxTUmtiRzh6R1Q2SjVnNW4vVmxiK1ovWkdJSnNRRy96anQrMERNTHdCbUxtZm0xUUJXQUZpcHRmN2M3L2V2N04zZmN3b1pkRm5jazl1SW0yNjZDWXNXTFFJQVBQWFVVM0h6dlBUU1Mvand3dzhyMi9Dam9nRy9wS1FFSDMzMEVWNTU1Ulg4OHNzdnVPcXFxM0RKSlpmZ2l5KytRRlpXRnQ1NjZ5Mjg5TkpMZVB6eHh6Rmx5aFNNR0RFQ1E0Y09oVkpLT25aYldic00rbGxaV2VNQUhCd0toUjZPZDl6bjg3MXZXZFlyUkhTMVVtcUpiZHRWQW9yVHZ2OUx2SE10eS9vdk0vOHVObzJaa3dFY29aUTZ1MXI2U0wvZlB4K1JXYnhKV3V2clFxSFFLeTZYYXlvUm5jUE1TNW41OTM2L2Z3a2lOZVZSQUU1M1J2MDgzN2R2MzVjN2RlbzBIc0Q1ekR3ekZBcWREdUNUclUwR0VnQUFGR3BKUkVGVVpuaEVOUkRSYnkzTE9wYVpENGtHTWlLNmxZalNtRG4ybDgxeHBtayt5TXpiaUdodzdEVnMyeDZ4cjg5UlNtMWc1bTl0Mno2NXZtV3piVHNmUUg3RDdxanh2Rjd2RVFBNDJwWmZQZUJYYStvcFl1WTNtWGxPUlVYRm10VFUxRzB0M0F6WElnWU9ISWpycnJzdTdyRlZxMVpWR2VJWnRXYk5HaFFXRnVMNDQ0L0htREZqVUZSVWhHSERodUhXVzI5Rmp4NlJMcGhYWDMwVlE0WU1RVTVPRG02NjZTYU1IVHNXcjcvK09oWXVYSWdQUC93UWMrYk1rYURmeXRwZDBNL056ZTJqdFg0QXdMeGdNTGlzdG54Nzl1eVprSjZlUG95SXBpbWxOdHEyL2QvNlhEOGNEajlxbW1iMVRzWC9CMkE5Z0NteGlkR09ZQUNvcUtpd1hDN1hFNFpoYkFpSHd4TU13M2lDaUVZYWh2R2FaVm0zK255K0tudU9LcVZ5bktHa0EzYnQyalVrT1RtNWEzNSsvdWI2UDRuNkk2SVVacjRLd0tWRWxBd2dHRDJtdFo1a211WlhXdXZyYmRzZTczU09nNGcyTUhPOFh3SDdQU0xTc2FOM1lvSjhHTUJlQUR1WWVRa1J2V2JiOXJ5NnJyVy82TktsQzQ0NTVoakFXWWJobTIrK3dUWFhYQU5FZnZuR1BlZUxMNzdBNU1tVE1YLytmRHo2NktQSXlzckN4SWtUY2M4OTkrRG1tMjlHdjM3OUt2TXlNeFl2WG96Smt5ZWpmLy8rZU8rOTkvRHp6eitqVzdkdXJYU0hJcXE5QlgxRGEvMGFFUmtWRlJYWDFKV3hvS0JnbDhmak9jUGxjaTBob3Y5WWxqWGE1L1B0OHg5d0lCQ29VZE8yTE90dUFPdDlQdCtNMnM1enVWekhJeEw4UDNlQzk0YnM3T3l2VTFKU2RnR1k2ZlY2SDRpNTNqVUFuZ1h3Q1ROSE81cGJKT0E3MG9qb0pwL1BOeVhha1J0N01CUUtIV0FZUnBWYVBETi83K3o3YXV5dnMxUnJ3OHhFUkxGTk4wVkVsTWZNSzRob2VTZ1VXaDRNQnJjbXVwd3RaY21TSmZENWZKVkJ2emFCUUFDOWV2VkNWbFpXWlp2L2swOCtpYWVlZWdvWFhuaGhsUm02ZDl4eEJ6Nzc3RE9NSERteWNtYXdCUHpFYUZkQjM3S3NKd0g4RHNDTjlSbjdIUXdHQzVSU0k0bm92d0QrWTFuV3RUNmY3NldXS0Jzekh3L2d1OWphdWpOYzhlSGMzTnkzVGRQY3E3VWVEd0I3OSs2ZGxaYVd0dHJuOHkxc2liSlU0d0xRZzVuak5tY2hVdE05S000aWRmbEVsR3haMXVIaGNMZ0VrU0R3VTR1WHRwVVFrZFphTDJibTE1bDVjVkpTMG1hZno3ZWpJYk93MjZLenpqb0xjTmJpR1Q1OGVOdzhoWVdGT1BUUWZlL2pIZ3dHY2VLSkoxWkp5OHJLd29NUFBvaHp6amtIQXdZTXFFd2ZPM1lzSmt5WWdJTVBQcmpKOXlDYXB0MEVmYS9YT3dIQUJBRHYrbnkrU2ZVOXo3YnRwVGs1T2FjYWh2RWVFYjJvbE9ydmpQbHZUdVIwY0g0UVRlamZ2MzltYW1ycTc0bm9UR1krbTVubkE5Z0VBR2xwYWNjejh4eWwxRnNBWHJCdCsvUFlpMW1XZFJxQTZ5b3FLaTVadVhKbGs5YXF5Y25KT1J5QVNVVC9xeTJQWVJnam1IbGRiSnB0Mnh1VlVodTAxcFpwbXNUTVR3TDRUVlBLMGxZUTBmenk4dkwrem5EYmR1VzIyMjVEMTY2UmlkYlZPMlVCWU4yNmRWaTVjaVY2OWVxRnp6Ly9ITC8vZmZ4KytiVnIxMkxIamgxUVNsV21GUlVWWWNXS0ZmanNzOCt3Wk1rUzNINzc3WlhIUHY3NFk4eWRPeGNqUjQ3RTZOR2o2L1dsSWxwR2UxbFBuNXpBOURVUlhSU3Z1Y0V3akVNUWFaT3ZzYWhhSUJCWXJMVStEc0F5cmZXTHpWMDRwVlF1RWZWazVzK2Q5OCtrcDZkdk53empYU0xxdzh3UGxKV1YzVTVFSmdEMitYenZFOUh4QUNvQXpGZEsyVjZ2OTdMbzBnRE1uTW5NSnljbEpTM056YzF0MGs3YlJQUUhBSHQvK2VXWGI2b2ZNd3pqUXVmbFdDTHFiMW5XN0ZBb2RKL1dPdHFNOWJGcG1zT2NHYXFiNnZGeExpTEtKS0kyWFZ1MmJYdDlld3Y0YVdscE9PS0lJM0RDQ1NmZzVKTlB4c2tubjR3aFE0WUFBRzYrK1diY2NjY2QyTFJwRTI2NzdUWmtaV1hoMEVNUHhZMDMzb2cvLy9uUDJMVnJGejc0NElQS01maHcydlBoRFBYVVd1UGlpeS9HNmFlZmprY2ZmUlJKU1VuNCs5Ly9qbE5PT1FYaGNCaEVoQnR1dUFIMzNuc3ZDZ29LY000NTUyRENoQW5JeTh0TDJQUG95TnBMVFo5LytlV1hzN3QyN1pvWkhUbGhXZGJ2QVZ6RHpEc0FkQVl3R3NDM0JRVUZ1K0pkSUJBSS9NK1pYRk1iOG5xOXRTMGUzcG1aRDNNQ2N4WGw1ZVh6bklsZzBGcEhhK3h2YWEyWG02WTVOeHdPS3lJNjBPMTJEMlhtUHprZHd2RDVmSGtBTHMzSnlabG9tdWF0UkhRR2dGY1JDVXB6bEZKYkFmeEhhLzJsMStzOXJiSExOQkRSSmN3OEx5c3I2Nmd1WGJxWUFJNERVS0tVT3BpWmJ5S2ljUUJ1S0MwdGZjbnRkdC92Y3JubUFyZ1d3R3dBMDVoNURvQU1JdkpWdi9iZ3dZTjdKaWNuVHdPd0E4Qk9BRU1BZEFMUXFuTU9SR1J4czFtelp0VklyNmlvd01hTkd6Ri8vbng4OE1FSGNMdmRlT3FwcDVDVGs0UFZxMWZqaFJkZXdEMzMzSU1CQXdiZzJtdXZ4WEhISFFjNDdmNEhIbmdnRGpvbzBwZC80WVVYb212WHJqanFxS093Y0dHa1ZYTCsvUG40N3J2dk1IejRjQmlHZ1JOT09BRW5uSEFDVnE5ZWphbFRwMkwxNnRYSXpjMXQ1U2NoMmt2UXg3cDE2MHJYclZ0WHVXQTRNeGNET0o4aWF5aVVNWE1Bd0xnbWZJUkJSTS9HTytDTThoZ1U3M2hLU3NvSVo1VExEOUdsaDJPYmF5ekxVZ0NlZEs2ejNwbUJXOGxwSjcraCtuVnQyLzdjNC9HYzVuSzVQZ0Z3SllENDQrMzJnWWhXYXEzZkFIQ0RZUmpuQXRqSnpOY0JHQWJnb0hBNG5Cc01CcU9qa0NibTVPVE1kMnIzc0cxN3FkZnJuVzBZeHRoUUtIUnE5V3RycmJjejg4bEVGTjJKWXk4emZ3Z2c3bEJhMFhyS3k4c3hidHc0ZlBQTk42aW9xRUJtWmliT09lY2NYSHJwcFpVMStvRURCK0taWjU1QlhsNGVIbnZzTVZ4NzdiVzQ3TExMY00wMTE5Um8yam5qakRNcVg4K2JOdytMRmkyQ1lSZ1lPSEFnL3ZTblAxWDU3SUVEQitLSko1NW94YnNWSWdGeWMzUFQ2amhNalcxcTgzZzgvWnV4bWE0bHA0NTJ5RjAyZXZmM25ONTdvSGY3VVVOUFlwOGQ0TFprOXV6WlBHblNKUDd5eXkrNXZMeTh6cnloVUlqZmZQTk5YcjkrZldWYVNVbEpyZm0xMXF5MWJ0YnlOcmR2OHIvbG9TZU40TjREY2twNjkvTzIyaklmaWRadWF2cHQzVDRtN0hDY0pSL3FKUmdNRmpTK1ZISEwwVkprQzhRMjV2enp6NjkzWHRNMGNlNjU1MVpKcTJ0U1Zld0VOdEcydEplT1hDR0VFUFVnTlgwaFdrRkZSUVZXNWE5R1dTMnpXMFhyVzdmK0I1U1ZkYncvRHduNlFyU0M0bDI3OE5UazUydHNPU2dTSnhRT29iZzQ3bUMrZGszK0JnclJnc0loYkRDVGVJc0dzSDNuemtRWHAwbFljMlZQUHdNZ28zMjAyeE5Sc2RibDYrdVJ0VjFvSDM5cVFyUmR4aUVEaGd4eXdkenZGNXB4dTNRZnQ4c1lheEFsbFZTRXA1V0ZqRFdKTGxOeklGMnhmZTMvdmxuVlVRWWJTTkFYUXRTTFVtb1lFYzF5TnJRNTI3YnRSWWt1azJnNEdiMGpoQkFkaUFSOUlZVG9RQ1RvQ3lGRUJ5SkJYd2doT2hBSitrSUkwWUZJMEJkQ2lBNUVncjRRUW5RZ0V2U0ZFS0lEa2FBdmhCQWRpQVI5SVlUb1FDVG9DeUZFQnlKQlh3Z2hPaEFKK2tJSTBZRkkwQmRDaUE1RWdyNFFRblFnc25PV0VLS0czTnpjTksxMTk5ZzBJanFRbVUwaU1nQWNxSlRxRlhzOEhBNXZDd2FEZTFxOXNLSkJKT2dMSVdvSWhVTDlUZFAwVlU4bnF0eDNhVmJNYXdDQVlSaEhBMWpSU2tVVWpTVE5PMEtJR2dLQlFKQ1pWOVkzUHpPdjl2djlOYjRrUk5zalFWOElFVStZbVdjZ0V0REJ6RFV5eEtZejg3ODd5aDZ6K3pzSitrS0l1TFRXN3dFb3JrZlc0bEFvTkxjVmlpU2FnUVI5SVVSY2htRnNBUkNvM25ZZnl6a1dDSWZEUDdWbTJVVGpTZEFYUXNUbDkvdDNBZmlLbVRXYzVweW9tR1lkQnZEVjZ0V3J0eVd1cEtJaEpPZ0xJV29UWnVabEFIYldrV2V2azZlaUZjc2xta0NDdmhDaVZ1RndlQm1Bb3VqNzZwMjZSRlJjVVZHeFBGSGxFdzBuUVY4SVVhdGdNTGdCZ0M5ZXU3NlQ1bHUxYXRXUGlTaWJhQndKK2tLSU9vVkNvZW0xSGROYVQyM2Qwb2lta3FBdmhLaFRTVW5KUW1iZVVqMmRtWXQyN05neEx6R2xFbzBsUVY4SVVhZkN3c0l5SW5vajJzUkRSQ0FpTVBNNzY5YXRLMDEwK1VURFNOQVhRdXhUT0J4K2c1bkxvKytkMTNNU1d5clJHQkwwaFJEN1ZGSlM4ajJBMVRHMS9XOU4weXhJZExsRXcwblFGMExzazlaNkY0QVYvS3NWRlJVVlB5ZTZYS0xoSk9nTElmYXBzTEN3ekptRXRSZEFPVE12azdYejkwK3lucjRRb2w2STZFdG5vbGE2MW5wcG9zc2poQkNpWlpGU2FvRlNhb1cwRXV5L3BLWXZoS2d2QnZBR0VhVUMwSWt1akdnY0NmcENpSG9yS1NsNU45RmxFRUlJSVlRUVFnZ2hoQkJDQ0NHRUVFSUlJWVFRUWdnaGhCQkNDQ0dFRUVLSWVyRXNhNVJsV2JlMndrZVpUVGkzMlNaNktxV3U5SGc4aDlWMjNPdjEvcVdWbmtlN0pPdG5DTkgyRFdQbWkxcnlBN3hlN3hGS3FXK1ZVbjlxNkxtV1pRMVhTbTNJeWNucDE5UnlEQmt5NUhBaW11cHl1U1pFMHdZTkdwUVZtOGN3akxOYStubTBaN0lNZ3hEN29aeWNIR1VZeGhmeGpoRlJnYy9ueTIzSTlVelRYTWZNTzVuNU5ZL0hZd1dEd2JYMVBYZlBuajByMHRMU1lCakdJd0JHeHg3THpjMU4wMXAvWDl1NXUzYnQ2bFZZV0ZnV2ZaK1VsSFNXOC9LdGFKcmI3VjVnV2RZT244ODN2Q0gzSk9LVG9DL0Vmc2d3REpPSTBwbDVKb0RWTVlmR0FFaXY3VHlsMUZobTdsRTlQUndPd3pBTUh4RU5jcmxjNDd4ZTc5WjQ1ek56bnRiYTczSzVMcWgyYUJXQTN5cWwvaFpOSUNKZFVsSXlNeVVscFNlQUR3QjhIWE9kOFVUVXRYUG56cnJhOWM4RnNNRzI3U1VBTUhqdzRKN003QVh3UW4yZmphaWJCSDBoMmlETHNqek1uSTFJSU93SG9JdFNhb3h6T0JqTng4eHYrdjMreWtYUWxGSmVBSVBydVBSTmhtRU1adVlhRzVvek00Z29CY0N0UkZUYkJpbFRETVA0Q2NBZHRSeVBUUThCbU9sY2U2NXQyeThnVXZzZndNejNNdk1iUHArdklwclo0L0gwSjZMam1mbVI2Q3FlU1VsSnB4SVJNZk84T3U1Sk5JQUVmU0hhSUdZZURlQm1SR3JNS2N4TUFLWTY3eDlnNW9WTnVQYTd0bTJmRysrWVpWbXptSG13YmR0MWZYRUFRRyt2MTNzUkVYV3piWHRTVExxaGxKckx6Qy9hdHYxZWRuWjJSdlVUdGRZM09QOS9PRGJkTk0zTG5mUVBZNUpISUhMUDA1UlNZYWY4WFlqSVZFcHRqajJmaUNiNGZMN1o5WGdFSFpvRWZTSGFJTnUyN3dOd0h5SzE5d0lBSmJadGU2UEhsVkpISnJTQWtTYW12c3g4cDhmaitUZ1lEQlk0NVRxZmlFWXc4MHZ4emhrd1lFQTNJcnFFbVdjRkFvRnZvdW5PbDhOZkVBbitJZWRhM1lsb0ZETi9Ua1R2UkRkbForYS9PSUgvc2Rock0vUEtGcjdsZGtHQ3ZoQnRtTmZyUFlLSStqRnpJTkZscWE2NHVQaWZtWm1abDdsY3J1Y0JESGZpeVFNQVBvaHRjb3FWbXBwNkE0QWtJcm8zTnQzdGRsOU5SRm5Wc284RGtFSkVmL2Y1ZkpXL2JDekxPcG1aRC9INWZFKzMxTDIxWnhMMGhXakRpR2hzOUxWbFdWZHYzYnAxK29ZTkcwcWFlbDJsMUZTbjA3YzZ0OU5Fc3p2T3NkMjJiUitvbERxT21mczdhWjhEMk9MMWVpOGpJb3VJamdBdzArdjFYb1pJN1h0RjlPUytmZnQyQW5BdGdMaytuNjh3bXA2ZG5aMUJSTGNBS0FHUTZ1UjFBeGpQeklXMmJYL2ExUHNWdjVLZ0wwUWJsWnVibTZTMXZoekFaaUxxQWVDaDd0MjdYOUt6Wjg4L2FoMFo5RUpFamRxMmtKbG5HNGJoajBsS0JmQXdNMjhHa0VGRW1WcnJmeHFHRWR0dVh1NzgvMDlFZEVuTXRSRFQ5UElUZ0t0aTN0OFV6VmRZV0xoSEtUV2RtYSt6TE90R244LzNGQ0sxL0xzQkhBamdZUUFUQVNBNU9ia3JnTDFPRXc0MzVoNUZmQkwwaFdpam1Qa0tBRjJZK1EwQVIybXRMemROODFPdDlXUm1mb0dJd016RkRia21FYmtCaEd6Ym5nOWdmalRkc3F5SG1QbExJdHJFeklPWmVSa1I5Zkg1ZkhkWHY0WnQyM2NDdUxNK241ZWRuWjFobXBVVGZjTzJiVTlRU3BVdzh4T1daZVg3Zkw1UGlPZ3FBTzhBcUp4M2tKK2Z2OW5qOFJ5N2QrL2VuUTI1UDdGdkV2U0ZhSU95czdNem1QbHVBTk9KcUp5WkVRZ0ViSS9IY3hxQXRTNlg2eGhFT2xOL2FlQ2xPd09vRWtpZDVwcWJ0ZFlubTZaNUxTTGo5dTh6VFhPMVV1clB0bTIvVWYwaWd3WU55a3BPVHE1enNwUnQyMi9Wa242blpWbW5BSGdJd01kYTYrbk0vSVJwbWtPaWVYSnpjdzhOaDhQRE16SXk0UFY2cTV6UHpJY1FVVmEwQ1NtVzMrOS90WDZQb2VPU29DOUVHK1IydXljU1VVOGllb0tacjR1bUI0UEJaWWgwOEhZekRBUGhjUGpuQmx6V0FOQlZhNzBqbXBDVGsvTWJJbnFMbVY4S0JBS0xMY3U2MXZtY0RVcXBDVVQwc3RmclhlLzMrNytzVnI1K0FONEVVTUxNMVp1WVhNNHZpcVJheXNFQVhnRXdXU25WM2JidFd3Qm95N0lxZ3o0emU0am8yWGduUjRldzFuSmNndjQrU05BWG9nMWk1bDhBVFBMNWZHc3N5NnB4bkloeW1YbHJJQkQ0cWJacjlPM2IxNTJabWZtU1lSZ1A1T1hscmJFc3F6K0FGQUNGY0FLK2Faci9CVkJrR0VhTnlWYTJiYitzbERxSmlENzJlcjNuK1AzKytkWHphSzJQOS92OXNYMEQ4SHE5VnhIUi85VjFmMXJyTGM2WFZoYUFvdXJIZlQ3ZlhBQTF4dmdqMGhRMUY4QWhzVU5ZUmYzSmdtdEN0RUdtYWI1YVZGUjBUMjNIaWVpRTJEYndlRkpTVW5vUTBWaG1QZzZSUUhzMElsOG9YM3M4bnY2bWFTNWk1b3hRS1BUSHZMeTh2Zkd1VVZaV2RqbUFaWVpoZkdCWjFvMEFxT2wzQnhEUmNBRGhVQ2hVNjVlV2FCbFMweGVpRGNyTHk5dFcyN0djbkJ6bExMWHdWRjNYU0U1T2pxNnhzeEdSUUhzUmdHMkdZUnhPUkM4RDJLTzFQaVVZREc2bzdScjUrZm5sL2Z2M0g1V1dsdllPRVQxcFdkWnhQcC92L0ViY1VsL0xzallDMk1UTXFVUTBFTURyK2ZuNThZYUdpaFlrUVYrSS9ZeGhHUGN6ODRheXNySVoxWTg1UXpoVEVhblI5eVlpVkZSVXJCc3laTWdRQUNkcHJaOHhER00zTTY4Tmg4T2o2ck9hWmtGQndhN2MzTndSV3V0bmlHaGF0YktjNlBWNmUxZExxOUhzUWtUckFBU1p1U3VBclFCbUZ4Y1gvN1BSRDBFMG1nUjlJZllqbG1WZERlQlB6SHhWZm41K2VmWGp6UHdERVoybmxIb1hRQTZBVFN0WHJseHJXZGJuekZ4aEdNWnp6c1NvVHhveS9qMHZMNjhDd1BnNGg1NDBqSDIzRWpOenlMYnQwK3Y3ZWFMbFNOQVhZai9oOFhqU25jbEx6OW0yUFMxZUhxMzFVNFpoWkFNWUJHQmJPQnkrS3hKeitXa2lHaEF6RTdaSkU1NUNvVkM1YVpwYnROWW54YTZoZzhnUTBEOERrRWxWUWdqUlZBTUdET2pXeEcwTjJ6S1NpcWdRUWdnaGhCQkNDQ0dFRUVJSUlZUVFRZ2doaEJCQ0NDR0VFRUlJSVlRUVFnZ2hoQkJDQ0NHRUVFSUlJWVFRUWdnaGhCQkNDQ0dFRUVJSUlZUVFRZ2doaEJCQ0NDR0VFRUlJSVlRUVFnZ2hoQkJDQ0NHRUVFSUlJWVFRUWdnaGhCQkNDQ0dFRUVJSUlZUVFRZ2doaEJCQ0NDR0VFRUlJSVlRUVFnZ2hoQkJDQ0NHRUVFSUlJWVFRUWdnaGhCQkNDQ0dFRUVJSUlZUVFRZ2doeFA3Zy93TXFEYkYzK2xrN0xBQUFBQUJKUlU1RXJrSmdnZz09IiwKCSJUaGVtZSIgOiAiIiwKCSJUeXBlIiA6ICJmbG93IiwKCSJVc2VySWQiIDogIjUxMTI0NDM0OSIsCgkiVmVyc2lvbiIgOiAiMTMxIgp9Cg=="/>
    </extobj>
    <extobj name="ECB019B1-382A-4266-B25C-5B523AA43C14-3">
      <extobjdata type="ECB019B1-382A-4266-B25C-5B523AA43C14" data="ewoJIkZpbGVJZCIgOiAiNDU1NzYzODU4ODkzIiwKCSJHcm91cElkIiA6ICI1OTM5NzQyOTEiLAoJIkltYWdlIiA6ICJpVkJPUncwS0dnb0FBQUFOU1VoRVVnQUFBVndBQUFIYUNBWUFBQUJNLy9IcEFBQUFBWE5TUjBJQXJzNGM2UUFBSUFCSlJFRlVlSnpzM1hsOEUzWDZCL0RQTXpQcEJZVUNvb0NvVlVET3RwbFVVQlE4VUdGUllaV2Y5d3FyQ0s2SzY2NEM0aXFLYUdWVlpCZkZDd0hsc3Q2TGlDS2dvc0M2bkUzU0ZGcVFBdVVRS0dkcG9WZVNlWDUvNURCdDAxS2dKRzM2dkY4dlhqWXozNWs4VTl0UHYvbk9kMllBSVlRUVFnZ2hoQkJDQ0NHRUVFSUlJWVFRUWdnaGhCQkNDQ0dFRUVJSUlZUVFRZ2doaEJCQ0NDR0VFRUlJSVlRUVFnZ2hoQkJDQ0NHRUVFSUlJWVFRUWdnaGhCQkNDQ0dFRUVJSUlZUVFRZ2doaEJCQ0NDR0VFRUlJSVlRUVFnZ2hoQkJDQ0NHRUVFSUlJWVFRUWdnaGhCQkNDQ0dFRUVJSUlZUVFRZ2doaEJCQ0NDR0VFRUlJSVlRUVFnZ2hoQkJDQ0NHRUVFSUlVUnVxMld4T3FNc2Q2cnIrbks3cmo5ZW1yZGxzdmxYWDlka0FsTHFzb2JHVGI2WVE5WkRaYkI1QVJQdDFYZTlXeTAxSTEvWFdack81cDhWaXVjdHNOcHVyTkNDNkdVQy8ydXhNVVJRekVmMVpNcUp1YWVFdVFBaFJsYUlvOXdQSXMxcXQyWUhMZFYyZkM4QUVJQXBBTXdBSlJIUWVNNTlIUkZGRUJIakNkU0dBVzhOVnZ3aE9BbGVJZWlZcEtha0ZNdzhtb2k4c0Zzc2ZBTUF3RExmZGJ2K2VpTzRGNEFDUXk4eS9BY2hoNWdKbVBzek1oNGdvM3pDTWZZWmg3QTMzY1lpcUpIQ0ZxR2MwVFh1Q2lLSUIvTW43RDBSVUJpQUdudkI5MDI2M3o2N052cEtUa3k4bkloTUFNSE04RVpXbnBLVDBnYWNYdmQzbGNzVVFVVnpsN1pqNVhDS0NydXZkM1c2M1cxWFZJcHZOdHJQT0Q3YVJrY0FWb2g1SlNrcTZoSWpHQW5qV2FyVytGckNLVDJkL21xWjlDNkJWNERKVlZWZDV2M3pDWkRMZERlRHk2clluSXJ1bWFRQ3dGTUFmVHFjRzhUc0pYQ0hxRVUzVC9zWE1oeFZGbVFyQUZhd05FWFd3V0N4WDFMUWZxOVc2eHRzMnllbDBxcXFxZGlhaUh3QXNkYmxjSXdEQTVYSVZtRXltNzFWVmphKzArWDBBUnNIVG0rNmpLSXFiaUFycTdpZ2JMd2xjSWVvUklySXg4MkhETUE3b3VoNjRmSkxWYXAzay9YbzhnUEVuMnhVQVpHUms3SVBuWk51ZjRCa3FLSFU0SEhzQzJtMEszQ2cxTlRXT21ZY3dzMEZFaXQxdVgxdGQ4SXRUSjFNK2hLaEhyRmJyUzI2M2V3SVJqU2FpSmdEZUF6REM1WEo5N1d0akdNWkRBSjRFc09YSWtTT3hnZjhBekdibTNDQzdIdWI5NzZVV2k4VnFOcHM3Qlh0L1puNENRR3NBbjUyMWcyekVKSENGcUY4TWg4T3hwN1MwZENFOEFmaGZtODMyaWNQaDJCalF4Z2xnQTRDT3JWcTFVdkx5OGtwOS81aTVGNENWZ1R0TVNVbTVqb2c2QWRnTzRDQUFUVkdVbFNrcEtkMEQyM25uL0Q3THpET0phRXVvRHJneGtjQVZvaDd4WHJ5UUdCVVZkUUU4TXduT05adk5pV2F6T1RIdzkvWEFnUU1iQUpRYmhuR0RiMWxxYW1vSEl1cEdSTjhFN2xOVjFZbk12TWdidGtkTFMwdjdBemlocXVyUHFhbXBYUUNnWThlTzBRRFNBWnh3T3AwdmhQYW9HdzhKWENIcUVTS2FwaWpLRGtWUjFua1hUZmUrM3BHU2t0SVdnRXBFN2oxNzlwUXdzMjllTHVEcERROWw1cU9scGFYZitwWlpMSmJiQVBRMURPUGZ2bVhaMmRuN1hTN1hqY3o4NWJGangzWUFRSHg4L0R0RWxNTE1EMjdjdURFL3hJZmRhTWhKTXlIcUVaZkxOUVpBbXFxcXJZam9aMmIrbTl2dFhnNVBHQU9lWUQzaWZUMFR3SUxVMU5RT3g0OGZQOERNZndVd0xUczd1eHllSG05end6RGVBdkJ6Wm1ibWZ5MFdpLzk5SEE3SERnQVB3M01aOGF0RU5KeVozN0xaYkY5WFU1cW9BOUxERmFJZWNUZ2NleHdPeDhheXNySXQ4SVRyTG9mRHNkSGxjdjFLUk8zZ09XbDJDSjRUYk44QTJNVE03emRwMG1RS0FEY3orM3V5VHFmVEJjQkVSR09xZXorTHhmS0NvaWhQTWZOQ204MzI5OUFjWmVNbFBWd2g2cm1VbEJSZFVaU3BSUFM1ZDRxVzd3UWF1OTN1a2FxcS9nOUFQMmErMVc2MysrZkxPaHlPRThuSnlmMHFuWEFEQUhUcjFpMHFPanA2Sm9DaHpQenowYU5IN3diZ0R1bUJOVUxTd3hXaUhpT2k2MVZWWFFIZ0JETVBCSkRoY0RoT0JLeS9qSm5KKzNVL0FHcmc5c0hDRmdCaVltTEdFdEZRQUo4ZlBYcDBZRjVlWG1rSURxZlJreDZ1RVBXUXlXUzZFSjRRZll5WlAzQzczYStwcXBvTjRHL3d6Q3BvRmg4ZlA0MkloaG1HOFJxQTN3Qk0xWFc5azl2dHZ0L2hjQnlvYWYrbHBhV1RvNk9qRDl0c3R1blZYRGJjM051YmxsNXZIWkxBRmFJZUlxTEI4SXpodm1LejJaNjFXQ3lMbWJtQWlPWlpMSllIQUV3Q2tNRE1JK3gyK3l4NFRuNGRVeFJsbHFxcVd5d1d5M05XcS9VZEFFYXcvWHRQckwzbmUyMnhXTVl5ODZWRWRJS1o0d0hjdzh3YlQvY2VEaUk0Q1Z3aDZpRlZWU2U2M2U2dGRydDlUbEpTVWhJejN3amdBY013bmllaUp3R3NCZERQWnJQbCtMYXgyKzF6ekdielRpTDZ4SHVqOFhkcSszN00zSktJUm5oZkdzeThtWWdlT1NzSEo0UVE5Wm11NjljRFFPZk9uZU4xWFIvcXUxZENOVzNiSlNjbk56bk50MUxrM0k0UVFnZ2hoQkJDQ0NHRUVFS0l4cWphZ1hjaFJJT21kdXpZc1FrQTVPYm1Gc3ROeE9zSHRSWnRoQkFOak1WaTZSSVZGZlZtVEV6TW5lZWRkOTZ2Ky9mdmw2ZjQxZ015RDFlSUNPUnl1WnBwbW5ZbE04Y29pdEl5M1BVSUQ1bHZKNFFRSVNLQks0UVFJU0tCSzRRUUlTS0JLNFFRSVNLQks0UVFJU0tCSzRRUUlTS0JLNFFRSVNLQks0UVFJU0tCSzRRUUlTS0JLNFFRSVNLQks0UVFJU0tCSzRRUUlTS0JLNFFRSVNLQks0UVFJU0tCSzRRUUlTS0JLNFFRSVNLQks0UVFJU0tCSzRRUUlTS0JLNFFRSVNLQks0UVFJU0tCSzRRUUlTS0JLNFFRSVNLQks0UVFJU0tCSzRRUUlTS0JLNFFRSVNLQks0UVFJU0tCSzRRUUlhS0Z1d0FoeEpsSlRVMk5Nd3lqZGVBeVptN0x6Q29SS2N4OG5xN3JGd1d1ZDd2ZGh4d094NG1RRjl2SVNlQUswY0M1WEs3T3FxcGFBNWNSVWVEWGN5cHZveWhLTHdEclExU2k4SkloQlNFYXVNek1UQWN6WjlXMlBUUG4yTzEyYXkyYWlqb21nU3RFdytkbTV2bndoQ21ZdVVxRHdPWE0vQmtBZCtqTEZCSzRRa1FBd3pBV01uUEJ5ZG94ODNHWHkvVk5hS29TbFVuZ0NoRUJGRVhKQjdBK2NPeTJNdSs2YkxmYi9Wc29heE8vazhBVklnTFk3ZllpQUN1WjJZQjNDTUVuWUNpQkFkaHljbklPaGEvU3hrMENWNGpJNENhaURRQ08xZENtR01BdkFKd2hyRXNFa01BVklrS1VsSlJrQWpqb2UxMzVCQm9SRlRMenFuRFZKeVJ3aFlnWU9UazUrd0JZZzQzamVwZFo3WFo3WGpocUV4NFN1RUpFRUpmTE5iZTZkWVpoekF4dE5hSXlDVndoSWtoSlNjbHlaczZ2dkp5WkR4WVVGQ3dKVDFYQ1J3SlhpQWlTbTV0YlJrUWYrNFlWaUFoRUJHWmVrSmVYVnhydStobzdDVndoSW96YjdmNlltY3Q4cjVtNUhNQVg0YTFLUUFKWGlNaFRVbEt5SFVCV1FDOTN1NnFxVzhKZGw1REFGU0xpR0laUnhNeXIrSGVaVHFmemNManJFaEs0UWtTYzNOemNNbVplNjczUW9kd3dqTFZ5Nzl2NlFlNkhLMFFFSWlLcjl5S0lKc3k4SXR6MUNDRkVKQ05kMTMvUWRYMjlmSkt0UDZxL3RaQVFqVlM3RGowdWlESnBIY0pkeDVtS2k4Sk5Damo2ZURrdENIY3RaNktzckd6SHZoMDVPOE5kUjEyUXdCVWl3UGtkazl1Yk5Kb0hRcGR3MTNMbTJQdjdUVlh2U042dzdFSUozWldYMS9BdlM1WXhYQ0VDbUlEMklIUWhVSnU0MkZpb21ocnVraG90dDh1Tmt0SlNHTXd4aUVFaUFBbGNJU0pSWEd3c25ueDhGTHAxN1J6dVVocXQ3Snd0bVBidSt5Z29MQXgzS1hWR0FsZUlJRlJOUmJldW5YRkZyOHZDWFVxalpqS1p3bDFDblpLemwwSUlFU0lTdUVJSUVTSVN1RUlJRVNJU3VFSTBFaE1uVHNTS0ZiVzc2T3p0dDk5R2VucjZXYStwc1pIQUZhS1JXTDU4T2JadjMxNnJ0cXRYcjRiTlpqdnJOVFUyTWt0QmlIcGt4WW9WdGU2Rm5zd3p6enlELy96blAramZ2ejhTRWhJcXJGdThlREV1dnZoaWRPM2FGY3VXTGNNRkYxeUFybDI3MXNuN2l1cEo0QXBSajJ6YnRnMUxseTZ0ZG4xcGFTbUlDTkhSMFNmZDEvang0ekZ6NWt5VWw1Zmp2dnZ1OHk4dkx5L0hLNis4Z252dXVRZGR1blRCWjU5OWhweWNITHowMGt2bzE2OWZuUjJMcUVvQ1Y0aDZaUGp3NFJnK2ZIaTE2M3YyN0FtejJZd1pNMmJVYW4vWFgzODlGaXhZVUNGd1Y2OWVqUk1uVHVDV1cyNEJFZUd0dDk3Q2hBa1RNSGJzV0l3YU5hckc5eGRuUmdKWGlBaDIvZlhYNDdQUFBrTldWcFovMlRmZmZBTmQxM0hCQlJjQUFHSmlZdkRQZi80VHpabzF3NEVEQjhKWWJlU1R3QldpQVNvdUxrWmNYTnhKMittNmpxU2tKSlNYbHdPZTU1dGg5KzdkR0Rac1dJVjJpcUxnMldlZmhjdmxPbXMxQ3dsY0lScWNrcElTM0hmZmZVaE1UTVRvMGFOeC92bm5WOXRXVlZYTW5qM2IvNXFJOFBISEg4TXdEQUNBMCtuRWdnVUxNR1RJRUdpYUJrMlRTRGliWkZxWUVBMk1ZUmhJU1VuQmloVXJjUHZ0dDJQNjlPa29LeXVyMG03Ly92MjQ2cXFyL1ArT0h6K085OTU3RDMzNjlNSFZWMStOZi8zclg5aThlVFBlZU9NTkRCMDZGRHQyN0FqTDhUUW1FcmhDTkRCTm1qVEJoQWtUOE1FSEgrQ0NDeTdBKysrL2p6dnV1QU9yVjYrdTBLNTU4K1o0L3Zubjhmenp6K08yMjI0RHZHTzZ2bVVEQnc1RVVsSVNQdnJvSXppZFRnd2RPclRPcHFTSjRDUndoV2lnVWxKU2tKNmVqb2NmZmhqNStmbDQ3TEhIOE54eno2R2dvQUFBRUJzYml3RURCbURBZ0FIWXZYczNBT0NDQ3k3QXVlZWVpd0VEQnZqbjNTWW1KbUxPbkRtNCt1cXIwYTVkdTdBZVU2U1R3QldpQWRNMERTTkhqc1Q4K2ZQUnFWTW5MRjY4R0dscGFSWGE3Tnk1RTZ0WHI0YXFxbGl4WWdVZWZ2amhLcjNoSmsyYVlOS2tTZWpVcVJOY0xoZGNMaGVPSERtQ3hZc1hZOWFzV1ZpMmJGbUlqeXd5eVFpNUVCR2dVNmRPbUR0M0xtYk1tSUU3N3JpandycVpNMmVpYjkrKzJMQmhBd1lNR0lDREJ3OWl6Smd4ZVB2dHQ3RnIxeTVzMjdZTisvZnZSMzUrUHZidDI0ZkRodytEMmZOVW5rMmJOcUZObXpZWVBIaHdtSTRzc2tqZ0NoRWhvcUtpTUdyVXFBckxWcTVjaWNXTEYyUDI3Tm5Zc0dFREFHRDA2TkZ3dVZ5SWpZM0ZUei85aElNSEQ2Sk5telpJU2twQy8vNzkwYVpORzd6MTFsdElURXpFbENsVFFDU1BQcXdyRXJoQ1JLaGp4NDRoTFMwTi9mcjFRMUpTa24rNXFxcDQ1cGxuQUFELy92ZS9nMjc3d1FjZlFGVlZDZHM2Sm1PNFFrU280dUppTURPZWV1cXBjSmNpdkNSd2hZaFFiZHUyeGR5NWM5RzZkZXR3bHlLOEpIQ0ZpR0J0MjdZTmR3a2lnQVN1RUVLRWlKdzBFNklCV2I5Ky9XbHZleXBYa2MyZlAvKzAzMGRVVDNxNFFnZ1JJaEs0UWdnUklqS2tJRVFRYnBjYjJUbGJ3bDFHbzVhZHN3Vk9welBjWmRRcENWd2hnaWdwTGNXMGQ5K0h5V1FLZHltTmx0UHBSR0ZSVWJqTHFGTVN1RUlFTUlnUEtLQjlCbk5NUVdGaHVNczViV3d3Zk5lSU1RQlNHdkFWWTh6NTVjejd3bDFHWFdqQS94ZUVPQ3VVQ3p0Mjc2Sm9wblBEWGNpWmlGTHB3aGdUUDZnUW1VckxqRG1sQmpYWThSRTNHWWQyNXppeUFSamhydVZNU2VBS0VZR1NrNU12MXpUdEsyYU9JYUs3clZacjljOWVGeUVqc3hTRUVDSkVKSENGRUNKRUpIQ0ZFQ0pFSkhDRkVDSkVKSENGRUNKRUpIQ0ZFQ0pFSkhDRkVDSkVKSENGRUNKRUpIQ0ZFQ0pFSkhDRkVDSkVKSENGRUNKRUpIQ0ZFQ0pFSkhDRkVDSkVKSENGRUNKRUpIQ0ZFQ0pFSkhDRkVDSkVKSENGRUNKRUpIQ0ZFQ0pFNUNHU1FqUndxYW1wY1laaHRBNWN4c3h0bVZrbElvV1p6OU4xL2FMQTlXNjMrNURENFRnUjhtSWJPUWxjSVJvNGw4dlZXVlZWYStBeUlncjhlazdsYlJSRjZRVmdmWWhLRkY0eXBDQkVBNWVabWVsZzVxemF0bWZtSEx2ZGJxMUZVMUhISkhDRmFQamN6RHdmbmpBRk0xZHBFTGljbVQ4RDRBNTltVUlDVjRnSVlCakdRbVl1T0ZrN1pqN3Vjcm0rQ1UxVm9qSUpYQ0VpZ0tJbytRRFdCNDdkVnVaZGwrMTJ1MzhMWlczaWR4SzRRa1FBdTkxZUJHQWxNeHZ3RGlINEJBd2xNQUJiVGs3T29mQlYycmhKNEFvUkdkeEV0QUhBc1JyYUZBUDRCWUF6aEhXSkFCSzRRa1NJa3BLU1RBQUhmYThybjBBam9rSm1YaFd1K29RRXJoQVJJeWNuWng4QWE3QnhYTzh5cTkxdXp3dEhiY0pEQWxlSUNPSnl1ZVpXdDg0d2pKbWhyVVpVSm9FclJBUXBLU2xaenN6NWxaY3o4OEdDZ29JbDRhbEsrRWpnQ2hGQmNuTnp5NGpvWTkrd0FoR0JpTURNQy9MeThrckRYVjlqSjRFclJJUnh1OTBmTTNPWjd6VXpsd1A0SXJ4VkNVamdDaEY1U2twS3RnUElDdWpsYmxkVmRVdTQ2eElTdUVKRUhNTXdpcGg1RmY4dTArbDBIZzUzWFVJQ1Y0aUlrNXViVzhiTWE3MFhPcFFiaHJGVzduMWJQOGo5Y0lXSVFFUms5VjRFMFlTWlY0UzdIaUdFaUdTazYvb1B1cTZ2bDAreTlVZjF0eFlTb29GcmUzSFhpNktqb3k4T2R4M2hFaGVGbXhSdzlQRnlXaER1V3NLQjJkaTVjNHRqUjdqckNDU0JLeUpTWXFJNUViSDhLWUFMdzExTCtMRDM5NXVxM3BHOEVTREdRYWZUTldUUHRrMjU0YTdGUjhad1JXU0tRU0pBbHlwRUNiR3hzVkJWK1ZUZFdCaHVBOFVsSlREWVNOQTB0U01BQ1Z3aFFxRlpmRHllZlB4UmRPcllJZHlsaUJESjI3a0wvM3J6SFJ3OFZQOXUreXVCS3lLYXlXUkNqMjVkb1p1VHcxMktDSkZtOGZHSWpvNEtkeGxCeWVjc0lZUUlFUWxjSVlRSUVRbGNJWVFJRVFuY2FpUWxKYlVJZHcyaWZpZ3RMVVZXVmhhT0hhdnBjV0ZuYnMrZVBUaCsvUGhaZlk5UU9uNzhPSDc0NFFlY09GSDlWY1dIRGgzQ2tpV041emE5Y3RLc0dwcW1PU3dXeTVkV3EvWHZsZGYxNk5IalBNTXdnczVoenM3TzNsOTVXYmR1M2FKaVltSldNdk40bTgzMkF3QjA3OTY5WlhSMDlLVzFLT1dRMVdvTk9xMUYxL1UzQVhSbDVqdnNkbnRCNWZVcEtTbmRGVVg1cDJFWUV6SXpNMjIxZUM4UnhKNDllM0QvL2ZmajFWZGZ4UTAzM0JDMERUT2p0TFFVaHc4ZnhyNTkrN0IvLzM3czM3OGZCdzRjd0pneFl4QWRIVjNqZXh3NGNBQkRoZ3pCeUpFak1YTGt5TE4wSkNmMzRvc3Y0cUtMTHNLZi8veG53UE1FQ2VUazVKeDBPMDNUMExWcjF3ckxmdnZ0TjR3Yk53NWZmdmtsbWpScEVuUzdSWXNXNFoxMzNrSFhybDF4MFVVWDFkRlIxRjhSRTdnV2kyVUNNOGVlenJhR1lTelB6TXhjNW51ZG1wcDZJVE8zWitiL0Jtc2ZGUlgxR3dDMW10MVZDZUxpNG1JbEppYm1jZ0RuQk95akg0RFBhMUhlcHdEdXJyd3dOVFgxUXNNdy9rSkV5MncyVzVXd0JRQkZVY1lER0tDcTZwTzFlSjk2SVNrcEtUVXJLOHNPd0IzdVdtcVNrNU9Ec1dQSG9xU2tCS1dscFNndERYNXY3NlpObStLR0cyN0E1WmRmanUrLy94NkdZVlM3ejBzdXVRU2ZmUElKTHJ5dzVtczFycnJxS2pSdDJ2U01qeUdZYmR1MlFWVi8vOUUrZnZ3NDdyLy8vcE51MTdKbFMzei8vZmMxdG5HNzNUaDY5R2lGWlRmY2NBTSsrT0FEcEtlblYvbERFeE1UYzlhT00xd2lKbkNaZVNTQWhDQ3JURVFVQmFDWUF4OWhHa0JSbEJNQS9JSEx6RU84WDE1b05wc0RmOXErQ3VoSlRnV3dOR0RkSUFDUG5rYmRpY3djOUxNcUVYMFY3SUdBOFB5UmVONzc1UlBCMXB2TlpqT0F1d0M4V2wwUHVUN1NORzJaeFdMWmF4aEd1cUlvWHptZHp2MVpXVm1GOVMyQVMwdExzVy9mUGd3ZVBCaUppWW1JalkxRjA2Wk4wYXhaTXlRa0pLQkZpeFpvMWFvVlltSmkvTnVrcGFXaHJLeXN5cjVjTGhmZzdTVUN3TFBQUGd0bWhzbGtDdnJlNmVucElRK2lsMTU2Q1gzNzlnMjZidTdjdWZqcXE2OU91bys5ZS9maTFsdHZEYnJ1aXkrK3dCZGZWTHhIK2gvLytFYzgvL3p6UWRzM1ZCRVR1RGFiclgydzVicXVQdzlnSWpOM3N0bHNlMnU1dTZFQW5BQmVEQXc4SWxvTDRCZ3pFeEU1ckZhcmYvREpZckYwckx5VHhNVEVtSVNFaERZRkJRWCtZWWFrcEtSTG9xS2lYTDZlRGpPZnE2cHEwSjY1WVJoQkp4T21wS1RvUlBSblpwN3NDMU96Mlh4VFFVSEJjdDlqVkJSRm1RSmdOeEc5NVAwK3REWU1vMFZtWnVhdnRmd2VoQXNCNktFb3lpUm1IcTlwbWszWDliWE12RVpWMWJVWkdSbTdRbFhJMXExYmNlellNZXpkNi9teDJiNTlPelpzMklDRWhOLy9ydDk4ODgyNDdMTExhclcvRlN0K3YybVh6V1pEaXhZdGtKaVlpQ2VmZkJMRnhjVjQ3NzMzQUFCang0NUZRVUVCWnN5WWdheXNMTFJ1M1JwdDJyU3A4K1B6Y2J2ZHlNL1B4N25ubnV0ZlZsQlFnTU9IRDZOVnExYUF0NmQ3K0hEd1crcVdsSlJVZUwxeDQwWnMyclFKQnc0Y0FBQXNYcndZclZxMXdpV1hYSUxYWDMvZDM2WkhqeDVWOXJWNTgyYTBhOWNPelpvMVE3dDI3ZXIwT091RGlBbmNHclJpWmxZVTVXQnRHdXU2ZmowQUM0QkJOcHZ0bThycms1T1R6eVVpeFh2cnV4b2xKQ1RjUlVSVEFiVDFMZE0wTGMwd2pDWUE1c0VUak91cTZYajdIbTFkT1dCVVZWVm5Ndk9PZ3djUHZnUlAyRjVKUk4rMGFOSGl2Ynk4dkVjdEZzdDlBUG9aaG5HTDNXNHY5bTczdXFJbzkrbTZickhaYkptMStWNkVHeEhGQWJqSys2L0FNSXlERm92RkRtQ2V5K1ZhZnJidjhmcldXMi9odi8vOWZWUnArdlRwQUlCcnJya0dRNGNPUGUzOXJseTVFdVBHamNQbGwxK09xVk9uMXRoMnlwUXB5TTNOeGFPUFBvcTc3cnFyd3NmOXVuTGd3QUVNR2pRSUgzLzhzWC9aOHVYTE1YWHFWSHo5OWRjQWdGZGZmYlhHZmJSczJkTC85YnAxNnpCcjFpejRmcTQvK3VnakFNQ0REejZJNGNPSEl5Y25CMlBHak1FLy92RVAzSDc3N2Y3dGlvcUs4TW9ycjZCVnExYVlQMzgrRkNYeXp1azNoc0E5SDhDK2pJd01aeTNhRW9CSkFEWmJyZFp2Z3pWUUZPVUdlRDRHYnFxMGl1RTlRWmFkblYzdWJac1BJQ0VtSnNaL3hvQ0kyak96UC9EY2JuZG5wOU5aR095OVltSmlQcXU4VE5mMXNjeXNBN2gyejU0OUpaNWQwaHRFbEY5Y1hQeGNqeDQ5TG1EbU40bG92dDF1L3hiZVFBWXdsSWptV0szVytoNjJETzlKcUVvU2lDZ0JRQ2NBZDZpcW1xL3IrcWZNL0JrUi9WcFVWRlNZbTV0YjlmUDZHWGpsbFZmZ2NybXdZOGNPUFBEQUE1ZzRjU0t1dWVZYWFKcUd6WnMzbjlZK1AvLzhjMHllUEJtOWV2WENLNis4Y3RMMjc3NzdMbDU3N1RWTW1USUZ5NVl0UTFwYUd0cTNEL3BoN3JUNXdqSS8vL2VIL2VibjUxZm9WVStZTUFGWFhubGwwTzNUMDlPeGFORWkvK3ZodzRkaitQRGgyTEpsQys2OTkxNTg5TkZIU0V4TTlLL3YyclVyYnIvOWRreWVQQm1YWFhhWmY5MnJyNzZLMHRKU3BLV2xSV1RZb3BFRWJqY2lxdFZ2aDlsc3ZvR0llakh6TkYzWEs1elFZdWI1eDQ4Zi8wNVJsS2NCV0IyT2lyZDlZK2I5UklTWW1KajNMQmFMd3pDTW4xMHUxd0ZOMHhBWEYzZCtRTHNPUkxUQUZ5aUtvbWlhYi9DdXFnb0R1QmFMWlN3enZ3emdBSUJodXE0L1FrVG5BYmdNd0tEbzZPZzJpcUo4U2tSTm1mbG5YZGZ2SWFJWUFFOHdjMTVoWWVIZlR1VWI1OU90Vzdjb1RkTjZLSXJTN0hTMlB4VkVaQXI0R3FnVXZnRmZuMGRFandONG1JaCtqWStQWDJNMm16Y3k4OHJNekV4N1hkUVNHK3NaNlltTGl3TzhKM0hpNCtOUGExL0Z4Y1ZJUzB2RDBxVkxjY01OTnlBdExjMC9SdHUyYmRzS0o5M2F0R25qUDZzZkd4dUxDUk1tb0dmUG5raExTOE05OTl5RE45NTRBeGFMcFE2TzBDTTZPaHB4Y1hFNGVQRDNEMjE3OXV6QitlZjdmMnhoR0FiYzd1REQ2TlY5UWd0VVhsNk9sU3RYK2w4bkp5ZmoyTEZqeU0zTlJXNXVMbmJ1M0ludnZ2c09kOXh4QjdadjM0N3QyN2NEQUs2OTlscFUvK3ZSOERUNEl6R2J6WDhtb3JlclcwOUVUUUIwMG5XOXhnbU9SRlJxdFZyUHRWZ3NFd0VzQnpDSmlLNWk1dThBRkN1S0VoMGZIejhmUUpKaEdQMHJiMTlXVnJZb0ppWm1BVFBmQnVCT2IwL1lOM2JyRzR4S0lLSjJobUZzOFg1Y0JoRnRPc2tQMUtjQlgwY0JjQUU0UWtTWE1MTUs0R29BSDFxdDFtOHNGc3NvQU4yOWJXY1FVUkdBV0c4dnVHOXVibTdRbnZUSlJFZEhOeWVpRndHa25zNzJwNEtabTFRK1VWamRpVVB2TDNvVWdCNEF1aE5SdWFJbyticXU1NWE3T1BPRWs4LzY3VWYvK3RlL25yUTNGaGNYaDdsejUyTERoZzI0NTU1N2NPbWxsK0s3Nzc3enIrL2N1VE1BK0QrK2QrclVxY0pyZUFQcWd3OCtRRnBhR2pwMnJISzY0SXcxYTlZTWg3dzNleUVpYk51MkRiMTc5L2F2ZittbGwycmNQbkJJSVpqang0OWp3b1FKVlphdldyWEsvM1ZNVEF3V0xWcFVvYmU4ZE9uU2lKcXAwT0FERjBBMmdMZUNyU0NpN2dCdVllWXZBT3lzYVNmTTdBUmdXSzNXRitEcFRiNENZQkV6UDJxMzIvT1NrNU9icUtwNlB6TlBzTnZ0VmVhL2VJY1JoZ1F1UzA1T2JxSW95cmVHWWFpS29vQ1pYUURlTkF6RG9XbmF4Y3o4SXhHTk53d2o2SndpSW5xSWlINExlUDJhMVdwOTFSdTZpcTdyUzVsNWEzRng4ZDhBb0xDd2NHWjhmUHdXdDl1OTJlRnc3TGRZTEZkN1oxSThhN1ZhMTV6Qzk3UUN0OXROcXFwR0E0aXBSZk9ROC9Xd2lFaGo1cVlBMmlnS2NxbU9iL2Vja1pHQmxTdFg0ckxMTHZOL3JCODBhQkRhdHZVUDBlUElrU05JVDA5SC8vNzljZW1sbm1uV0pwTUpiZHUyeFpkZmZvbmk0bUwvSE5mYU9uandJSjU2NmluY2RkZGRtRGR2WHJWL2dNN0UxVmRmalRadDJ1REVpUk9JaW9yQ0RUZmNnTzdkdTBQVE5QVHMyUk9EQnc5R2h3N0I3N2kyYnQwNmJOeTRzZHA5cjFpeEFnY09ITUF2di94U1lmbisvZnZ4OXR0dlkvanc0Ymo0NHNaeG4vZ0dIN2gydTMwOWdQWEIxdW02L2pFQW83eThmTlNtVFp1TzFHSjM1SnRmeTh3S0VVSDFuS1hRSEE1SEtZQkJGb3ZsYnU5SnFXcFpyZFowQUliM3BNNHRack81azNmVlRwdk5OdFA3OWY3RXhNUmJUbExQazVxbStUK3ZCWTVENjdvK25vajZNUE1WVzdac0tZTDM0WUVBZm9DbjU1OEk0RE5tL3RabXMwMnV4YkZYeStWeUZRQVlGNG9oQlFCZkUxR0Z6KzBCZ1ZxaG9mZTFtNW56QUt3MURDTVR3SC90ZHZ1NnhDN21QaURjZVNhRjVPYm1ZczJhTmY2UHdwOTk5aG5hdEdtRDY2Ky8zbi8xMU8yMzMrNFBWdDgyNmVucDZOdTNMMjY2NmFZSys0dVBqMGQ4ZlB3cFgxbVZtdnI3QjR1ekViWUFNRzdjT0FEQTIyKy9qZGpZV0l3WU1RTHdEaVc4OGNZYk5XNmJtSmlJTysrOEU4enM3eDJ2V0xIQy8zMTc1NTEzMExOblQvOTZuOG1USjhQaGNHRDA2TkZuNVpqcW93WWZ1TlZKVFUwOXh6Q00yNGpvNTAyYk5oM1JkZjExSXJyS2FyWDJybTRiaThVeUFNQjNnY3VZT2RjN1hyYldhclgyOGMwdXFFbGlZdUlYdnVsWjhJelR0dkx1eXo4dHpXS3hUQVV3Nm1UN1l1YXl5ajFMczlsOEs0QVhETU40eUc2M1Z6a0o1dTFaTHdSd3NLaW9hSmp2Uk5UcDh2YmVyV2V5ajlyU2RkMEZiN0FFR3hzTStJVXRaT1p2RGNQNHd1MTJaNWFXbGg0ODNTR1Q2anp3d0FNb0xpNzJqMldPR3pjT2Q5N3B5WEJmYUo3T3g5My8rNy8vdy83OVZTNUlERHRtUmxGUkVWcTNidTFmdG56NWNuOFluOHpzMmJPUmxKU0VEei84RU45Ly83MS9xR1QrL1BtSWlvcENuejU5S3JRdkxTMkZxcXE0K2VhYmcrN3ZkUDQ0MVhjUkc3aUdZZnlOaUtMZGJ2ZDBlSDVSMnpCempaOWJ5c3ZMYlNhVDZRN3Z5MVFpZXBxWkh3VncwRENNd0VtSWY3VmFyVldHTWN4bTh3aEZVV1pVWHM3TU9oRkIwN1FpM3pLWHl6Vk5WZFd2QXRva0tvb3lnNWtuQVBoZndIRUVucWxRZFYwZlNVUlRBUHdYd0ZaZDEyOEgwQnBBYTJaKzB6Q005cHFtelFEUTFUQ01oK0xqNDY4MW04MHRpYWl6MXBUeEFBQWdBRWxFUVZRbEViVmk1bnliemZibXFYd3ZROHlBOTVlL1VtK3VtSm1MQVB6S3pMTUFMQXgyT1hOZCtzYy8vZ0d6Mll6aTRtTGNkZGRkRmNZcGp4enhmR0JxMXV6VU92MG5UcHhBWGw0ZWhnNGRpcFNVbEZwdE0yYk1tRk9zL1BUazVlV2hyS3pNZjVJUW5vNEIzbm5ublFydHhvNGRpMTY5ZXVHT08rNm9zTnczTERCczJEQ01HVE1HK2ZuNXVQZmVlMkV5bWRDNmRXdWtwYVVCM3VsZkw3LzhNdnIyN1lzLy92R1AvdTF6Y25Jd2E5WXNQUExJSStqUW9VTkVuU3p6aWJ3ajh2U1NVb2hvSElDc3pNek1MMDdXdmx1M2JtMEtDd3VQYmR5NE1SL0FGL0Q4b0pYQzg0di9uZDF1ei9NMlBkM3YxMlh3aE9kTUFIL3dEamRzQWJERjF5QTVPYm1IZDV6WFliZmJmNmhtUHd6Z1dRQnhBUG9TMGMvZUdvOEMyR3NZeG51S29nd0NjQVU4UGVzUDRmbGpVd0xna0hmdWNNM1hYNGFmZ3Q5N3NpVUE3TXk4SHNBYUlsb2Z5cXZtZkVNQ3VibFYzM0xyMXExbzA2Yk5LZmR3dDIzYkJuaFBqTlYyWXYvVXFWTVJIeCtQNDhlUG45VVRTTm5aMlFDQWFkT21vWGZ2M21qVnFoVmF0bXlKeXkrL3ZFSTdUZFBRcGsyYktzdDlmRU1zZ2RQTTR1TGljTjExMXdIZVB5RE5talhEQ3krOFVPRWlrbzgvL2hpWFhISUpIbnp3d2JNMmRCSnVFUmU0aVltSk1RQm1NN05LUktOOFBhYWFSRVZGM2RlNmRlc0o1NXh6VGxKQXVOYUoxTlJVazJFWU56UHpKaUs2VWRmMU5BRGJBRXlzMUZTREp5Um42cnBlcGZkY1ZGVFVJVGMzdDR5SUhqVU1JeDdBVHNNdzloWVhGKzhObkgrYW1wbzYyekNNb3dDeURjUFlmK0xFaWYxMS9WSDdMR1BETUxZQStOTHRkbitqYWRyT3NyS3lRNzY1emZYRjVzMmIvUitaVDRVdnZFL25rdFhwMDZmWCtxcTIwL0hUVHoraGRldldLQ2twd2JoeDQvRFVVMC9oOGNjZnI5S3VzTEFRWDMzMUZYNzRvV3EvSUMwdHJjWWFEeDA2aEdQSGpxR3dzQkJwYVdrWU1tUUlycmppQ2t5Yk5nMDJtdzN2dlBOT3hJWXRJaTF3azVPVG0yaWE5alVBTTRDSlZxdDFWUzAyZy9mamRsTkZVWTRHVzYvcmVqc0FvMjAyVyswR3N3SVlodkZISWpyUE1JeTdpZWdPQUU4RG1BQWdyVkxUZGdDZVkrYlBBVlFabDgzTnpYWEJjMEp1VWVWMWdUSXlNdllCZU85VTY2d3ZETU1ZbUptWmFmWE94S2lYZHUvZWpWOS8vUldEQmcwNjVXMEhEaHlJcTYrKytwUzJXYmR1SFo1Nzdqbi9aYlkrMDZkUFIwbEpDUjUvL1BFenZsRGcwS0ZEV0xseUpSNTg4RUZjY3NrbGVQcnBwekZ2M2p6L3liTkEvLzczdjlHalI0K2dkMDQ3MlVVWjU1eHpEbWJNbUlHdFc3Y2lQVDBkbzBlUFJseGNIQW9LQ2pCaXhBajA3Tm56akk2anZvdVl3TzNldlh0TFRkTVdBdWdEWUxadmVwZVA5K1JUVSs5SDFzcTkza1JtTHJCYXJZRTNrWW1DSjR3ZkpLSy9BaWhPVEV4OEZwNVFpTy9XclZ1Vmk5dUpxTUtBWG1wcXFvbVpud093M1c2M3IwaE1URnpUc21YTHE1bTVpODFtcXpDeE1UazV1WWVtYWM4eDgxSzczWDd5TzRGRXFNek16SFhocnFFeTM4MWxmRDJ2aFFzWFF0TTBEQnc0OEpUM0ZSc2I2Nytnb3JaMjdOZ0JUZE1xVEQrRDkyS0srZlBuWStmT25aZzBhZElwN3pmUTlPblQ0WGE3TVdqUUlMUnIxdzZyVjYrRzNXN0h1SEhqcWd4anZQUE9PK2pZc1dPRnkzS0RLUyt2L2tOSmJHd3N6anZ2UE1UR3hxSzh2QndKQ1FtWVBYczJkdTNhaFR2dnZCTzZycC8yc2RSbkVSRzR1cTdmRGVBTkFPY0NlTU5xdFZhNWd4WVJaUUVZcnV2NkJ3QitKQ0xmS2ZDTHZIY0hXMWxwazk3ZTdmNEc0QlVpbXBxWGwrZHEyYklsRkVXWkZCTVRNK2xrZFJtR01ZNklrdDF1OTEwQU9DOHZyN1JWcTFiWFdhM1dVMzZjYU1lT0hhUGo0K09EM3ozazFFMngyV3hWWjZHTENwWXNXWUs5ZS9mQ2J2ZGN1SmFRa0lCZHUzYmhvNDgrUXYvKy9kR2lSZDNlbzM3eDRzWFlzMmNQbWpScEFwUEpCRTNUOE50dnZ5RTlQUjFYWG5sbGhUdVBBY0FUVHp5Qjg4NDdEMU9tVE1IRER6K01hZE9tbmZKSlBIaHZwUE9mLy93SHQ5OSt1MzljK2Ftbm5nSXpuMWFJcjFxMUNoczNib1RWNnBuWWtwQ1FnRzNidGlFckt3dWJOMjlHUmtZR3RtL2ZqdGpZV0F3YU5BZ2pSb3hBa3laTjhOVlhYMkhldkhsWXRtd1pPblhxaEtGRGgxWTdnNkdoYXZDQmF6YWJSeExSK3dBS0RjTzR6MjYzZnhTc0hSRzl6OHhYRU5FUUFJRXp6MHVJYUozTDVmcHJZSHZETU1vVVJmbTh2THo4cjk2VGFmQjl2NWo1TFFBTGc3ek5RQ0x5MzN1V2lMNEQwRGt6TTlOL1Q0U01qSXpUZW5aemJtNnV5Mkt4UEgwNjIxYkd6Qmwxc1o5SXQyWExGc3lkT3hkRWhONjllOE5zTnNOcXRlTGNjOC9GRTA4RXZTdm1HY25MeThPY09YUDhQV3A0cDUxZGUrMjFlT3FwcDRKdWMrKzk5MExUTkx6MjJtdFl1M1l0YnJ6eHhsTiszdzRkT3FCMzc5NFZ4bXNyaC91cE9IandJR2JPbkFtVHlZUzc3cm9MQ1FrSldMbHlKVjU2NlNYRXg4Zmpzc3N1dzdCaHc5Q3ZYNzhLTnlhLysrNjdjZnZ0dDJQUm9rV1lPWE9tL3k1dG9oN3AxcTFibEs3cms3empyRUlBQUJLN21LOU43R28rMnJQUDlXeTFaZkxwY0xsY1hGcGF5aTZYcThKeXA5TjVXdnM3MWZjdUx5K3ZkZnZ0MjdlZjFYck9sTlBwNUIwN2RyQmhHTFZ1ZjdyZjUwM1ptN25QOVFNNXNVdEtTV0xuNUQrRSsyY3hVSVB2NFhyUFhqOFQ3anBFNUZGVk5lanRFRU14UDdTNjk2NU9mYjgwVnRPMENuY01xMDM3U0JTWjkwQVRRb2g2S0RML2pBamg1WFE2c1RFN0IyVTFuREVYa1NWdjV5NlVsZFhQLzk4U3VDS2lGUllWNGQvVDNvM1lqNmlpS3BmYmhjTENvbHEwREQzNUtSUVJxWnlOZlZHZ2ZBUEEwV05CbjlFWjBkaGcvODBwR1FBcGtYdjFWbldJcU5EbDVEM2hyaU5RNC91L0lCb0xwWDJYcE80YTFGYTFhQnR4b2xTNk1NYkVEeXBFcHRJeVkwNnBRVnRxc1ZsRUljTjVkTWV2bTdKcWMzbC9xRWpnQ2hHQmtwT1RMOWMwN1N0bWppR2l1NjFXNjlKdzF5Umtsb0lRUW9TTUJLNFFRb1NJQks0UVFvU0lCSzRRUW9TSUJLNFFRb1NJQks0UVFvU0lCSzRRUW9TSUJLNFFRb1NJQks0UVFvU0lCSzRRUW9TSUJLNFFRb1NJQks0UVFvU0lCSzRRUW9TSUJLNFFRb1NJQks0UVFvU0lCSzRRUW9TSUJLNFFRb1NJQks0UVFvU0lQRVJTaUFZdU5UVTF6akNNMW9ITG1Ma3RNNnRFcEREemVicXVYeFM0M3UxMkgzSTRIQ2RDWG13ako0RXJSQVBuY3JrNnE2cHFEVnhHUklGZno2bThqYUlvdlFDc0QxR0p3a3VHRklSbzRESXpNeDNNbkZYYjlzeWNZN2ZicmJWb0t1cVlCSzRRRForYm1lZkRFNlpnNWlvTkFwY3o4MmNBM0tFdlUwamdDaEVCRE1OWXlNd0ZKMnZIek1kZEx0YzNvYWxLVkNhQkswUUVVQlFsSDhENndMSGJ5cnpyc3QxdTkyK2hyRTM4VGdKWGlBaGd0OXVMQUt4a1pnUGVJUVNmZ0tFRUJtREx5Y2s1Rkw1S0d6Y0pYQ0VpZzV1SU5nQTRWa09iWWdDL0FIQ0dzQzRSUUFKWGlBaFJVbEtTQ2VDZzczWGxFMmhFVk1qTXE4SlZuNURBRlNKaTVPVGs3QU5nRFRhTzYxMW10ZHZ0ZWVHb1RYaEk0QW9SUVZ3dTE5enExaG1HTVRPMDFZaktKSENGaUNBbEpTWExtVG0vOG5KbVBsaFFVTEFrUEZVSkh3bGNJU0pJYm01dUdSRjk3QnRXSUNJUUVaaDVRVjVlWG1tNDYydnNKSENGaURCdXQvdGpaaTd6dldibWNnQmZoTGNxQVFsY0lTSlBTVW5KZGdCWkFiM2M3YXFxYmdsM1hVSUNWNGlJWXhoR0VUT3Y0dDlsT3AzT3crR3VTMGpnQ2hGeGNuTnp5NWg1cmZkQ2gzTERNTmJLdlcvckI3a2ZyaEFSaUlpczNvc2dtakR6aW5EWEk0UVFrWXgwWGY5QjEvWDE4a20yL3FqKzFrSkNSTEIySFhwY0VHWFNPb1M3anJNcExnbzNLZURvNCtXMElOeTFuQzFsWldVNzl1M0kyUm51T21wTEFsYzBPb21KNWtURThJY2dkQWwzTFdjWGUzKy9xZW9keVNQSExsZTU2MDk3dG0zS0RYY2h0U0ZqdUtMeGlVRWlDRjBVVXRyRXhzUkExZFJ3VnlST2tkdHRvS1NrQkFaempLYXBIUUZJNEFwUm56V0xqOGRmSDNrSTNicDJEbmNwNGhSdHpkMkdhZS9Pd01IRERXdTJtd1N1YUxSTUpoTzZkZTJNSzNwZEZ1NVN4Q21Lam9wQ2RIUlV1TXM0WlhMMlVnZ2hRa1FDVndnaFFrUUNWd2doUWtRQ044eDBYVzhONEt5Y0p1L1lzV08wMld4T1RFNU9ibkkyOWk5cUp6YzNGMHVYTGcxM0dUVTZldlFvM256elRXemZ2ajNjcFVRME9Xa1daa1QwcWE3clpUYWJiV0JkN3pzK1B2NEtJdnBaVVpTaEFPYlg5ZjVGN2Z6NDQ0OTQvLzMzTVdEQWdKTzJMUzh2UjNGeDhSbS9KeEdoZWZQbXlNbkp3YlJwMC9EeXl5K2pSWXNXMWJZL2R1d1k1c3laZzZTa0pGeHl5U1duL0g0dWx3c2xKU1cxYWhzZkgzL0srNDhVRXJoaGxKcWFhaklNb3hjenZ4QzRYTmYxS1FEK1VwdDlNUE4xZHJ0OWZUV3JmZjkvSStFcHJWcFNVbExIb3FLaXZQcDJJKzFEaHc1aDM3NTkxYTdQei9jOGdDRXJLNnZHL1NRbEplSGJiNzlGV2xyYUdkZlV2SGx6TEYrK0hLV2xwY2pPenNiOTk5K1BkOTk5RiszYXRjT3FWYXR3OU9qUktzY0FBT3ZYcjBkUlVWR1YvVjE1NVpYWXUzY3Y4dktxUGhKTjB6VEV4c1ppekpneHRhcHQ3ZHExMExUR0dUMk44NmpyQ2NNd3JpR2lKa1RVeEdLeDNPZGR2Qk5BTkRNZll1WnFmL09JcUIwUlRTU2lhb2NqaU1qa2ZaK3k2dG8wRk4yNmRZc3htVXdUVzdSb2NXM0xsaTAvZDdsY241cE1wcHhqeDQ0VjVlYm1odlg0bGkxYmhpbFRwcHkwM2YzMzMxL2orb3lNRFBUczJST1RKazJxdHMyaVJZdXdldlZxakJzM0RzMmJONisyWFZTVVo4cVVydXY0OE1NUDhjZ2pqMkQ0OE9GNDU1MTNzSGp4WXVUbVZyeE93T24wL0UxZXNXSUYxcSt2K3ZlN1E0Y09XTFpzR1JZczhGd2xYRnBhQ3BQSkJGVlZFUmNYaDJlZWVRWUFNSFhxVkRSdDJoUUE4UGUvL3gwMzNuZ2picjc1WmdEQXFsV3JNR2ZPbkJxL0I1Rk9BamU4L2crQWk1bkgraFlRMFFJQXg0am9rTTFtbTlteFk4Zm95b0Zpc1ZnNnVseXVHRTNUSmdZc2U0YVpLNHpKTS9PbDNrZXNETkYxdlVmbE4zZTczVjg1SEk2TlorL3c2aDRSblF0Z2xLcXFEekh6NXZqNCtQVXBLU25yVkZWZGJiVmFOd0Z3aDdxbUlVT0dvSC8vL3RXdW56ZHZIdWJQbjErcmNkejI3ZHVqZmZ2MjFhNS83NzMza0pLU2dqdnZ2TFBXOVYxODhjV1lOV3NXWG52dE5aaE1KcVNscGZsN3RENTc5dXpCUXc4OWhKRWpSNkozNzk0VjFrVkhSeU1oSVFIZHUzZkhtREZqVUZaV2hpdXZ2QkxQUFBNTUJnOGVEQUQ0NmFlZkFHOHZQU0VoQVFDZ3FpcmF0R2tEWGRjQklHanZ1TEdSd0EyVDFOVFVPR2EreHpDTVIrMTIrNHpBZFJhTDVTMTRlaWRQRXRHOUFLNEE0UEl1dTVxWmYxWVU1YW5BYlpqNWVTTFNLaTBqZUVMcTNpQWxxSnFtNVFGb1VJSHI0KzI5SndIb29hcnEzUUFPbXMzbTdRQytMQzR1L3ZUWFgzODlWSXZkMUltWW1CaG9tZ2EzTzNqVyszcWJOWTFkK3RvQXdQSGp4NnNFSWdEczJMRUR1M2J0d3FCQmcyb01MMDNUcW9UMitlZWZqemZlZUFNQXNIdjNidHg2NjYxQnQzM3BwWmVxTE92WnN5ZmVlKys5YXQ4djBMcDE2L3c5WEpmTGhWMjdkdUYvLy9zZkFNZ0pPUW5jOERFTTR4RWlLajUrL0hoTmo3WCtSbEdVZjFvc2xuRldxL1ZsZUlKbUFqUHZWUlRscDhDMk5wc3RwdkwydXE0UEJURFg3WFpmbVptWnVjNjNQQ1VscFkrcXFxdnEvcWhDZzduQ3ZWaUltZU1BWEtRb3lrVUFybXZTcE1tL2RGMWZBbUN1WVJocm1MbkE0WEFVQXpock4zSDV4ei8rZ2VYTGw5Zlk1c29ycjZ4MjNhZWZmb3FPSFRzQ0FKWXZYNDZKRXlkVzIvYnR0OS9HMjIrL1hlMzY5dTNiWStIQ2hUaHg0Z1JHang1ZHBRZmVybDI3S3IzdDNidDNZOFNJRVpnd1lVS1ZPZ1AvR0p6TTg4OC83Ly9hNlhSaXlaSWxXTFpzR2VENWVhNzFmaUtWQkc2WUVKSE96RWZqNCtNUCt6NXl3Zk14L3p6ZjE1bVptYi9xdXY0YU16K1hrcEx5T1JHZEE2QWZFVDNtY3JuS1RuYmlnWWhpNFFtb016L3RIWnpXbzBlUGJwcW10VHhMKy9mekhrdnJnTmRBcGZBTitEcUtpQVl6OHkycXF2N0d6T3QxWGM5azV0V0dZZnl2c0x6dTZ4c3hZZ1J1dSsyMm9Pc1dMMTZNNzc3N0R0T21UYXQyKzNidDJsVlo5c2tubjZCWnMyWUFnSWNlZWdoOSt2VEJzR0hEL090TFMwc3haTWdRUFB2c3M3anFxcXNBQUcrODhRWTJiZG9FQUNndUxzYUpFeWY4Znd5ZWZ2cHByRm16QnJObXphcnlYcjR4M09uVHAyUGV2SGxWMXZmdjN4OGpSNDQ4NmZkaHlaSWwvaUdGZnYzNjRkNTc3OFdJRVNNQUFBc1dMS2lURTRJTm1RUnVtTGhjcmxjMFRZc0c4SGNBZHh1R01SSUFIQTVIbWNWaThiYzdldlRveXkxYXRMaFBVWlRwUkZUT3pEdkx5c3BtYUpwMmFlRCt6R1p6SndBalZGV2RsSkdSY2N5N3VEazhQWXRqT0FzNmR1d1laektabmlhaTY4N0cvZ014TXpGek0xL1ErZ1MrRGhLK0NvQUxBRnhBUkg4RWNGaFYxVDN4MFp4VDdLUTYvZG52M0xuNkcrRDRaaWZVMU1NTnBuWHIxaFhHUStQaTRuRGVlZjYveC83cFk4MmFOZk12ajRtSnFiRDlyRm16OFBMTEwrT2JiNzVCZkh3OC92U25QMkhvMEtHbmVIUkFZbUlpdG0vZkRxdlY2aDg2MmJCaEE4ckx5OUd5WlV0VS92OGlncFBBRFJQZnlTcUx4YktXbWUrdzIrMnpnN1hMeThzcmJkbXk1Wk1BL3VOZE5DdzdPN3M4T1RtNWN0TnJGRVY1Z3BtSFd5eVdpVmFyOVQwQTdRQ2dvS0Rnckl4bkdvWkJBS0tZdWNwd3hsbHlXaGVJRUJHWW1ZZ29scGxiRVhOenJxUEJoZkx5Y2x4M1hjMS9iMXd1RndENGU2SFZHVHAwS0I1KytPRnExKy9idHc5cjE2NnQ4TjRuRXhVVmhZa1RKNkpIang2NDZhYWIwS1JKRTdSdjN4NTJ1LzJrMi9wMDY5WU5jWEZ4K1BycnJ5djAwbi80NFFlc1dMRUNuVHQzeGozMzNBTjRoME9hTlBGY1orTjBPaXRjOUpHZG5WM3I5NHhVRXJnTmdOVnFYV2l4V1BZeGM4dXlzcktnZCsrMzIrMHp6V2J6Q2tWUi9nVmdtc1ZpZWN6VDBlTzllL2JzcWQyTTlGTzBmZnYyRXoxNjlIaFIwN1MzenNiK0F4RlJMQkdOQlZBaDNUaEljbGJxOVI0QWtFRkVOcGZMdGJhNHVIaTFTMnZhSGNRZjEwVmRtcWJoMldlZkRick9NQXk4Kys2NzJMOS9Qd0RnejMvK2M0MHpFRHAwcVBrQkZOOS8vNzEvTnNDcHV1T09PL3hmbDVTVTRDOS8rUXRVVllXaVZIK3hLVFBENVhJaFBUMGRuVHQzeHVEQmd6RjQ4R0QvTElXbm4zNjZ5aXlGd09seHBhV2wrT21ubjdCcWxlZDBRWFVuRlJzVENkd3dzVmdzVTVsNUJET2JpQ2hLMS9YajhJVEZPZ0FWdWdLNnJqOEdvQzBBam9tSkdRUGdoV0Q3dE52dFd3RU1Ta2xKNmE4b3lyK0pxQnVBblNrcEtaZG1abWIrZWhZT3c3Vng0MGJIV2RodkZkMjZkV3NhRXhQam44aGFVOUF5czhITS8yUG1UNW41NTlMUzB2Mi8vdnJyVWQrVXNjUXU1anFyUzFFVTNIVFRUVUhYcGFXbFlmLysvZmpuUC8rSnQ5OStHenQzN3NSRER6M2tYOC9NK09LTEw3QjU4Mlk4OTl4ekozMnZZY09HWWRTb1VmN1h4Y1hGNk51M2I2M3FURTlQUisvZXZYSHh4UmY3bDQwZlA5NGZtTUdzWGJzV2p6NzZhSzMyMzZaTkc5eHl5eTBZTjI0YzR1TGlnQ0JqdUZhckZRc1hMcXd4NUNPZEJHNll1TjN1ZEZWVk56RHpqUUR1SVNMZlo4bURBQWI1MmlVbkoxOE1ZQktBVHdFVUFIZ3FOVFgxQTk5SmptQXlNek9YbWMzbTE0aG9Ob0FMRlVYSjBuWDlYMjYzTzYwaFB5NmJQZU1DL3RmZW9RSUc0Q1NpUW1iT0IvQ1oyKzMrd09GdzdBbFhuY1hGeFpnd1lRSisrdWtuakI4L0h2Mzc5NGZiN2NiNDhlTng4ODAzNDhvcnI4VG16WnN4ZWZKazJPMTJkTzdjR2ZuNStSWEdaK3ZTb1VPSE1HWEtGTng3NzcwWVBYcTBmL2tycjd4UzR3VWJ2cUdRMnVqYXRXdU5NeXZnNldRZzhQeEVZeVNCR3liZWFWcnJMQlpMQWpQZlpiUFovUGM2c0Znc3ZzRFZORTFMWitZVFJQU1lkMTd0M2N6OE9vQVhhOWk5UWtSUE1YT0J5K1c2Mm1ReVRRYnd0S1pwL1FHa0J0dkFZckYwWmVaN0ZFVjVOeU1qby9yclZNT0l2R25yL1krTG1YOEZzSjZaMXhQUkdwdk41Z2ozWmN6WjJkbVlNR0VDdG0vZmpvRURCL3BuTGd3Y09CQ0xGeS9HK1BIajBidDNieXhac2dTWFhub3BYbi85OVpPT0FmdjgrdXV2L2l1OUVEQ3o0R1F5TWpJQTczemFRSGZmZlhlTkovSnljbkl3ZGVyVVdyM0g2dFdyL1VNblB1WGw1Y2pKeWFsUU16elRFay9yZmcyUlFBSzNIdEYxZmJCaEdMdDlyODFtOHd2TWZEa1IzWlNSa1hISXV5eE5VWlJKaXFJRVBjbm0zYzlUUk5UTk1JeVhzenlueVArZzYvb3d3ekNxdlFlQllSZ1hLNHJ5SERQYkEwN1ExVWVIRGNQNDJqQ01CWXFpWkpXWGx4L0t6czQrSHU2aWpodzVnaGt6WnVEenp6L0hSUmRkaE5hdFcxZVp2NXFXbG9aaHc0Wmh5WklsR0Rac0dCNS8vUEZUT3J1L2NlTkc3TjI3MS8rNnR2TmFOMnpZQUVWUnF2UXVOVTFEZEhSMHRkdVpUS1phN2YvSWtTTllzR0FCZnZubGx3ckxTMHRMOGQvLy9oZHIxcXlwc0h6MDZORVN1Q0s4dlBkUytGQlYxU0crWlVRMGc1bnpiRGJiRXQreTh2THlOMk5pWXBZWmhtRUVHd3ZUZGYwYUlucVJtYmNhaHZGUDMzS2J6VmJ0QlJiZTkycmovYkplUG5JNk96dTdMQ1VsNWNYRGh3L2ZmN1pPQXA2TzR1SmlUSnMyRFFzWExvVEw1Y0o5OTkySFJ4NTVCQTgrK0dDVnRtNjNHNU1tVGNLenp6NkwrZlBud3pBTVBQREFBLzZwWHljelpNaVEweHJEWGIxNk5icDI3ZXEvQXN4bjl1elptRHUzK2grTFlPUGs4SjUwQTRDRkN4Zml3dzgvUkdGaElYNzg4Y2NxN1NxUDRRb0ozUHFnbVhkcTFSd0FUOWhzdGtVV2kyVUFQQ0c1RThETXdNYloyZG5sQUJ3cEtTazZQTC9FL201T1NrcktkUUFXZVM4RHZyZTY4VnBtZG5yLzYrK0NFVkZYZUg2SjYrc0Y3ODdNek14TjRTNmlzcmk0T0J3NGNBQjkrdlRCcUZHamNORkZGMVZZWDFaV2h2Lzk3My80OXR0dnNXclZLcnorK3V1WU4yOGUwdExTTUgvK2ZIenh4UmU0NXBwcmNPMjExMExYZGJSdTNicmE5em9kVzdkdXhiNTkrNExlR3ZKa0o4MVdyMTZOeHg1N3pOOExuejkvUHBZc1dZSXRXN1lBM2t0MXI3amlpbE9lWDl5WVNlQ0dHVFBmNUwza2RLVE5adnVndW5ZcEtTbmRWVlVkQ2VBRU14c0FCbmpITWZNQUtMcXVqeVdpbDd4aGU0dk5adHRRM2I1TUp0TXVabllUMFZpTHhkS1dtZU9aK1dFQU9aczNiMjVZajBHdEJ5WlBubHpoekh0WldSbnk4L054OE9CQjNIampqVGh4NGdRU0VoSXdaTWdRZE9uU0JmSHg4WGoxMVZleGJ0MDZmUERCQjFpNmRDbVdMbDJLeVpNbm8xKy9mdjc5K082eUJlL0g4N2x6NXlJOVBiM0srei8zM0hPWU1HRUM0QjNYYmR1MnJYL2RpaFVyZ0NEanQ4SHMzcjBibjN6eUNXSmpZNkdxcW44b29GV3JWb0QzbnJrQU1IejRjRngxMVZYbzBhTUhGRVhCVHovOVZHV2NGaldNNFFKQTM3NTljYzQ1NTV5MHBrZ2pnUnRtUkpRRzRFS3IxVnB0Mk1Jei9lZzRnRDk0dzVtSjZEQ0FCeHdPeHdHTHhYSUZNNzhJWUxmYjdiNG44TDRKd1dSa1pPd3ptODJqRlVWNUdrQWFnSElpeWpJTTQ1RTZQOEJHb1BMUVRrRkJBVXBLU3NETXVPYWFhekJ3NEVEMDd0Mjd5ajFnZS9YcWhWNjllbUgvL3YzWXNtVUxycm5tbWdycm4zbm1HZjhVcTlyNjdMUFBLb3p6eHNmSG8wT0hEakNiVHo0VnJtblRwbGk5ZXJYL2RWeGNITWFORytjUDNGR2pSbFVZMHZDWk0yY090bTdkR25TZmE5YXNxVEtHQysrVmE0MHhjRVdFc0Znc2ZUdDI3TmdzM0hVMEJJbGR6TmNtZGszWjE3UFA5Yng2N1hvK0c2eFdLeGNVRkp6V3RvWmhzTlBwclBPYUlvblZsc2w5cmgvSWlWM05SeE03Si84aDNEOVR0U1U5M0FoaHRWb2I3TjIvSWxIZ0RZbE9GUkUxMmljaVJMckdlOG1IRUVLRW1Qd1pGWTJXMCtsRWRzNldjSmNoVHNQVzNHMG9LenNMOTlrOHl5UndSYU5WV0ZTRWFlKytYK3NKL3FMK2NMbGNLQXp5c012NlRnSlhORHJsYk95TEl0cG5NTWNVRkJhR3U1eXpnZzJHN3hvMkJrQktoTjZ2bGpuZjdVTFk3cHR4cWlMMC80SVFOVkl1N05pOWk2S1p6ZzEzSVdkTGxFb1h4cGo0UVlYSVZGcG16Q2sxS0NMSFR0eGtITnFkNDhnRzBDQ2UzeU9CSzBRRVNrNU92bHpUdEsrWU9ZYUk3clphclNkL1pMQTQ2MlNXZ2hCQ2hJZ0VyaEJDaElnRXJoQkNoSWdFcmhCQ2hJZ0VyaEJDaElnRXJoQkNoSWdFcmhCQ2hJZ0VyaEJDaElnRXJoQkNoSWdFcmhCQ2hJZ0VyaEJDaElnRXJoQkNoSWdFcmhCQ2hJZ0VyaEJDaElnRXJoQkNoSWdFcmhCQ2hJZ0VyaEJDaElnRXJoQkNoSWc4UkZLSUJpNDFOVFhPTUl6V2djdVl1UzB6cTBTa01QTjV1cTVmRkxqZTdYWWZjamdjSjBKZWJDTW5nU3RFQStkeXVUcXJxbW9OWEVaRWdWL1BxYnlOb2lpOUFLd1BVWW5DUzRZVWhHamdNak16SGN5Y1ZkdjJ6SnhqdDl1dHRXZ3E2cGdFcmhBTm41dVo1OE1UcG1EbUtnMENselB6WndEY29TOVRTT0FLRVFFTXcxakl6QVVuYThmTXgxMHUxemVocVVwVUpvRXJSQVJRRkNVZndQckFzZHZLdk91eTNXNzNiNkdzVGZ4T0FsZUlDR0MzMjRzQXJHUm1BOTRoQkorQW9RUUdZTXZKeVRrVXZrb2JOd2xjSVNLRG00ZzJBRGhXUTV0aUFMOEFjSWF3TGhGQUFsZUlDRkZTVXBJSjRLRHZkZVVUYUVSVXlNeXJ3bFdma01BVkltTGs1T1RzQTJBTk5vN3JYV2ExMisxNTRhaE5lRWpnQ2hGQlhDN1gzT3JXR1lZeE03VFZpTW9rY0lXSUlDVWxKY3VaT2IveWNtWStXRkJRc0NROFZRa2ZDVndoSWtodWJtNFpFWDNzRzFZZ0loQVJtSGxCWGw1ZWFianJhK3drY0lXSU1HNjMrMk5tTHZPOVp1WnlBRitFdHlvQkNWd2hJazlKU2NsMkFGa0J2ZHp0cXFwdUNYZGRRZ0pYaUloakdFWVJNNi9pMzJVNm5jN0Q0YTVMU09BS0VYRnljM1BMbUhtdDkwS0hjc013MXNxOWIrc0h1Uit1RUJHSWlLemVpeUNhTVBPS2NOY2poQkNSakhSZC8wSFg5Zlh5U2JiK3FQN1dRa0kwVXUwNjlMZ2d5cVIxQ0hjZFp5b3VDamNwNE9qajViUWczTFdjaWJLeXNoMzdkdVRzREhjZGRVRUNWNGdBNTNkTWJtL1NhQjRJWGNKZHk1bGo3KzgzVmIwamVjT3lDeVYwVjE1ZXc3OHNXY1p3aFFoZ0F0cUQwSVZBYmVKaVk2RnFhcmhMYXJUY0xqZEtTa3RoTU1jZ0Jva0FKSENGaUVSeHNiRjQ4dkZSNk5hMWM3aExhYlN5YzdaZzJydnZvNkN3TU55bDFCa0pYQ0dDVURVVjNicDJ4aFc5TGd0M0tZMmF5V1FLZHdsMVNzNWVDaUZFaUVqZ0NpRkVpRWpnQ2lGRWlFamdSZzd0ZEtmNUpTY245OUIxL1pYYWpPbnJ1djZpMld4T082MEtSWjB5REFPSERoMkMwM2w2anloenVWeDFYcE9vbVFSdUEyU3hXSjdRZGYyalNzdWUxSFhkbXBpWUdITUt1eUlBVUZXMUN4R05TMHhNMUx6YiszOHVPbmJzMkV6WDllZk5abk1uZUM0WjFZbm8zam84SEhHYWpodzVnZ0VEQm1EOSt2VTF0anQwNkJEdXUrOCs1T1RrK0plVmxKUmc4T0RCV0xSb1VRZ3FGVDR5UzZGaFdrMUVrM1ZkWDJPejJhYVp6ZVlFQUdPSjZOKyttMHhiTEpiTkFLck1hV0xtMzJ3Mlcvdms1T1QycXFxdVZoVGxLc013L09zVEVoTCtvdXY2TTBWRlJaMXljM01MNCtQanJ5V2lpWVpockFLd0ZjQUdBRGVscHFZMno4aklxT2tKc1NHVmxKU1VtcFdWWlFmZ0RuY3RaNnFrcEtUeXd4OFJHeHVMWGJ0MjRmang0LzdseDQ1NXZ2MjdkdTFDUWtKQ2hmWmR1M2IxdjI3VnFoWE9PZWNjakJzM0RnR0o3MzhBQUJudVNVUkJWT25wNldqYXRDaysrdWdqdUZ3dTlPM2JGd0N3ZE9sU1BQUE1NMEhyR1Q5K1BHNjc3YmF6Y3F5TmpRUnVBNUthbW1weXVWeVh1OTF1S0lyeUZZQVdLU2twZllqb3p3QkttUG1YbEpTVVBvcWkrTzU5T2h2QTlJQmREQVh3UndCd09CeS82Ym9lemN6L0IyQzNyd0VSWFFkZ1cyNXVybS95NHg4QUZEdWR6bC9nQ2V4bFJQU0NZUmkzQTVnVnl1T3ZpYVpweXl3V3kxN0RNTklWUmZuSzZYVHV6OHJLS215SUFYejExVmNqOEk5ZzgrYk5zWHo1Y3J6MjJtdFl2WHAxbGZhVEowK3U4RnBSRkgrdmQ4K2VQVGg0OENCdXVlVVd6Smt6Qnc2SEE0cWlZUGJzMmZqVG4vNkVIVHQySUNibTl3OUZzMmJOZ3FyK2ZySEhpQkVqenRKUk5rNFN1QTJJMCtsc29XbmFWd0dMcmxWVmRTS0FJZ0RsUlBTbHFxcGc1b2ZoR2VQN3pXNjNyL0UxMW5YOTJvQnRHY0QzQUlZQWVBT2UzbTBNRWZWajVoY0F3RHU4Y0E4emY1V2RuVjBPQURhYmJiV3U2N2xFTktJK0JhNTNlS1NIb2lpVG1IbThwbWsyWGRmWE12TWFWVlhYWm1SazdBcDNnYWRpMkxCaHVPS0tLL0RERHovZ3h4OS9CTHpCR2pqdWV1VElFUXdaTWdTdnZmWWFldlhxNVY4ZStOVGV6ei8vdk1Ld3dkaXhZMUZlWG83NCtIaDgvdm5uK1B6enozSCsrZWZqdnZ2dUF3RDA2TkVEbXFZRjNaYzRjeEs0RFlqRDRUalFyVnUzeEppWW1NNVdxelVEbmhBdEJURGNack45a1pLUzBwMlpYUTZIWTR2RllubFZVWlNuZEYzL2U4QXVUTjViOWdHZTN1cjMzdEJNOTc3dUR5QWV3SmNBMEtKRmkvdUpLQ0ZJc0w0SDRIV3oyZndudTkzK0Vlb1pJb29EY0pYM1g0RmhHQWN0Rm9zZHdEeVh5N1c4SWR3Yjl1S0xMOGJsbDErT0xWdCtmMUJEYkd3c3NyS3k4TGUvL1EzejVzMUQ4K2JOMGJWclY3UnUzUnJ4OGZHNCtlYWJNWExrU054NjY2MytiWjU0NGdrTStmLzI3ajgrcXZMT0Yvam5lMmJ5d3hDaWdRQ3lScVc3S0ppUVpNNFpLcXhlcTYyclYzdGJRVjIwOStLdks1VGF1cUoxNzlWMXRhdkNLcWowNHJWYWIvVzJkVmVoRnF3L1ZrVXBhMEhSYTBFejU4d2tCcFJVczVZaUdnZ1JLQm1TT2MvMy9qRXpjWkpNRUVnWW1QQjV2MTYrbkhtZTV6enpuQURmUFBQOE9wZGNnbUhEaHFHaW9nSy8vT1V2c1dMRkNpeGZ2aHp4ZUJ6UmFCVGhjQmdyVjY0RUFKeDk5dGs5Mm5Hd0UzS1VIUU51bmlrb0tBZ0JXSlArc3hNUkM0QkJjdkxyTmdEdEFQNE9RQW1BeDQweHYwcGZhMW5XVEFEZlRyOFhrZCtxNnMwaTh1ZlUrdzlVOVo5YzEvMlBDUk1tREFkd2w2cSs0N3J1N3pMYnNHdlhyb2ZMeXNxK0x5SS9ycTJ0ZlQwV2kyM081YytnSDRya0w0M2U2Y2VsZm1tY0FtQkdJQkQ0MUxidFg2dnFNaEg1WU5ldVhUdWJtNXYzWnEzeENQS0hQL3dCSDMvOE1UNzY2Q044L3ZubmVQdnR0ekZ5NUVqTW1qVUwyN2R2eCtyVnE5SFcxb2JHeGtZY2UreXhBSUFwVTZhZ3BLUUVDeFlzd09USmt6Rjc5bXlvS2l3ck9TZmEydHFLSC96Z0IzanR0ZGNRajhkUldGaUloeDkrdU1mblhuZmRkWWZsZm9jcUJ0ejhGZ1JRWUl6cEhUQXNWUjJocWw0MEduMHpuV2piOW45S3Y1NHdZY0p3VlQwVlFGUkV6a1l5V0kwR3NMYXVydTVVeTdMdUVwRXh2dS8vMTk0ZjJ0emN2TmUyN2UrSnlLdUJRR0JsZFhYMVdlKzk5MTViNzNKVlZWV0Z3V0J3a21WWlpZTi82ejJKU0VIR2E2Qlg4TTE0UFVaRTVnSzRUa1ErR0Q1OCtPOURvVkNqcXI0UmpVYTlROTNPZy9YcXE2OWk2ZEtsM2ZleGVQSGlQbVU2T3p2eDRvc3Y0cFZYWGdFQUxGMjZGQ2VmZkhLUE1oMGRIVm0zeTdhM3Q2T3NyQXkyYmZkSTU1REM0R0xBelVPcUtyWnQvNDJxbGlQWmN6MGw5ZjU0RVdrUGg4TmZVZFZDQU5NZHg2bk91Szc3WUlDU2twSUpJckk2czk1QUlMQXk5ZkxYQUtwVjlkRm9OTnFqVEpycnVxK0ZRcUh2aThqTXpHQ1hxYWlvNkZnUm1RY2dQR2czM3c5VkhkWTdPUFFYTEZKQnF4REFKQURWSXRKcFdkYW50bTAzSnhMbTNWMEpQZUtpelBYWFg0L3JyNzhlcnV0aTl1elplUHJwcDNIaWlTZjJLSFBtbVdkaTd0eTV1UHp5eS90Y3YzbnpacXhidHc2Yk5tMkNNUWJyMXExRGEydjM2QkphV2xyUTJkbUpSWXNXOWJqTzkvTnV6dkdJeG9DYlp5ekw4Z0YwQUhnK0hlaFU5WitSRERCRkFEYXE2Z1dhakNydEFDb3lMaCtXZnJGcjE2Nkdzckt5VTFMWFB5b2lmNk9xMVNMU3FhcWZkM1oyK2tWRlJWZmJ0cjJ2NzVSUjEzVy9rZjQ2MzV2dit4SUlCSW9BSE1qYTRKeEo5eFpGSktpcXBRQ09oeVhEUkkvY2M2TEhqaDJMT1hQbW9LeXM3NWVHV2JObW9icTZ1azk2Y1hFeFZxMWFoVldyVmlFZWp5TVlET0xtbTIvdXprOGtFbGkvZmozR2pCbUQ5dmIySHRkbUdhS2hBV0RBelRPdTY3NE5vQlRKSVlMZkFnaW1naDRjeHpuTjkvMWl5N0tlRTVIZlJpS1JtWm5YMnJaOUI0RHZJVFVzQUtDNXNyTHltRkdqUnYxMXFraDQ1ODZkeTFKNUFkdTIveDdKZ0hTQ3FyWUR5SnhzK2dzQUN3SDBYYWVVa2tnazJnSGNtb3NoQlFEL0ppTERNeE15QW1xUGdxbjN2cXEyQUZobmpJa0NlTlB6dlBYanh0ZE9Sb0ZjbW9QMkhyQ2xTNWZpeHovK01RRGdzY2NleTFybWtVY2V3Zno1OC9ITmIzNnpPKzNCQng4RUFIaWVoMW16WnVIUlJ4K0Y0emlJeCtOb2JHekV5cFVyc1czYk5qend3QU9vcmEzdHZzNFlnMVdyVm5GWVlSQXg0T1lweDNIdVV0V3pmZCtmbWs1cmEydjdxTHk4L0RjQXhocGpwaU1aWkM4RVVLdXFQb0NyQUh5U1dVOUZSY1ZNRVVuM2ZPY1BIejc4SEFDekFQaXU2MVpPbWpUcHhNTEN3bzlWOVllZTV6MlJ2czYyN2IycHA4TDJLN1dVTERMNGQ5K1hiZHNKcElKcHRsNVpSdERZcWFvdkcyT2U4WDAvR28vSFd6UFdIQi94Z3NFZ0hucm9vYXg1bloyZHVPbW1tN0xtYmRteUJiZmZmanZPUGZkY09JNERwSHEraVVRQ1AvbkpUM0RlZWVlaHRyWVdIUjBkV0xwMEtRb0tDckJseXhZa0VnbFVWRlJrclpNT0hBTnVuZ21Id3lXcStvU3FYZ1JnUmpRYWRkTjU1ZVhsa3dDY0lTTFh1YTdySWRuTHF4YVJ1eTNMOGxWMWl6SG1qb3pxTEJINUlZQzFBTTRDY0xXSXZHYmI5djl6WGZmblNQNERuNWlxWjB2R2RTSWloYXE2ejRDYll3YXBYbTJ2SHRrZVZkMEY0QU5WL1RtQUZ6elBhKyszbGlPY2lHREtsQ2tBZ0E4Ly9CRExseS9IbkRselVGNWVqajE3c3Y5eHZQbm1tN2p6emp0eDZxbW5ZdDY4ZVQzeVhuenhSWXdiTnc1MzNKSDhhMUZjWEl3bm4zd1NlL2Z1UlZGUkVjNDc3enhNblRvMWE3MTA0Qmh3ODB4OWZmMGUyN1pqQU81eFhUZWFtZWU2N3J1MmJiK2QyZlAwUEc4UmdFWFo2bkljNTJvQUo2Ynl6OXF4WThlNkVTTkdMQmFSN3FscUVabUs1SGhzOTJkVlZsWVdwL0tPcFBXc0ZyN295WFlBOEZUMUhRQy9GNUYzSXBGSTgrRnU0R0RidEdrVGxpMWJodTkrOTd2N0xGZFpXWW5MTDc4YzExNTdiWTlORFFCdy92bm5ZOG1TSlNndExRVlNQNzgxYTlZYzBuWWZ6Umh3ODVDSXZLNnFiL1Zld3BQS0c2YXE1OXEyblcwWDJET3U2MTZENUFsaG93SGNEK0QvcU9xdWRLOHdFb25ja2pFSkZoQ1I3NnJxK3NiR3hrL1RsWXdaTTJaWTZtdjdrUlJ3MVJqelBvRGYrTDcvVWpBWS9JKzllL2R1UysrUXl6Zno1czNEL1Buem9hcFpKOGlRSElkSGFXa3B5c3ZMOTFuWHVISGpFSXZGK214cVFHckNMSkZJNE13eno4eDZiYmFsWlhUd0dIRHowSjQ5ZTVwS1NrcSswMC8yRWhINXQ5VFNyaDU4My85VCtuVXdHSnlpcW4vZXUzZnZ2S0tpb2dzeWluVVBnRHFPYzBPcUIzeExaajJkbloxbEJRVUZNTWJzeGhIQ0dITmhOQnFOQUJnU1p3N09tREVENFhCeU5WMWhZV0dmL0VRaTBiM2Vkdm55NWJqb29vdjJXZCtjT1hPNkQ3dkp0SGJ0V2p6NzdMTll1SEJoMXV0R2p4NTlrSGRBMlREZzVxR05HemR1Qi9CU3RqekhjYnBVOVgzWGRiUG1wMFVpa1pkRG9kRFdwcWFtM2RsNnlxbkp0a1dxdXNwMTNSN0JPeGdNbm9qa0VyWHRBNzZaUVJLTlJ0Y2Y3allNbGdrVEptRHExS2w5ZXFRWFhuZ2h2dnJWcnlJZWorUHV1Ky9HMXExYmNlR0ZGMkx4NHNWNC9QSEhjZVdWVitLNTU1N0xHaVF6Vng5azJySmxDMFNrKzlRd09yUVljUE5JYlcydFkxbldTVjlTckJEQWFhRlFhUHErQ25WMmRxN3dQSy9QUWFxcFNibDdWSFd1cXRhcjZtVUExTGJ0dVNKU3BLcHhFYmtHUUZ4RVlnTytLZXJqcWFlZTZwT21xbWh0YmNXYU5Xdnc3TFBQWXZ2MjdiamxsbHR3MldXWFllN2N1ZmpGTDM2Qm4vNzBwMWl5WkFsbXo1Nk5peSsrR0lsRUl1dnBZcGsyYmRvRVZjWHExVm4zdDNTcnJLekVLYWVjTXVCN085b3g0T2FSUUNBd0I4QVYreXFUR2x1ZEppTFQ5bFhPR0hNeWdHdzkxQzVWclFUdzRJNGRPMjVQbjY4cklpRlZ2VVpFUkZWYlJlUUhSOUo1dUVQWmZmZmRoeFVyVm1EMzd0MElCb1A0MnRlK2h0bXpaMlBDaE9SeHg2TkdqY0t0dDk2S0s2NjRBb3NYTDhiQ2hRdng4c3N2WThHQ0JkMnJEL2FscUtqb1M4dGRldW1sUFRaTDBNRmh3TTBqcnV0ZUIyRFFUeE54WGZlWjlOTWZXbHBhQUdCRzd6S1JTT1JhQU5jQ0NPVGpHYlA1N054eno0VXhCbzdqNEl3enpzRHc0Y096bGp2aGhCT3dhTkVpckYrL0h2RjRIR1BIanNWYmI3MlY4L1pTL3hodzZVQXgyT2JZNU1tVE1Ybnk1UDBvbVpSNU5pNGRXZmhNTXlLaUhHRVBseWdMUCtHamFjUDcrMUdTRHBXbURlOFB1UVBRR1hDSnN1aUl4L0dUUngvTGVuWXM1VVpYVnhkMjd0cDF1SnN4cUJod2lUSVkwYzhzeUNkR3RiaDlaOTZjYWRPSG1pL09tRlFBWXVYeGlWK3FuM2FxZnJJZkpZOTRlZnluUUhSSVdDZU5yNTVvQlF2eWVvdFZZVUJPS2k3UVdaWklRWHl2K1plNGtid2RIL0hGYlB2amhsaFQrb0NpZk1hQVN6UUUxZGJXVGdrR2c4K3JhckdJZkNjU2lhemNqOHZvRU9NcUJTS2lIR0hBSlNMS0VRWmNJcUljWWNBbElzb1JCbHdpb2h4aHdDVWl5aEVHWENLaUhHSEFKU0xLRVFaY0lxSWNZY0FsSXNvUkJsd2lvaHhod0NVaXloRUdYQ0tpSEdIQUpTTEtFUVpjSXFJY1ljQWxJc29SQmx3aW9oeGh3Q1VpeWhFK1JKSW96NFhENFJKanpLak1ORlVkcTZvQkViRlVkWXh0MnlkbjV2dSt2eTBXaS8wNTU0MDl5akhnRXVXNVJDSXhJUkFJUkRMVFJDVHo5Yi8wdnNheXJOTUJ2Sk9qSmxJS2h4U0k4bHcwR28ycGFzUCtsbGZWRFo3blJmYWpLQTB5Qmx5aS9PZXI2bE5JQmxPb2FwOENtZW1xdWd5QW4vdG1FZ011MFJCZ2pIbEJWZHUvckp5cTdrNGtFaS9scGxYVUd3TXUwUkJnV2RhbkFON0pITHZ0TFpYWDVQdituM0xaTnZvQ0F5N1JFT0I1M2k0QWI2aXFRV29JSVMxaktFRUJ1QnMyYk5oMitGcDZkR1BBSlJvYWZCRjVGOERuK3lpekI4QmJBTHB5MkM3S3dJQkxORVIwZEhSRUFiU20zL2VlUUJPUm5hcTY5bkMxanhod2lZYU1EUnMyZkFJZ2ttMGNONVVXOFR5djVYQzBqWklZY0ltR2tFUWk4YS85NVJsai9tOXVXME85TWVBU0RTRWRIUjIvVTlWUGU2ZXJhbXQ3ZS91cmg2ZFZsTWFBU3pTRU5EYzM3eFdSWDZXSEZVUUVJZ0pWZmE2bHBTVit1TnQzdEdQQUpScGlmTi8vbGFydVRiOVgxVTRBenh6ZVZoRVljSW1Hbm82T2pnOEJOR1QwY2o4TUJBTHZIKzUyRVFNdTBaQmpqTm1scW12MUM5R3VycTd0aDd0ZHhJQkxOT1EwTnpmdlZkVjFxWTBPbmNhWWRUejc5c2pBODNDSmhpQVJpYVEyUVF4VDFkY1BkM3VJaUlZeXNXMzczMjNiZm9mZlpJOGM3T0VTRFUwSzRGY2ljZ3dBYzdnYlEwa011RVJEVkVkSHgvT0h1dzFFUkVSRVJFUkVSRVJFUkVSRVJFUkVSRVI1ckthbXBzWnhuQWNyS3l1UHljSEhCUTZrY0hWMTlZaEQxeFRhWDF5SFN6UklBb0hBWHdHNHNhS2k0cTdObXpkM0hJclBxS3FxS2l3cUtucFpWUnM4ejd0NWY2OHJMQ3g4MWJidGphN3JYclUvNWNlUEgxOVVXbHA2a3FwK1JVVCt3dk84Sjc3c0d0dTJ6d2F3RE1ET0hUdDIxUEQ4M2I0WWNJa09NZHUydHdJb3paYm4rLzVmeG1LeHovYTNycWFtcGs3YnRqZFlsdlhEVUNqMGh1ZDVYN3E1d1hHYzB3QjhWVlgvVjJaNktCU2FKaUtYaTRpVmF0K3hxam9Td1BFaVV0NnJyT2Q1bnRmZlo5VFcxbjVGUk5KbjdvNHZMeSsvdjZXbFplNyszdGZSZ2dHWDZOQXJCUkFEc0NLZElDSlRBSHdya1Voa1BlZWdycTd1NnlJUzdxZSt6d0IwaWNpTVVDZzBQbHNCRWZuTWRkMzA4ODMrZStvUThqMk80MXlBNUxQUDNoZVJHaEdaRG1DbHF1NFVrUzBpMG02TTJhR3Eyd0MwV3BhMVZWVS84VHp2VC8zZFhHMXQ3YVJnTUxnQ3lhTWh6eENSSzBUa24yemIzdTI2N3UycGJjYkVnRXMwTUZWVlZjY1hGUldkazNvN0djbGdkNGx0MjN0VWRhdm5lV3RTYWVzamtjZy9wNjl6SE9mdkFIeXJ2M29EZ2NBMEFEZXFhbi9IS2hhSXlIOFRrVXRVMWMrU0h3UHdyK0Z3dU1JWU0wdEVDZ0c4a0ZIL2JVZytEZUl6MTNVdlB0ajdyNnVyT3o4UUNDd0QwSkZJSkw0ZWk4VTJBYmpUdHUwQ0Vibk5jWnlKOFhqOHFxYW1wdDBIK3hsRENRTXUwUUFVRlJWTkFwQitHbTVCNnY4UEFZQmxXYXNCckJsQTlkdGQxNjNJbG1IYjluVWk4cWlJbkJpSlJMYjFWNEV4Wm9HSW1LNnVyaEVORFEyN01ySjgyN1p2UDlpR1ZWVlZsUllYRjkrbnF0OVgxYWlxWGh5THhib2Z3ZTY2N2o4Nmp0T3Fxb3VLaTRzOTI3WnZjRjMzbFlQOXZLR0NBWmRvQUZ6WC9mZjArS3pqT0Q4RE1FZFZLejNQYXovY2JhdXJxN01CekZMVm14b2FHblprS3lNaVJZN2pUTjFYUFlsRVluTXNGdHVjdnFTdXJtNkdaVm4zQVJnbklvOS85dGxuTjJhYkpJeEVJb3NkeDJsUzFTZEZaSVhqT00vN3ZqOHZHbzI2ZzNXUCtZWUJsMmh3aUtyK2wvUnp4STRFd1dEd2o4YVlWMFRrYXR1Mjc4M01jMTAzUFlsM1BJQzN2NlNldXdEY25SbytXQWpBQnZCSEFDdU5NUjlVVkZSY1gxR1J0U01PWXd3c3kzcENWYWNEbUJZSUJLWTdqck5hUkdiVzE5ZC9Nb2kzbXhjWWNJa0dnVzNiM3hDUkUxSnZwOWZVMUx6UjBORHc0VURyRFlWQ1Y0dklJMW15Z2tnR3RCYmJ0dnRrR21QT3FxK3Zkd0Y4MjNHYzh3SDhQWUJUQVB4RHI2SWZ0N1cxVFNndkwvK1RpTnpZMXRiVy9YVGZrU05IbnFDcXpjYVlaaVRIZmFzQVRGVFYrWlpsTFRUR2ZHQlpWdS9lOGJHcXVsZEVlaXdKRTVFN2ZOOS95N0tzZTBTa3VMNitmdXVBZmpCNWlnR1hhQkNJeVBjQWJBVnd2R1ZaTjF1V2RXOU5UYzEvYm1ob2FFQXlBQjdVSWVBaThvNkk5QWlTcXZvL1Voc2ZLa1drQThEdkFLek5MR05aVm5vSXdFUWlrVmR0MjU0T1lKVHJ1ay8zcWt0YldscmlJMGFNOEZTMXVxV2w1YWwwM25ISEhlZFlsb1ZFSXZFR2trTUUvN3V1cm01NU5CcE5yMWlvN04xZXgzRlVWUmU1cm50SFA3ZjB6YXFxcXNLamRlVUNBeTdSQURtT2M1cXFYaW9pRHdHNEtaRklUQXNHZzg4WEZCUThIdzZISjZwcW9ZanNQSkE2VmJVSVFNSjEzU1lBVGVuMFVDaDBubVZaeDZucVFnQUxBTnlycWplMHRyWmUwM3NjTlJ3T0YvaStuKzUxRHdkUUdBcUZ4Z0ZBVjFkWDcvYXNGWkdMQU55V1RyQXM2eUlBc2NiR3hqK21tNVVSYkE5YVUxTlQ1MERyeUZjTXVFUURwS29MQUd3MHhyeHVXZFpObG1YdDZPenNQRDhZREo3VTBkRlJQR3pZc0FKVmJUdkFhbzhGOEhsbXdzU0pFMGVLeUdNQTdnZlFqdVNFMXBKZ01Iamw2TkdqSDl5OGVmUDNldFh4VjVabGJjaE1FSkdQa0Z4ZDhZaXE3aFlSSDhrTkdDOEVBb0U3dytId3hQcjYrbzNqeDQ4dkF6RE5HRE92ZDhNY3g3a0NRUFpCMitSbm5PNDR6azNaOGhLSnhBdXhXT3lqQS94WkRCa011RVFEVUZkWGQ3NklURlBWSGx0bUd4c2JQd1h3YWJwSHFhcmJENlJlRVJtcHFwa3JIWUlsSlNYTEFMUkZJcEg3YmR1ZURRQUZCUVhHR0hPRmlMeHIyL2I3cnV0Mjd5YnI2T2o0TUJnTTFpQTU4ZlVqQUhXSlJPSnZVOWR0VjlVNzA3OElvdEdvNnpoT3ZUSG1Id0JjVTFaV2RnTUE0L3YrejN1M1RWWG5BcWpxcDkwUWtYTlU5WXhzK2NGZ2NDTUFCbHdpT25DV1piV3A2anV1Nnk0SmhVSVg5YzVQN3hZVGtYMHVoWEljNXdIZjkxZEVvOUhWU0FhMU9nQ3ZJVFUwWUl4NUdzQmtWZjFyQUluTWExM1hiUXFGUWplS3lNOUNvVkNSNTNrTDhNVlg5MFlrSi9WMkFJakhZckhHZEowQVRnVFF2WVkzMVZOZkhncUYzZ1R3andEdXliYWN6SFhkMHgzSCtRYUEweUtSU0k4SlBjZHgxQmh6ditkNTNXTzRkWFYxZGlBUXVDb2VqLy9vYU44QXdjY25FdzJBNjdydmRuVjFYYnFQSitPZUEyQ2I2N29iK3NsUHU4U3lySmxJQnNlVFJXU01pTHc3ZnZ6NE1tUE04eUx5YldQTTM2YkdkUHZ3UE85eEFQZFlsbld2YmR0UHBJWUVzckVjeDNuRTkvMFpJbkk2Z083ekVWelgvWTJJdkd4WjF1T3ErbDRrRXJtL3Y4YXE2c1VBSGc2RlFyUDNkVk1USjA0Y2FWbldid0JjV2xCUWNPeVgvQXlHUEFaY29nSEttRlRxb2JLeThoZ1J1VlJWWC9teVdYbFZIUTFnQzVLOTRabXB0SzFsWldYclJlUThWYjNLODd4Vis2ckRkZDBmR1dQdUY1R3J5OHJLM0txcXFoNEg1cVEyT1R3RDRCckxzaW9CVklqSTYrbjhjRGc4RmtCNmttMXNLQlNhdEkvUHVnbkFTeUx5TThkeExzOVdKaHdPbDVTVWxMd0U0RGhWdldBd0p0enlIUU11MFNFeWV2VG82MVQxZUdQTWZiM3owc3ZFZ3NIZ01hbkpzRklBTGVGd3VFUlY1NmlxcDZwdnEyb2N3RVc5bDNQMXgvTzhXMVgxK3dEdTcvWDEvU1FBRXdHYzVmdisxMVcxR3NBbjhYajhkMGdPQlZ5Z3FoRUFGY2FZcjR0SXU0aThhZHYyZC9yNUtIL256cDB6UmFUUkdETXlhd0hmcndad3NvaE02NjluZnJRNWNyYkZFT1c1VUNnMDNiS3M1NHd4NWNhWXZ3d0VBbStJeUhPUlNPVEszbVVkeC9rV2dCY0IvRDZWTkZWRVRqUEd6QlNST3dCY0dZbEVua3I5RyszVE84NDRTMkZVZlgxOXYyY3BJSGt3ZW5rd0dQeFlSTm9TaWNUNXdXQndOSURWeHBnZkJRS0JaYXA2TDRETEFLeU54K09YTlRVMWJhMnVyaDVSV0ZqNFNtcllZYVV4NW9adDI3WnRIalZxMUkyOXFnOW1qaW1MeUFJQXExWDF0Nm1rUWdBOWxvR2x6dko5K2NCK3VrTURKODJJRG9GQUlIQTdnS2JVaG9nK0lwSElLNDdqUEE3Z2E2cWFVTlgvNlhuZXhycTZ1aWN0eXhydnVtNTZBOEtBTndnME5EVHNzRzM3VzhhWUxiRlliSlBqT1BOVjlYM2Y5Mzh0SWxFUkNhcnFiYTdyUGdEQUI0RDMzbnV2cmJLeThweFJvMFk5bWpvenQ2SzB0TFFOUUg4YkdwS05UWjV1ZG5ycXY2eEU1Q2tBUjJYQUphSkRJMWhUVTFPK0grVnl6cmJ0VVRVMU5UVkk5YlRUUzlmNkV3cUZUc2xaNDRpSWlJaUlpSWlJaUlpSWlJaUlpSWlJaUlpSWlJaUlpSWlJaUlpSWlJaUlpSWlJaUlpSWlJaUlpSWlJaUlpSWlJaUlpSWlJaUlpSWlJaUlpSWlJaUlpSWlJaUlpSWlJaUlpSWlJaUlpSWlJaUlpSWlJaUlpSWlJaUlpSWlJaUlpSWlJaUlpSWlJaUlpSWlJaUlpSWlBYmkvd05acncvUy9JK2Jld0FBQUFCSlJVNUVya0pnZ2c9PSIsCgkiVGhlbWUiIDogIiIsCgkiVHlwZSIgOiAiZmxvdyIsCgkiVXNlcklkIiA6ICI1MTEyNDQzNDkiLAoJIlZlcnNpb24iIDogIjM2Igp9Cg=="/>
    </extobj>
    <extobj name="ECB019B1-382A-4266-B25C-5B523AA43C14-4">
      <extobjdata type="ECB019B1-382A-4266-B25C-5B523AA43C14" data="ewoJIkZpbGVJZCIgOiAiNDU1Nzc0OTE4NjIwIiwKCSJHcm91cElkIiA6ICI1OTM5NzQyOTEiLAoJIkltYWdlIiA6ICJpVkJPUncwS0dnb0FBQUFOU1VoRVVnQUFBWWNBQUFFZ0NBWUFBQUJmQjc4b0FBQUFBWE5TUjBJQXJzNGM2UUFBSUFCSlJFRlVlSnpzM1hkNEhOWFZCK0RmdWJQcU1yamJFQWRFRU5pc3BkWGNXVENRa0ZCQ0FvSFFBc0dVUUdocER1M0RwRURvTFNFNEFVSXZvVHIwM2lHaGhCS3FabVpYUXJhSklBWU0yTmpZeGphcU8vZDhmK3lzV0Vrclc1Slh6WnozZWZ4WU8zUG56cDJSUFdmblZrQ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wMWxBWFFJZ056WlFwVTBvcUt5dm5qQjgvL3FOUFAvMzAwd0UrblFXQSszbHNCSUJaM3dJNGpoT2ZOR21TTTNiczJQZVhMbDBhZE4xZlZWWDE5U2xUcHB3M1NQY2p1MXdIYkxMSkp2dDg4c2tuL3huZ1U2M1A3MkRZVWtOZEFDRTJOT1BIank4Q2NKSmxXVnNPNUhtMDF1ZHJyVitNeCtNRi9UajJJYTMxMy9OVWxKT1ZVZytYbEpSc0JBRFJhTFF3R28yV1ozWVdGQlJNR296N2tjUE96SHo0UUo3QXR1MnR0TmJ6dGRiN0R1UjVoa0prcUFzZ3hGZUYxdnBlQUQvb1lmZFBQYys3dnkvNUVaRUg0QXhtdmdUQXlYMDg5ai9NL0NmSGNmN2l1bTZ5U3puUEFqQ3JoK091Y0YzM3dxeE5GalB2UlVUL3JxMnRYUVlBUlVWRmV3SzRwNmFtWnQ5RUl2Rk1YOG8xMEdwcWFyUlM2cVZjKzRob2dldTY4YjdrWjFuV1FtYituSmx2amNWaVRqS1ovRi9lQ2p2RUpEZ0lNVWlJcUFUQWFtYStLbXZ6UkNJNmdabHpmdnQzSEtmU0dMTi9ybjNHR0JEUiswUzB2VzNicC9aMDNqVnIxbHhSWGw3K0hTTHErT2JPekNraVdtT01PVnhyL2MzTTlpQUkzZ0N3RVlCeUlwcVRsVTBVd0krWnVUQTdiOXUyZHlPaXNRRHV6dHE4SjREQzl2YjJUa0ZuT0ZCS1dVUlV4c3gzQUppWHRlc1FBR1U5SGFlMVBwS1pKM2JkSGdRQmxGSXVFVTJQUkNLL3NtMDdaN1VaTTljbUVvbm44M1VkZzBHQ2d4RDVvYlRXQjRjL2x5SWRESGJTV2hjYlkwd2lrYmdINllmRUVzL3pMc2djRkl2RnFpS1J5QWs5WldxTXFWSktYUUtnbVptN3RROFFVUkdBelpWU096RHpGN255MkhqampXOHd4aHdBWUsvczdjeThuSWhtWm0rTFJDSnptQmtBMXJpdWUwNW11K000ZHpHekNZTGdqaTduUHdaQU14SGRuYlZ0RHdCK1EwUEQ0blhjczd4ekhDZkd6RkdrcjI5ckFLTzExb2VFdXp1Q0ZUUGY2L3YrUTVuUFdtc2JRTlZhc2o1RktWWEZ6QzFkZHpBemlLZ1l3RytJS09mdkFNQlZBQ1E0Q1BGVlUxbFpXUURnUnFRZmppcjgrOWZNSEZpV2xRSnd6L3JrbjBxbFppU1R5ZnF1MitQeCtEUm1uc2ZNUC9ZODc3NjFaREVyR28xT0xpNHUvbU5yYSt2c3Q5OStlM2xtaDliNlVDTDZ2akhtL3p6UFc2bTF6bjVqUUN3V213TGdRQ0s2TDVsTUxzaHNyNjZ1SGtORSt6UHpLNjdyZm81MHRjM1dBTDRCb0VWcnZUaThENUh3NzV1MTF0ZG1aZjJoNTNuYnJjOTk2WXFaRHdRd096eGZNVE5UMXUvbFBHWitiajN5ZnNqenZJTnk3UXVEWjVYbmVXc0xNQ09LQkFjaDhxQ3hzYkVWUURtK2ZOamVZWXc1TlB2YjZWQXp4clFEMktld3NKQUFIQlZ1VmdET0FORGkrLzdxWE1jcHBVNWdaa1ZFNTJSdkx5Z28rQldBWWlKS1phWDlSWGl1ODVSU3pVZy9WTDlPUktjQWVJQ0k2akpwbVhsVnZxL1I4N3l6QVp5TjlPOWhBWUJtei9Qc3pINnQ5YmI1UHVlR1NvS0RFUG4zdzZFdVFDN3o1OC8vekhHYzA0bm9PcTMxelo3bi9kdTI3U01BVEF1Q1lFY0EzYnFoVmxkWGoxRksvUXJBYmE3cmR0VFJUNWt5cFlTWlR5S2lqclJUcDA0ZFJVVEhBbmpKOS8wL1pyYUhEK1JUbVBsUnovTUdKVmphdHIwVkVXM056SW5CT04rR1NJS0RFSGswZGVyVVVRRDJRL3BiZE5SeG5CYlhkWjlhMzN3dHkvcUcxdnExcnR2RGFoTVEwZTFhNjF0eUhIcjYwcVZMYnhnL2Z2ek1NSDFBUkM4ejgxYTJiVytobERxUG1ldUlLR3JiZGhUQWl1eUR3L2FRVVFBdXpkNCtmdno0WHhQUlJBRE5tVzFsWldYSEF0aVltVzlZMyt0ZFgwUjBaT1pueDNGKzhlbW5uOTYyYU5HaTVyVWZ0VzVhNnh2RHh1dXVpc0oycHpVNTlxM3hQRy95K3A1N3NFbHdFQ0tQU2twS2ppQ2kxV0hQbDBNQW5LTzEvcW5uZVhjaS9kRHExNkF6WnY1TUtmWDdMdHYyWStacFJGUUtZQTBSZlFqZ3B1dzB4cGlYSjB5WVVBN2dncXpqa0traUNodWZ4eE5SWnY5OEFIN1c4WTlhbG5VY005K2x0ZDdkODd5UFk3SFlSS1hVbVFDZXkrN2h3OHhGUlBTQlV1cXUvbHhqdnNUajhRSmp6TkVBRm9jQjdNSUpFeVljTVduU3BMMk5TZC8rOWZnOTNLMlU4ck0ybFFDNGlKa1hoejI4Umhsai9xU1V5bTZNYjF2ZmF4b0tFaHlFeUpQd29mUmJBSGVGNHc3T1p1YjlpT2oybXBxYTJyQWJhSi9xMlpWU1JVaS9PWHhXVzF0N1pXWjdMQmFiYUZuV2VRRCtBT0JxWnA1RFJHZWxVcWtYY2pWY0E1alMyM05tTjBnbkVnblB0dTN2S0tWZURidXI3bXhaMWlFQXlvSWdPTld5ckdzeWFUM1B1N2lxcXVxTyt2cjY5cjVjWTc0eDh6RUFSalB6blFDMk04WWNiVm5XODhhWUs1ajVXaUxxYzN0SDJDc3M1WG5lUHdIOE03UGRjWndMbWZrL1JQUUpNMWN4OCt0RXRLWHJ1bWNNeU1VTklna09RdVFKTS8rYWlMNFdCTUdObG1XZGJJeGgzL2VQMVZyZm5VZ2szbkVjWnh5QTkvdVk3Y2JoMzU5bmJTUExzbTRBVUt1VWVqNzg5djh1Z0JzaWtjaHQ4WGg4cDlyYTJxYXVHZFhVMU95a2xPcXhlc01ZTXkrUlNMemRkYnZ2K3d0dDIvNmxVdW9oeDNIMlp1YUhBVXhKSkJLZTR6Z2Q2YlRXK3pMeldOdTJPeDFQUkJYaDM3dlp0ajI2ZS9hK2p6eUpScVBsekh3R2dOdUlxSTJaa1Vna3ZGZ3N0Z2VBLzBVaWtlMlJEcnJMMTUxYkp4dDMrUjFBYTcwak04ODJ4dXh1V2RieFNJOTdPTnV5ckhsYTYwTXpiNHNqbFFRSElmSWdIbytQWitaem1mazJJdm9vYTFmZ2VkNlRTQWVQY1FEY3Z1UnJqQm1ubE1LU0pVdFdaclpwcmM4aG9sMlp1VHFzMWdEU0Q5L1RtYm1XbWY4QjRLQ3VEY3lXWlowQllQZGNmZlVCbEJMUlJXSFBwVzU4MzMvWWNaeGxBUGIwUE85UkFML1BrZXozUkJUTHNUM1R0ZmRuWGNzVW5qTnZ3YUdvcU9oMElwcEVSSDloNW83eEk4bGs4bldrRzZySEthVVFCTUZuZmNoV0FSaGpqT240SGRUVTFIeU5pTzVuNXVzVGljVExqdU1jSDU1bmtkYjZKQ0s2eWJidDkzM2ZIK2g1blFhTUJBY2g4cUM1dVhsVlVWSFJjbVBNV2RrOWVES21UWnMyRHNCbXpPeXRMUi9IY1g0T0FLN3JYby8wTjF5Ym1UL09OS2JhdG4wcUVaMEY0QWpQODk2UHgrUFRNc2ZXMXRZMjJiWjlLQkc5N0RqT2ZaOSsrdWxoWFJ0aG1ma3h6L082amJqV1dpOWExelV5ODZjQXhvWWZ1OVhaZTU3M3plNUhwWHNyRWRHYmc5RzFsNW1YQS9pYjY3cnZaci9WWkJCUm5Kay9UU1FTSCtYTUlEMW1wV2pVcUZIWEs2WE9xNjJ0ZmRkeG5La0FpZ0UwSWd3TWxtVTlDMkJwMTNZZ3BPL0RUVnJyN3hMUjA3WnQvOGozL1gvbVBORXdKeFB2Q1pFSERRME5iZTN0N2QvcDZhRlRVbEt5Q3hHUk1lYkZ0ZVhEek5zRCtHM1c1eGtBM2dKQVd1dnp3dEhTNTdxdU96Zlg4Yjd2KzBSMEVJQzlKMHlZOElMak9KVjV1RHpFNC9ITkFGVDJvMXBzVUZtV2RjdlNwVXZQN0drL0VlMENJT2ZjU2huRnhjVVRpZWhJWnQ0UjZiZTNHVWovTHQ2S3hXSlRMY3Y2TnpPWHAxS3B2WE5WM3dGQWEydnIwUUJlVjBvOTdqak8vd0hvL28xaG1KUGdJRVNlMU5mWGY3aVczVWN3OC92SlpMSmJuWDYyc0hmTngwaS9KWHlUaUNxSXlOVmFQMHhFWnpMekZkblRXdVFTZHAwOUpLemlTZlIzNEpmVytnYkhjZVpwclY5bjVzemd0ZHY2azllNk9JNXpqdU00bDZ6dk02bTJ0blpaVDExV2EycHFkRGhGeGhOcnk2T3dzREF6aDlMSFNQOU9EZ2V3VENuMWpVZ2s4Z2FBVW1QTUhzbGtzc2UzcllhR2hyYW1wcVlEbVBsRkFIOTFIT2Z1bnRJT1YxS3RKTVFBcTZtcDBVUzBIelBQNmpydnYyVlpCbDlPeWdjQUZabXFKeUw2UDJadVUwcmRER0JiWmo3Yjg3enplbk5PMTNVZjBGcnZSa1NIZTU1WG03VnJFOXUydTFVcmhWTk5kTjM4SW9CcEFBb0JQTW5NVi9pKzM5RG5HOUFMekZ4T1JMTzExbHNIUVhCWU1wbnNhWTZpZmxOS25jUE1pMXBiVzd1OWRZVmRXMHZDc2xRUUVkcmIyeGRXVjFkWEEvaXVNZVp5cGRRYVp2NWZFQVFIOUdiMjFRVUxGcXlPeCtNL01NWmNUa1Q1bWg1OTBFaHdFR0lBMmJZOW1vaitBZURkMWF0WDM5UjFQek4vVEVRcFpqN0xjWng5QVZRUjBaV080K3dHNENCbS9udHRiZTBIQVBidDY0SXludWU5Q3VEVjdHMUVOSU9JSHV6bDhiY0R1TDB2NSt3dnovTk90VzM3UXlLNk5CS0pQRnRkWGYyRHVycTZGYjA0dEZjY3gva0ZnSDJaK2JpR2hvWnU0dzZZK1FNaStySFcraUVBTlFBK3FhdXIrNS9qT0M4eWM3dFM2bXJYZFJzQlBOT1gzME50YlcxN1Q5T2ZEM2NTSElRWVFFUjBCSUJKcVZUcW0rSDhTNTM0dnI5U2EzMEtFZjJNbWFORWRFdExTOHZOSlNVbEVXUE13ODNOemI4TGs2NzNTbVBoTEt5M3VLNTdkTmQ5V3VzM2xWS2Y1ejV5Y1BpK2Y3bHQyKzBBcnJBc2EzY0E5K1lqMzFnc1ZnYmdkQUJYZTU2WDh4dThNZVpTcFZRVXdIUUF5NElnK0VQNmx2RmxSRFF0REF6WUVGZDhFMElNa1ZnczFtMGRnQTJJbGUrMlM4ZHh0c2xuZnZpeXQ1Z3NpeXlFRUVJSUlZUVFRZ2doaEJCQ0NDR0VFRU50K3ZUcFkzdVJUR3pBUnR5UWJpSEV3Tk5hdndGZ3Z1ZDVSL1lpT1Nvcks0dkt5OHMzWStZdGlHaFQzL2R6TFR6VTlSdzdoMnRycjFxeFlrWDF3b1VMYzAwSUtJYUlqSE1RUW5RU2RpWGRqcG4vbXIzZHR1MzlpR2dtRWFsd3ZleU53NWxtSnhQUm1DNXAxem9WZHl3VzI0S0k3Z3MvVm80Wk0rYlBDeGN1UEhHZ3JrbjBuUVFISVVSWFJ6TnpHNEFteDNIMkJJQlVLcldBaUtxSmFIOEFUelB6S2lMNm1JaFdHbU5XTVBPeWNKYlN4Y3o4aWUvN1BjNTZHb3ZGcWlLUnlCTklEejc3SmhIOWhJak8wbHF2OFR6dkR6TFFiSGlRYWlVaFJJZDRQRDdlR0xPQWlEcTFPVER6YWVHWHllTTh6NnZvYi80MU5UWGZ0eXpySGdETnFWVHFlNWxWNjdUV0Z4SFJhUUFlYkdscE9iS2hvU0hYV3N4aUVNbWJneENpZ3pIbWowUmsydHZieDliVjFhM08yaFZvcmYvUTMzeWowV2g1Y1hIeHhjejhLMlpPTVBNQnlXUnlZV2EvNTNtbk80NnpsSm5uRkJjWCsxcnJFektMSkltaElXOE9RZ2dnbkQxV0tWVUw0R1RQOC83V2RiL1crZ3dpK2pXQUE5YVdUeXFWV3BRMW5UWFYxTlQ4V0NsMWNiaGM2QTJmZnZycFNUMU5xKzA0emg3TWZEc1JUUUR3VUJBRTV5VVNpYlV1a0NRR2hnUUhJUVR3WlpYU3JVUTBtWm1uWnUvelBLODhEQTduOXlLcmMxelhQVGVzUXZvVEFBM2dRd0FOeHBoL3JldGdwZFJFWnQ0ZlFDV2xsOVY3bm9nT3I2MnQvV1I5cmsvMGpWUXJDU0dBY0tFY0FQczRqdk45QUxNQmJKVmpyZWdQbGk5ZlBuWE1tREVmRWRGSnk1Y3Z6L1E0d3JoeDQ3N0d6STNHbUVhazE2cUlBcGpHek9jcnBmNWtqSGxIS2JWRGwvdzJadVpXSXVyVWpaV0l6Z2lDNEJXbDFJVkVWRnhiVzd0NElLOWRDQ0ZFTDJpdHI5VmErMTIybmFHMVhvaDA5Yyt6V3VzL1p1KzNiZnZIanVOd1ZWWFYxOE5OVkZOVDg3VzFuY2R4SExadCs0SzFwWWxHbzRYOXZ4TFJYL0xtSUlRQTB0VktCVUVRWkI3bW93QVUyclpkQVFEdDdlMnJ1aVIvaVlqMkJYQmFab05TYWw4QXlhemxVcm1uTmJYN0l0ZmlQR0xnU1hBUVFtUnNxWlNhbDcyQmlQNEhBRVZGUlZjeDh4b2lDZ0FnQ0lLSExjczZPeDZQVDZ1dHJaMWZXVm01RVlEOWpESGRsakYxSE9jbkFNYjNkRklpbXVFNHpzbTU5cVZTcVlkN3N5U255RDhKRGtJSUFFQnpjL043a1Vpa0dnQWlrY2laQUdwU3FkUkJBRkJRVVBBWk01L056TXNCSUpGSWVJN2oxQnBqZmcvZ3FJMDIydWdFQUNZSWdtNHJyVEh6aVFDaXVjNUpSQ0NpWFpqNW03bjJSeUtSK1FBa09Bd0JDUTVDQ09ETDZwdk1vTFFWQUZveWc5VGk4WGdCZ0s4RFdKWkp6OHgvQkhDdmJkc3ZoOHR3WHBocjNXZlA4MmFFYTJKdjQ3cnVWZG43SE1kaFk4eWZmZDgvSTdPdHBxWkdXNVoxWkV0THk1a3lHRzdvNUhWNVB5SEVCa2M1am5OVkVBUS9KcUlaQURvYXFUM1B1NStJSGxkSzNjRE1iN3V1KytlZU1tSG1Bd0JjYWR2MmNXczcyYlJwMDhZcHBlNEhjR0JCUWNIRytiNFkwWHNTSElRUU9SRlJrZU00OXdFNFNpazFCY0I0SXZwM1puODhIdDhFUUtZQmV4UGJ0cXQ2eXN2enZKTUJQRVpFMXptT016Tlhtbmc4WGxwYVd2b1lnTkhNdkdjK0dyTkYvMGx3RUVMa3NobUFhUUMrSFFUQnJzdzhIY0FuTFMwdHp5RmRIYlFuTTdzQXhodGpkaVdpbFVUMHN0YjZrQjd5QzFhdFduVTRFZFViWThibFRCQUUwd0ZzVGtUN2VaN1hNS0JYSjlaSlJrZ0xJVHFwcnE0ZUU0bEVQaUNpNWFsVTZ2dVJTR1FpZ09lTk1XZGFsblVQTTE4RTRHQUFMN1cwdEJ6YzBOQ3dlUHIwNldNTEN3dWZES3VlbmpiR25MQnMyYkpGRXlaTU9LbEw5aEVBcWN3SEl2b2pnT2VaK1psd1V5R0FUbDFYbWJuTzkvM0hCK1hpUlFjSkRrS0liclRXT3pQeng3N3YvOWR4bkh1WWVYb3FsZG9uRW9ra2lDakN6T2Q2bm5jSmdDQnp6SlFwVTBvbVRKaHdEUkhOWk9iZG1wdWIzeWtwS1hrL0Q4V1o2M25lTC9PUWp4QkNpSHpSV2srb3JxNnVScm82NlllWmdYRTlzVzE3cTBFcm5CQkNDQ0dFRUVJSUlZUVFRZ2doaEJCQ0NDR0VFRUlJSVlRUVFnZ2hoTmpneVFocElVUytXWldWbFdVQTBOalkrRVgyS0dveGNsaERYUUFoeElaRmF4MHJLaXE2dExpNCtPREpreWZYTDE2OGVNbFFsMG4wblN6Mkk0VEl0OUZFOUUxbUxnWXdlcWdMSS9wSHB1d1dRZ2pSalFRSElZUVEzVWh3RUVJSTBZMEVCeUdFRU4xSWNCQkNDTkdOQkFjaGhCRGRTSEFRUWdqUmpRUUhJWVFRM1Vod0VFSUkwWTBFQnlHRUVOMUljQkJDQ05HTkJBY2hoQkRkU0hBUVFnalJqUVFISVlRUTNVaHdFRUlJMFkwRUJ5R0VFTjFJY0JCQ0NOR05CQWNoaEJEZFNIQVFRZ2pSalFRSElZUVEzVWh3RUVJSTBVMWtxQXNnaEJpNTR2RjRxVEZtUXZZMklwck16QllSS1FDVHRkYWJaKzhQZ21CWk1wbjhZdEFMSy9wRWdvTVFvdDlTcWRSVXk3TGNydHVKS1BQalhWay9Bd0NVVWpNQXZEbElSUlQ5Sk5WS1FvaCtTeVFTU1dhdTYyMTZacDduKzM2M1lDS0dId2tPV2JUV2gyaXREeHpxY2d5MGFkT21qYk50ZTNTdWZkT25UeDhiajhlbkFhQmMrNFhvSW1EbXVVZy8rTUhNM1JKa2IyZm1ld0FFZzE5TTBWY2JRclVTT1k3ektqTy82WG5lQ2JrU09JNXpORE52cjVRNm83YTJkdGxhOGpxZWlOWUF1SC9naXR0M2p1UHNCcUN3TDhla1Vxa1Z5V1R5OVZ6N1NrdExmOGZNczZ1cnE4ZlgxZFd0eU41WFVGQndERE5mVWxGUlViSnc0Y0tXOVMxN1g4VGo4YzJZT2RyWDQ1cWFtdDZjUDMvK1p3TlRLckV1eHBpSGxWSi9BTERST3BLdVNxVlNqdzFTc2NSNkd2SEJRV3M5RThEMkFPN050VDhlanhjdzh6bEUxQXpnODc3a0hZdkZxaXpMMnI4M2FZbm9MdGQxRy91U2Z4L2NBMkJjWHc2d0xPc1ZBRHZsMnNmTU94T1IzelV3RERWbTNoZkFGWDA5cnFTazVIc0EvalV3cFJMcm9wUmFBaUJCUk4vTzllYUFMOXNnRWtFUWZEVFk1UlA5TTlLRGcwVkU1d0JZb0pUNlc2NEVRUkRNVWtwdEJtRFAydHJhOXI1a0hvbEViQURuOXpLNUQyQ2dnZ01BWExaOCtmTFRlcE53ekpneEQzVDlGdWM0VHB5WmY0WDBmMVNIbWQvVFd0K1kyVTlFMTdpdVd6c0E1ZTZ6cHFhbThTMHRMZXZzelRKNjlHaEhLZlhLNEpSSzlNVDMvZFdPNDd6R3pOOENvSmk1bzBFNnF6cUppZWkxZWZQbXJlM05YUXdqSXpvNGFLMW5BWmdhQk1FZWlVU2l2Ykt5c3FpOHZIeDMzL2NmQjREcTZ1b3hTcWt6bVBrK3ovT2VEbytKdHJXMUxYNzc3YmVYSTN4b0dtTkdJZjJBM0ppWkMyM2IzaVU4eGJ5V2xwWk5zczlaWEZ6c0FxaHRhV241V2ZiMnRyYTJBZjBXenN4QmI2dDV4bzRkYTNKOGd5c0ZVQUZnMC9EM3ZqVDhuTDEvV0ZCS3RmYm1XclhXYllOVElyRU9BVE8vSHI2Wmora2hUVk9ZcGs5ZjBNVFFHYkhCSVI2UGIyYU11UWpBM0VRaThRd0FsSmVYbjZLVXVxaW1wbVptSXBHNEp4S0pYQUtnQU1CSkFCQ05SZ3NCUEZSWVdGaFNVVkd4VmZnQXVrNHBGYy9rUzBRZ291ZVJmaURmMzlEUWNGRDJlYlhXQmtCclEwUEQ0a0crNUcwY3gvbEpieEl5ODljQWRQcm03YnJ1U3dCMjExcGZ6c3lUQVB3Y3dDbnQ3ZTNuMXRmWGYrZzR6bFdPNHp6UHpJUjBnRmt6ZHV6WWp1T05NVWY2dm45SC9pK3J1Nktpb3BtTzQ3U3VLeDB6YnpFWTVSSHJGZ1RCNjVabExjMEVoNjVmVG9ob1ZWdGIyeHREVlQ3UmR5TTFPSkF4NXRwMERVVFR5VWdIaTAyTU1hY3o4ejhUaWNROWp1UDhFTUN4ekh5YzUza2ZBMEJoWWVGc0l0cktHSE5VNXB0cEtwWGFDMENoTVlZS0N3czlacTRMZ3VBSXBQL0JOdzN4ZFhZZ291OHg4ODY5VEZ2TXpLK0ZqZldYRXRHMXRiVzE4OFBkZXdGNGlwa25LcVdPalVRaVZ3TDQwQmh6cjFKcUhoRjlGOEQreHBqWlNxbkFHRE5LS1hXUlVtb3dlN1pkM2xQZGRiWndrQldRZmdQOEVUT1A4VHp2RnVrTk0vaVN5ZVFpcmJWTFJGdm5DQXdBNE5iWDEzODRWT1VUZlRmaWdrTThIaTh3eHR4RlJEOEE0SldXbHM1eEhLZVVtYU5FRktSU3FXTzAxdnNDdUkyWkZ3TDQzTGJ0dzVWUzVjejhCMmErMy9mOVd6UDVKWlBKVHdIQXR1MXZBaGhIUkszSlpITFJrRjVrZDh6TWYvTTg3OVRlSkxadCt6QWlLbzdINDFPWitTUmp6THNBNXNmajhXbk1YQW5naks3L2dYM2Zmd0hBQzdadGoxSks3ZS83L2hVQVREUWFuVnhjWEh6UlFGMVlGd3dBcmEydGt4c2FHdGFzSzdIV2VsTWkrbmtxbFhxdm9LRGdJaUxhSGNCTmcxSlMwVTBxbGJxdG9LRGdrRno3akRFMzV0b3VocThSTjg0aGJGVGVDTUFxWmxZQU5tWG1LZ0JWekh4aStHQS9Bc0RHUkZSQlJIY1IwUlVBcmlXaTVhbFU2bWU1OGxWS0haWDVPUmFMVFJuVWkxcTN6NGhJVjFaV0Z2VW1zZS83ZDZ4ZXZmb2Z4cGhmSXgxWm5rTDZQK2hCek56MnhSZGZQTkhUc1VRVVlXWUR3T1N4L0wzQ3pKOGgvWWEzWTIvU2U1NzNzZXU2NXlpbFNnRHN5Y3hQWndLTUdIek56YzNQTWZPU3J0dVplZW5LbFN1ZkdwcFNpZjRhY1c4T0FMQml4WXA5TXRWQ3NWaHNZaVFTU1REelhaN24zWVowZGREL1daYjFWd0NObnVjdDAxcWZDZURNSUFnT3k5VjkwN2J0MGN4OEdCRzFBNmkwTEt2UmNaeVRYTmU5YmlpdXJ5dG12cDZJL3JMUlJodDlvYlh1N2RpREVpSlN6SHlUNy92L1JmckIveU5tL3Jpc3JPeW56THhWdUcybTR6ZzdNZk56bnVjMUFDZ0JNQ1RWYWN6OEZCRjlvSlI2eG5HYzVqQklyUlVSV1FDS21Ya2xFVjA4T0NVVnVUUTJOclk2am5NbmdKT3pleXdaWXg0YzdERXpZdjJOeU9DUTlRL05zaXhyTGpPdmFtcHErbmxtZi9qMnNBanBxb2Q5QVp3RFlIWWlrWGc1VjM1S3FkOHc4K2NBUGdEd09UTS9BdUFheDNIYVhOZTllWkF1cTBlZTUvM1Z0dTNuaUtpYW1kZjY5cUNVbXNUTUFZQ1BqREh6ZmQvdm1NT0dtU2NTMFdRQWwyVkdRQlBSYjhMZFB3ZlFBS0NNaUZZUDlEWGw0dnYreXFsVHAxYVZsSlRzUmtUak00M2p1UkJSQ1JHTlkrWWxSTFE0bFVxOU1OekdiWHdWQlVGd3AxSnFWbWJRSmpPM0FiaHZxTXNsK201RUJvY014M0htQU5pcHZiMTkrd1VMRm5SN29HbXRvMFEwbDVudmRGMzMwbHg1VkZWVmZaMlpUd0p3TVRQdlFVVHdmZjlVclhVbGdKT2owZWcvR2hvYWhyekxwTy83ZmppV1lxMjAxdlZFdE1oMTNUMjc3dk04cjZPNnpMYnRYWWpvZVdQTXRtSGVRUHFoT3c3QWtQVkZEMytQRDY4cm5kYjZJQUIvSTZJZFhkZDliWEJLSjlhbHVibjV2Ykt5c25sRVZJUDB2NmY1U3FrRlExMHUwWGNqTWpoVVYxZVBLU2dvT0R2c29ucFpKQktacExXdUFqQ0JpQ3pYZFM4TmV5dGR6OHlyQU16VldoL0l6R09KYUN3emp3WHdiOS8zbnlnc0xMeWFtZHRUcWRTVmtVaGtqL0FVcHJXMTliREN3c0xJVUFXR3FWT25qaW90TFQyOEg0ZU9ZV2JTV3Y4eXM4RVlzenlSU056VHkrTTNZZVpCSGNWYVUxT3pxMUpxYWwrT0lTS045TFVkb0xXMk05dFRxZFF6ZFhWMTd3MUVPY1c2R1dOV0EzaVRtV1BocGpkVHFaUk1iVElDamNqZ29KU2FrQm03QU9Ca0lqcVptUTBSZlFyZ0xRQ1hBamdCd0NaaHZlY1RDUHRhQTFoR1JFdVoyVVA2dFhjalpqNm5ycTV1aGRhNjR4eTk2UzB6a01yTHk4Y1lZK2IwNDlBU0lwckV6QjNIS3FVYXdpazRnSFE3VFJrUmJZbjBQVG5QY1p3cHhwZzV2dS9md2N6VG1QbnVuakozSE9jMVk4d0oyZFZWNjBzcE5STkFyOFp3WkxIQ1kwL0licHV3TE9zbkFDUTRESkhHeHNaVzI3WmZKNkpEQVVTWStYVlp1MkZrR3BIQklaRkl2S08xL2hVekx5YWlSY2FZVHhLSnhPTHMvdTJwVk9vc3BkUnRTcWwzalRHTFY2NWN1YmlIUnJFVGZkL3Y5WlREZzZXMnR2WURBT1daejFyckdnRFhBL2kxNTNsdjlYU2Mxcm9ld0NMUDgvYnNzbjFmQU1jQnFBSlFRV0hVSktMcEFHcVplVjQ4SHQrU21UY0ZrSE5LaW1nMFdnNWdlNlhVMS9NNUg3L25lYjhFMFBHbTR6ak85Y3k4V2luMSs1Nm1QTkZhSDBSRTl3TFl6Zk04cVZZYVJvam9QK0VJL0RKanpLdERYUjdSUHlNeU9DRDlRTGwyYmZ2REdVbHp6a3JhSlo5RVBzc1ZybnAxYXlxVk9xR3VyaTZmUWVkakltcGw1bGNjeDVudHV1NlZmVG1ZbWNjb3BhTGhGQVpYcHFlNm9UbkdtQU16YlE2MmJaK3FsR3BhdlhyMVAzUGxZVm5XeEV4WmtINklud09nekhYZDMrV3o2NnN4NWhVaXVvNlp2MVZWVmZWakdUdzFzbmllTjA5ci9TNkFqWlBKWk1OUWwwZjB6NGdORGdPdG9xS2llTnk0Y2VWZHR6T3pZdWJDZUR3K3Z1dStjRHJ3TWlMNlJrRkJ3U3RhNjVtZTV6MlpqL0o0bnJjMEhvOS9sNWx2QUhDRjR6Z05ydXMrMXpVZEVaVndqdUhGNGNDL2pzRi9ZWU4weC81b05GcElSTE1Bekcxc2JGeVZxd3lXWlcyRzlEeFNIeUY5TDhxSmFMYldldXNnQ0E3TFYvV0I3L3UzMnJiOVh5SjZ1S0NnNEhZQXUrUklWb0wwRytJR1BhNWh5cGJUS3lOV1FkVlFsNk92MmxJOEgwQmh4ZGIydmtOZGx2NW9JelB2NHdYSnIzUkQrb2dMRGxycjNRRThsS2ZzOXZjOEwrZFV6MlBIanYwbE0rZnM0VVJFK3pEejBseTdQTTlycUttcDJkR3lyS2VJNkJHdDliR1o4UmZySzZ4aU9hcW1wdWJxUkNMeFJqUWFMU3d1THI0eWJIUnZBN0ExZ0c4UVVaK25yeTR1TGo2Tm1TY3c4N25aMjB0S1NsYUZpN1VjUlVRTVlGbDlmZjBpcEFQV3FiWnRmMGhFbDBZaWtXZXJxNnQva0svdXBMN3YveWNlaisvUTFOUzBFdWxnOW1NaStnNkFMNGpJWXVaRG1Ka3R5OXBnM3lvcUt1d0tLdUFIR1Z3NTFHWHBxeS9hdzVpdDZJaWhMa3QvRklJKzJheHkrZzgvYUh6N0svdm1NK0tDZzFMcUhXYitmVDd5SXFKMzFyTDdNV2J1MXpRYWlVVGlJNjMxYmdDZUo2S1RBZHdCSU5YL2tuYkwvdzJrRzgzYnROWS9BUEMxc0EyaGhabGZCTkNuNlM1aXNkaEVBTWM4NzhCNkFBQWdBRWxFUVZRdzgvRys3MytjdmErMnRyYkpjWnpyaWVnWVptNEJjR0wyS0dUZjl5KzNiYnNkd0JXV1plM2UwN29hL1ZGYlcvdHUxc2VOQWN3S0IvWXhFUzFtNWxNejgyWnRrQ0ptTWhPTnQ1UXFuamhoSWtwTFM0YTZSQnU4bHBaV0xQbDBDVktCR2FQU2I4cGYyZUFnUzBFT29GZ3NOckd0clMwWUlhdVVXZXN6WVozak9OdTRyanN2djBYNmFxdW9qTzJBQW5xd3ZMUnM4bTlPT1JIYmZ0bGpWd3lRK2UvOEZ4ZGNQQWNyVm42K0VzWWN1bkJCOGlzNzdjZUllM01ZU1RLVCtvMFE2eldUcVFTR2dhTXNoYzIvUGdYUmJmbzBGRVQwUTJ0ckt5S1dQQll4RWlmZUUwSUlNZkFrT0FnaGhPaEdnb01RUW9odVJuUndtRFp0MmpqYnRrZm4yamQ5K3ZTeDhYaDhXajRiM1d0cWFyNFdEbkliZGlvckt6ZWFObTNhdUtFdVJ5N0QrYjZKbnJXMzUzKzU1OWJXVml4YnRxemJNcUpJeitpS3BxYW1uUHZFNEJ2UndhRzB0UFIzUlBSWmRYVjF0MFhOQ3dvS2ptSG1lUlVWRmV0Y0lNZHhuSE1jeDlsdFhlbVVVbGNSMGYzclUrWStpa1NqMGNsZC84UmlzYkt1NlVhTkd2Vm1TVW5KT3NkVDJMYTlsK000VDhmajhZMTdVNEI0UEY0d2ZmcjBzYlp0VjlpMmJZZFRhQUREKzc2SjlmVEpKNTlndDkxMncvMzNmL2xyWTJZME5UV3Q4MDgyWmtacjY1ZkxnYi93d2d2WVk0ODlzR1pOOTZuTDNucnJMWHo3MjkvRysrKy9QOEJYSjNwalJEZkxNL1BPUk9Tdno4Q3JxVk9uamdLd0Q0QXpITWM1M1hYZFArZTNsUDBYaThXbVJTS1JibE53TVBOcEFQNlV0U2xGUkg4RGNLWFcra1RQOC83V1U1NUtxZjJaZVF2WGRUL1AzdTQ0enY4eDg2OEFGQkpSRVlBU1ppNWg1c0tpb2kvamExRlIwVThCM0RhYzc5dFFxcXlzTENvdkw5L005LzNHa2J3cTNkMTMzNDMyOW5ic3VPT1hpL0s5Ly83N09QREFBOWQ1N0FzdnZJQlJvMFlCQVA3ODV6K2pycTRPbDExMkdjYVA3emFwZ0JqR1JseHdjQnduSGo3RVFFUU9NNytudGU1WW41YUlybkZkdDdhMytTMVlzR0IxTEJiN2ptVlpkeExSeFZycnFPZDVSL1hpMEVIRHpDY2FZenlsMUZRaXVwR1pVNDdqN05BbGpRdmdIUURmY1J6bmpleDlRUkMwSmhJSkx4NlBGekR6QVFBU1d1dU90WDZYTGwzNk1ETS94OHlXVXFxWm1adUphRElSWFdpTU9aeVpHOE9SeVY4WVk1WmloTnkzb1ZCYVdqcUJpTjV3SEdlQk1lYnZiVzF0anpZMU5hMWN1SEJoNjBnSkZxdFdyY0lERHp5QW1UTm5ZdE5OTjhXYU5XdFFXbHJhc2YrWVk0NUJOQnJ0ZHR3YmI3eUJlKzdwUERQOG5udnVpU2VmZkJKSEhua2tycjc2Nm83dHJhMnR1UHZ1enBQL0xscVVIbk42MzMzM1lmVG96clhGUngxMUZDS1JFZmU0R3RGRzR0MHVCVkFCWU5Pdy9FdkR6OW43K3lTY0UraEhXdXUvaHhQYmJjUE0zV1lkSmFMaWNLMkVYTk41OXpnVngvcGk1cnBFSXZHeTFub0dnQ0NjeHFMVGJKZFo4eVJ0RGFEVDF6dWwxUHNBS2xLcDFBR1daWTBIc0VQNEJ3QXdZY0tFRjhNSkNEc21JZFJhYjB0RUZ5cWwzbkJkdHpGWHVZYjdmUnNxUktRQWJFOUVNNHFLaXY1VVhGejg0c1liYi95c1pWbUpwcWFtaHVFK0tQSWYvL2dIQ2dvS2NPeXh4d0lBTHJ6d1FqUTJOdUxDQ3k4RTBtKzArUGEzdjkzdHVKVXJWM2JiVmxOVGcydXV1UVlubkhCQ3ArcWl0clkyUFAzMDA1M1NOamMzQXdCZWZ2bGxGQlFVZE5yM2s1LzhSSUxESUJ0eGQ5dDEzWmNBN0s2MXZweVpKNFhMVzU3UzN0NStibjE5L1llTzQxemxPTTd6bVNVbXg0NGR1MmJzMkxFZHh4dGpqdlI5LzQ0Y1dhYzh6L3NwMHYvNHF5S1JTQm1BR3dBa3M5TDhqSWhHQTdna2E5dG1BSDR6R1BlU2lQWmc1cGZhMnRwdUxpZ29lRGJjOWhNaW1zM00rekh6QnowYzE1YU9FZW8wWnY2WDUzbmZ5OTZ2dFQ3VWNaeWZabTlqNW8zQ0gyOXlIS2VweTc0L2VwNzM3L0Rqc0w5dlF5V2MwbVFzZ1AwdHk5b0h3TWNsSlNYdjJyYjlCaEU5cnBSNnRhY3B5WWZLa2lWTE1IZnVYTXllUFJzYmJiUVJGaXhZZ0dlZWVRWkhIMzAwQ2dzTCs1WG5OdHRzZzhjZWV3eno1czNERFRmY0FBQVlOV29VN3IyMzgwd3JyNy8rT21iTm1vWExMcnNNRlJVVlBlUW1Cc3RJL28rNUY0Q25tSG1pVXVyWVNDUnlKWUFQalRIM0txWG1FZEYzQWV4dmpKbXRsQXFNTWFPVVVoY3BwVG8xd211dDV3Qlk1WG5lQlYybm5UYkdQT0g3L2tOWmFYY25vaW5aMDJXSDM3Qi9nd0VXaThYS21IbG5BTDk5KysyM2x3TllqblExMi9lUmZtQW5mZDlmMk5QeFd1c0RBZFF3czlOMUh4RzliWXk1Syt2ekRrVDBpekRmblpqNUVnQWRJNkNOTVIrTWxQczJSQmhoWTJ3V2k0aStIdjdaQmNCdmpUSHZhNjF2Ykc5dnYzVTRURXZPekRqLy9QTXhjZUpFekpneEF4OSsrQ0V1di94eVRKNDhHY2NkZHh3V0wxN2NyM3pmZSs4OVhIWFZWWGpoaFJkUVVpTHpRNDBVSXpJNHhPUHhhY3hjQ2VDTXJ0M2VmTjkvQWNBTHRtMlBVa3J0Ny92K0ZRQk1OQnFkWEZ4YzNIVkNPb3VJTmdQd1k2MzF0NXVibXc4WnJxLzg0UkttUlVUVWFVWmFZNHlsbE1xOEhmUW9DSUtuTE1zNm00aGV6bDd4anBsLzY3cnUxWmx2K283ai9BakFJUURPQlhBMmdBdkRRSEdvNTNuUGhvZFpqdU9NaVBzMlJEcnErRExWZmVITXRpQ2k3S0N4T1JHZFgxaFllSnJXK2xVQVQ2WlNxVGNqa1VqalVFd29HQVFCNnV2cnNYcjFhdXkzMzM0ZDIrZk1tWVBpNHVLT3o3Lzk3Vy9SNVR0V3gvSFpsaXhaZ2l1dnZCSlBQdmtreXN2TE1YdjJiSXdlUFJwbm5ua21BT0ROTjkvRXd3OS91Vno0c21YcHBjc3Z1K3d5bEpkL09WdisvdnZ2ajIyMzNUYlBWeXZXWlVRR0IyUE1RUURhbXBxYW5pZ3BLWW5uU2tORWtYRDV5TFV0UWhPNHJqdlRjWnovRXRIcEpTVWxMd0tJclNYOWtHSG03UUI4MGRyYTJxbmVub2hLdzcvL3E3WHUxdURKekFmNHZ2L1BzSDNnQXEzMWZ3SGNRa1IzTVBNellVTTI0dkg0ZUdQTUg1bjVDR1krZ29qK1IwUm5FOUd0QUJZQmVGSnJmV3NRQk9jbWs4bEZJK1crNVZDZ3RkNDJySkxNT3lJYXg4eVI3TFV5MExsTnFKTXdVSlFTMFhlWmViZElKTElVUUlOdDIzNWJ5bnpVRlBDZ1RZNFppVVJ3d3cwM0lCS0pvTGk0R0QvNzJjOHdiZG8wN0xycnJwM1NIWFRRUWRocXE2MjZIZTk1SGg1NTVKR096OFlZUFBmY2MvalJqMzZFV2JObVlmVG8wWjNhR1lJZ3dMSmx5enA2Tm8wYU5RcTc3WmJ1R1ozZC9kV1l2SzBqSmZwZ1JBWUhJdm9STTM5Y1ZsYjJVMmJlS3R3MjAzR2NuWmo1T2MvekdzTEZZSnJXblJ2WWRkMC9hSzNuTS9QcTlaMkFiZ0Q5RmNEUGk0cUsvaFMyc3dEcDZ4NExJRERHbkoyZFdDbTFCWUJaeHBqc3FjTFo4N3k3d3Q1ZHJ1ZDVkd0ZRV3V1TGpERy9DdS9YOTMzZmYxRnIzZkZWelhYZDY3VFdqVVIwY3lRU09jcHhuT3RkMS8zMUNMbHZuZGkyWFFiZ0xLWFVucjFJM21lOUdjRFY1ZTJoNDdpd2pXSmkrS2ZHSW5vUVp2Q0NBNENPaC83bGwxK09scFlXL09FUGYraVdac2FNR1RrYnBJTWc2QlFjTnRsa0V6eisrT09kZWg1Tm5EZ1JPKys4TXlLUkNFcEtTbEJYVjRjNWMrWjA2aklyaG9jUkdSeVllU0lSVFFad1dlWVZQcXYrK3VmaEhPeGxSTFM2dDNsNm5uZDcxMjFFZExQV09uczUwdEVBTEszMTRxdzBnM0lQUGM5YjZqak94UUF1MUZxZmsxWHRNQUhBVXQvMzUyU25Ed2VuelZKSzVWbzNPNXNCTUltSUhqUEduTm5XMXJZc0dvMldNL1BuQUM1dWIyOXZqVWFqNVVxcFY5ZXNXVE85ckt6c0ZHT01uMVd1WVgzZnVtcHViZzdLeXNvK0JEQi9nRTRSSWFJdHdpblFPMlNDUWRmQUVINDJSUFFGZ0pYTXZDZ0lncitrVXFsSG05b2lEZ3BvcndFcVo0OWVlKzAxM0g3NzdaZ3padzdHak9rMnZyVFgzbjMzWFh6d1FmYytFdnZzc3c5ZWUrMDFNRE5HalJxRks2NjRBaTB0YS85bnV0Tk9PM1hyd1NRRzFvZ01EcDduVGNuOEhDNTMrYnd4WnR2TVdzZ0lYKzhCTE90dG5yRlliQ296ZjVvOW9DNWN3TDVUcnhzQW80a29WNitiQWRmUzBuSmJjWEh4eFFEMkJYQXQwZytkclFDOGx5TjVJY0l4RGdnSCs1V1dscjRVN2l0aDV0OXJyWTlEK3JYOVlLWFVaa3FwLzJYWExRTkFZV0hoNzhJMGJ5MVlzR0M3c0MyaXcwaTRiOWtXTEZqUVZGMWQvU2ZMc3E3dVJmSStZK1pKU3FuN2lhZ01QYnhKWkZVeHJXYm1WNHd4THdCNHg3S3NaYWxVYW1saFllRzd5V1N5dmFKeThHdnFHaG9hOEx2Zi9RN1RwazNEcWxXcmNNMDExK0RqanovR1RqdnRoS2xUK3pabCtDT1BQSUs1YytldU05M1NwVXR4NnFtbnJqWE5zODgrMjIzc2d4aFlJekk0OU5JbXpQeFJieE5ibG5VNkVlMFhpOFcrbHRrMjNIcmRORFEwTE5aYWYwcEVXeUljalV0RVU4TjFwVHN4eGhRcHBSQ0pSSnFSRGhKdEFPNExkMjlEUkI0enY0NTBGZFNLVkNxMTFMS3NYWW5vWENJaVk4eFptYnlJNkNJQU9lYzBHQW4zcll1Z3JxNHVWekROaTFnc05nVkF6dTZwV1kzVDg0d3hON1MxdGQzVjNOeThZdUhDaFczcmFCc2JOTFcxdFZpelpnM216WnVISzY2NEFsT21UTUdVS1ZPdzZhYWJkcVRwYllQMFNTZWRoQk5PT0NIbmVaNTQ0Z2xjZE5GRlVFcGgrdlRwdU9hYWF6cnRaMmE4OWRaYjJHNjc3WUN3UFVRTXJoRjl4Mk94V0ZubVFVbEU1em1PTThVWU04ZjMvVHVZZVJvejM5M1RzWTdqdkdhTU9jSDMvVGZEcXFrOW1iayttVXgrRVlzTjY3YlZGRE9YQVVCWldkbk9BRXFNTVk5M1RhU1VLa2I2UWQwTUFJMk5qYTBBTGtENndmeDdBRTk3bm5kbGw4TmVjQnhITWZPQ3NOY1h3dlNqQVh4aTIvYitBTnA5MzgrY2J5VGR0MEVURG9MTFZCbTFFdEZpQUI4dzh3dEVkSi9uZWNsMTV6STBmdmpESDJLSEhYYkFsQ2xUdW5VN1hiZ3czVlA2NElNUHp2a1c4ZFpiYjNYcWZhU1U2aFpFMXF4Wmc4c3Z2eHdQUFBBQURqdnNNT3kxMTE0NDZxaWpjUC85OTJQbXpKbGdaanozM0hPNCt1cXJzWERoUXR4NDQ0M0k3bDBuQnMrSUN3NWE2MzBCSEFlZ0NrQkYySWdISXBvT29KYVo1OFhqOFMyWmVWTUFyK1RLSTV3OGJudWwxTmNCdkduYjlyWkVOSkdaTHg3MEMrb0ZJbkswMWhFaW1oR09ERzlBK2x2N3I1aDVZU0tSZUxick1jeGNSa1FJNjdKN0ZJMUd5eHNhR2pJOW9DSUFxZ0U4bHBYRUFqQUp3R1pLcVgyWWVRbUFyeU5kcFRlczc5dFE0WFJkMGtJQS95R2lWNW01dHFtcHFYN0JnZ1c5YmdNYkttUEdqT25XenZESko1OWc1Y3FWSGNGaTIyMjN6ZGtnM2RyYTJpazRaRXVsVW5qODhjZHgxVlZYWWRXcVZiand3Z3V4NTU3cFBnR3paczNDSlpkY2dwVXJWK0tsbDE3Q3ZIbnpvTFhHTDM3eEMxUlhWdy9JZFlwMUczSEJnWm5IS0tXaVlaWElsZW0xNW1tT01lYkFUSnVEYmR1bktxV2FWcTllL2M5Y2VWaVdOVEg4TWRPb3UxK1k5d1ByVzc1d2F1cGJVNm5VQ1hWMWRkMG16ZXNQSXBvRzRDOWhHZjhUQk1ITk5UVTF1ekx6Zm1GOWZxNmVRcU9SL3ZiV1kzQ3diZnM0SWpvM0ZvdHRuVXdtdjdCdCt3QUFHd1BJRGphQjUzbmp3bXU3aFlpeXZ6SU82L3MyRkZLcDFFb0FSeENSeTh3cms4bGswMGlaVXdrQUZpOWVqUG56NTJQKy9QbG9hR2hBUTBNRFZxeFlnYjMzM2h2SEhITk1uL05idm53NW5uenlTZHh4eHgxWXZIZ3hSbzhlalhIanhuVUVCZ0E0OHNnanNYTGxTbHgvL2ZVb0t5dkQ5ZGRmajNnOFp3OTFNWWhHWEhEd2ZmOVdBTGRtUG9jTjBoMzdvOUZvSVJITkFqQzNzYkZ4VmE0OExNdmFET241WFQ1Qyt1RjdHQUN2NndoanBkUkUyN2E3enR0VW1MMk5pRGJwa24wWkVYMmpvS0RnRmEzMVRNL3puc3pEWlQ5Z2pMbUJtVDlQSkJMdlZGZFhmOE95ck51SjZKK3U2OTdVd3pIZkFyQ3N0cmEyVTNmZWNEYlZVbVkrZzRnbUFMaWtvS0NnTFI2UFR6UEdYQW5nZWMvejNzcVZJUkhGbVRtWjlYbTQzN2RCRjc2RlBUclU1ZWl2VTA4OUZmUG16Y09vVWFOUVZWV0ZndzQ2Q05PblQwZDFkWFhPdVpQVzVxYWJic0sxMTE2TElBaXc0NDQ3NHM5Ly9qT2VmZmJaVG1NZDVzMmJoNWRlZWdsNzdMRUhOdGxrRTF4NjZhV1lQWHMyOXR0dlAreTExMTU5YmdRWCtUUGlnc082RkJjWG44Yk1FNWk1VTYrYWtwS1NWZUVvMWFQQ2lldVcxZGZYTDdKdCs1dEV0QVV6bjVranUrdHlOYndwcGY3WDAvazl6MnVvcWFuWjBiS3NwNGpvRWEzMXNaN25yWE9kaGJVeHhyU0ViU053SENjTzRFRUFueHBqWmdMZ2lvcUs0akZqeHZ5ZGlKWXljek9BNlVTMER6TjM2MlphVWxKeVRGZ1YxOHJNdTNtZTkyK3Q5UkZFZEFVUnJXcHJhK3VZWThseG5OT1plUTBSdFlUVGJsUXg4K1ZJQitWaGY5OUUzNTEyMm1rb0tTbkJGbHRzMGRHQS9zQUREMkR2dmZmdVNMT3VCdWs5OTl3VDIyMjNIVTQ5OVZRc1g3NGNCeDEwVU1kY1NZODk5aGlhbXBwdzBVVVg0Y1VYWDhUU3BVdFJWRlNFN2JmZkhnY2ZmREIyM25sblhIZmRkYmpqampzd2QrNWNqQnMzRG83ajRJSUxMcEJHNlVHMlFkM3RXQ3cyRWNBeHpIeTg3L3VkcGgrb3JhMXRjaHpuZWlJNmhwbGJBSndJZ0lsb0UyYitINEJ1VlNQTWZDWXp2N3kyY3lxbHBtYTZsV1lrRW9tUHROYTdBWGllaUU0R2NBZUFWTSs1OUU0OEhpODF4dHdCNEkzVnExY2ZrM2t6V3Jod1ljdllzV04zQXJCWitCOTZGVFBmQjJCMjF6eldyRmx6ODZoUm82cFNxZFJ2NitycVZrU2owY2tBL3NMTUM0SWdPTEMrdm41UlZ2STlpZWpiWWJYVlo4eDhwZS83TnlQODVqOVM3cHZvdmVuVHAzZmJWbDFkalJOUFBMRlArVXlhTkFsVHBrenAxa1hWOHp5c1dyVUt6ejc3TEhiWlpSZnNzc3N1bURGakJqSnJoa3lhTkFsbm5YVVdaczJhaFZkZWVRVXZ2ZlFTdnZXdGIwbGdFSGxoOVNMTnVxaXcwWHE5OG9yRlloUHp2WFJuUEI1ZjE1VGtmUzV6VFUzTjlBMzl2bzFFRlpXeEhTcTJxZmtrTm1NbmZ1SEZsM2xEOE9hYmIvTGpqei9PN2UzdFExMlVuRnd2d2R2dDlGMnUyTVplVVRFMU5pQ2o2RWVLRFRFYzUyTWFCNVBWZzZmZmtzbmtwM2tvU3lkZDJ4Qnk2UFAxSnhLSnQvdGZvazZHN1gwVHc0Tk1vRGR5ak9nMXBJVVFRZ3dNQ1E1Q0NDRzYyUkNybFlUWW9CaGo4UEVuUy9EdWV6MTI5aEo1c3VqalQ3cE5BL0pWSmNHaEgrTHgrR2JOemMzTDgxRy9ubS9EdVd5aWY1cWJXM0R0alRkaDdwMWxRMTJVRFY1emN3dFdyUjcyQTlrSGhRU0hmbURtNTRxTGk4OEJNQmZoUWpsQkVFeFoxM0hHbU9aa01ybWc2L2FhbXBxdkthVmVJYUp6WGRlOU9kZXhXdXZMQVN6MVBPL0N0WTI0eldmWm90Rm9lU1FTNmV0VW1HM1NvSndmN1JGYVhzRFVZb3pCaDR0NlBZZmtrR1BtanFYd2VDMExIUTFueEdnM0FiN1MvNDRsT09RQk14OUNSSmNEYU03YVhCck96cG1ab2JQQXNxei9obk5DZGFLVU9oUEFac2FZK2x6NU80NnpEVE1mRCtDV3ZrN0ZzRDVsS3lvcStnMFJuWVUrWU9aWEFPelVsMk5FYmgvTlQ3eTcrYlNxd3hHb3pZYTZMSDFSWUtuTlNncHhJSUVpVFcxOGQzdGd1aS9xTU13RndFY2ZOaVlUUTEyT29TVEJJWC9tZVo3WDhYQjFIR2MrZ0NzejAxUTdqbk04TS8reTYwR3hXR3lMY0dEZXpabFIwRGxjUkVTcjI5cmFUaC9Nc2dHb0JQQVpnQjltYmRzOENJS1BMTXZxTmppTm1lOWQxMFIvb2srQzkrZlgvd2ZBZjRhNklIMmh0ZDZaaVA2UG1ZdkxpK2wxejB2K2U2akxKUHBPZ2tNdjFkVFU3S3FVMmh2cGgrQTRBSWRxclcwaWVnSHBWK2NTeDNGMnlLUm41bUlBRlpsdHpGeVJLMS9Mc3VZQWFBcUM0RFNrcTRHMk5NYVVlNTZYUVBvLzJuY0E3QS9nK1ByNitpVklCNVR0Q3dvSzNOcmEydmFCTEZzNEhYcWo2N3F2SVQxU2RreEJRY0dqU3FsL0U5R2htZk5uYUswVk0wdGJoeEFiQUFrT3ZhU1UyajZjYmRNTFYxbWJ3c3l4Y08zZmhRQyt6c3gzWmRJVDBkZVkrV2htUGlqY05BckFKOWw1T281ekFJQWZNZk54bVhwNlpyNEt3QzVWVlZWYkdXT1dBTGdHd091dTYxNkRkQ0RZV2luMW9qSG1VUUFIRFZUWlFsc3ljOGZNdG5WMWRTdHMyLzRORWQzRXpIZkg0L0daWFFKRUNRQUpEa0pzQUdTY1E5Kzg2cnJ1bnVHRDlCSUFIZE5MTXZNN251ZFZaUDRBZUplSXpzNThKcUt6c3pPYVBuMzZXQUJYTWZPem51ZjlIVit1VmJFSEVaMVhYMS8vWVZGUjBVVUF0Z3lDNE5qTVNtR1daVjFCUklGUzZveUJLaHZTcTh4dEJHQThNM2RhTmMzMy9WdUlhRGFBQTVqNW5DNkhsUUtRYWlVaE5nRHk1cEEvV3ptTzA1ajFlVE1BWnp1T2MzTDRlV01BUzVDZTBiUkNLZlVJZ0UwQWVGcnJXOE1wcTc4RjRQWGx5NWYvVld0OUJvQlRpT2dKSW9wcXJSMW1uZ3JnK3dCT3FLMnRuVDhRWmNzb0t5dkxyTERYYlVsTjEzVXZ0VzE3K2NxVks3TlgybE5FVkNSdkRrSnNHQ1E0NU04bkFJNDN4b3hWU3MxQnVudm9MS1ZVcHRQMFBnQjJCb0RtNXViUFNrdEx2eFkra01lSCs3Y0ZNQ3FWU3YwMEVva3dnRitFVTJ2dlRVVGZJNklXSXRvSXdHUFphekhudTJ5TzR6ekl6TjhqSWd2cDRIQ1YxdnB2dVRJZE0yYk1WVjFYRFFOd3N0WjZWbmlkbTgrZlAvK3pQcFpWQ0RFTVNIRElnOWJXMWp1S2lvcWVTcVZTNHlLUnlIWE12TVFZczNjaWtmQUFXTFp0bjZ1VUFoSHREd0FMRml4WVBXWEtsQ21MRmkxcXhwY055djhDTUNzejFrQnIvY053U3ZIM1hkZGRvN1Yra29pbUVkSFJBMWsyQURjUjBiUE0vSDBpMnNjWWMxNVdFT2tSTTQ4R2NENHpQMHBFendOQVMwdUxWREVKTVVKSmNPaWJTdHUyVHdVd21wbjNBckFsZ0pmZWZ2dnRsVnJyS3lPUnlNSE0vQVFSM2FLVW1xYTExa1IwTkROL2c1bC83M2xlUjlWT0pqQkVvOUhKU3FtNUFPNTJYZmU2elA1TWJ5V2tBOFZmQU95Y1NxVytrMHdtbHcxazJWelhmUlRoMkFvQTdiN3ZYNXhwNzlCYTd3emdrdmIyOW4weVBhY3lhbXBxdHJZczYzd2lldHAxM2VzSDRONExJUWFSTkVqM3phWktxWU9ZdVp5SVpvUXJ5cjBmUGp3M0E3QVV3RFJtdm9DSTdnQndEVE8vUWtTbmVKNDN0MnRtbFpXVlJjWEZ4UThTMGFyVzF0YWY1enFoNHpnL0lhSlRpT2lFWkRMNSttQ1ZqWm0zQVBCQkpqQ0UyNXFJYUhwaFllRS93d2IxRHBabGpVSzZ1a3JhSElUWUFNaWJReThSa2NmTXA3dXVlMjNZdUh1TzY3cDNaUFo3bnJkVE5Cb3RMQzR1L2prem44Yk1keXFsemd6U3MzalZhYTIzOHp5dlkxbXNzRXZxVmN3OGc0aU9LeW9xK3JiV2VnS0FDVVQwUHlKNjFCaHpJb0EvTXZPL21QbC9qdVBNWk9heEFNYUZmMS9qKy81LzgxMjI4SHEvd2N5ZDFvYjJmZjlOcmZXaFJQUkFZV0hoMDVXVmxkL05yRVpuakJrVlZrOUpjQkJpQXlEQm9aZGMxMzI2NnphdGRaS1pmMGRFOVVUMEUyWStqcGtiaU9pSUlBZ1dHV1BHQVJoTlJBOFMwV3pIY1JabUdwTXR5OW9Gd081aFZqY1JFWmk1allnV00vT055NWN2ZjJMczJMRm5BaWdnb3QySmFIZG1Oa1MwQXNCU0lsb0c0SWFCS0JzQUFyQTVnRzVMZlhxZTk0ampPQ2NSMFRIRnhjVWxBRmFGdXpaR09raklyR1ZDYkFBa09LeWYrVXFwL1FCc0RlQ0NjSUt4Q2dCN1daWUZBTTNNdkJqQTV3QnFBVnptT0U3Q2RkMlhpT2h1Wmk0RE1BL0F4MFQwc2V1Nm5kb1R4bzRkZTR4Sis4Q3lyTVdlNXkzcHcwcHYvUzViVlZYVlJBREZBQ2JZdG4xVTE0eU5NVjhvcGE2TFJDSS9zRzBiU0EvRTJ6SDhlMWZidGpkWFNyM3N1bTVqdDFJSklVWUVDUTY5WThWaXNVMGlrY2drWnA3SXpPVUFEaUNpVFFGOE01VktuUkdKUkJvQkZBQW9NTVk4VFVTUEU1R1hTcVgrV2xCUU1OMTEzY2NjeHpsODFhcFZieUM5M09mbkFDNWQyMGxkMTMxZ0tNcG1XVmFFbVZ2REFYbDc1RHBwT1BvNmUxUG0zOUp2dzdlZ253R1E0Q0RFQ0NYQm9SZXFxNnVqa1VqRVplYVBBTHhQUlA5aTVrVUFYZ29ueGFzSTJ3NW1NL00vZk4rL1cydE56TXlSU0dRbkFGYzZqdk1PZ0hNYkd4dGJoM3ZaRW9uRVIrR2JRNjlwcmU4RGNFQVFCT09TeWFSMFlSVmloSlBnMEF0MWRYWDE0Y095VzVXT2Jkc3JMTXY2RjREL012UGZtTG5SY1p6ZkF0RE0vSlRuZWJkcHJaOEVjRDZBaDdUV2Z3am5JSnFkajdKNW5qY3VuMlh6UE85UDZ6cW40emhYaHIyaVZocGpqRkpxT29Edk0vTUxFaGlFMkRCSWNPZ2Q3cW11djZXbDViSGk0dUltMy9mdnMyMzdmS1hVRFdIYXQ4S2Y0WG5lVWdDLzFGcmYyTnJhT3Irb3FLaWFpSmJtcVd5cGZKYXROeWRrWmd2QWZzeGNRa1FGQUZZdzh5TkJFSnpjaThPRkVDUEF5RnVpYVdTZ3ZpN0tNNGlHYzluRUJpQmN6K0d1Y0dyNC9UM1BrL1VjUmlBWkJEY3dodlBEZHppWFRRZ3hURWh3RUVJSTBZMEVCeUdFRU4xSWNCQkNDTkdOQkFjaGhCRGRTRmRXSVVTL3hlUHhVbVBNaE94dFJEU1ptUzBpVWdBbWE2MDN6OTRmQk1FeUdROHovRWx3RUVMMFd5cVZtbXBabHR0MWU5YlVLbmQxbVdZRlNxa1pBTjRjcENLS2ZwSnFKU0ZFdnlVU2lTUXoxL1UyUFRQUDgzMi9XekFSdzQ4RUJ5SEUrZ2lZZVM3Q3lSaVp1dytqeWQ3T3pQZjBZV1poTVlRa09BZ2gxb3N4NXVHc2RUM1dabFVxbFhwc0VJb2s4a0NDZ3hCaXZTaWxsZ0JJZEcxYnlCYnVTd1JCOE5GZ2xrMzBud1FISWNSNjhYMS9OWURYbU5rZ3JFYkt5S3BPWWdDdnpaczNiMW5QT1luaFJJS0RFR0o5QmN6OGVyaXFZRSthd2pUdGcxZ3VzUjRrT0FnaDFsc1FCSzhENkppR3ZtdmpOQkd0YW05dmYyT295aWY2VG9LREVHSzlKWlBKUlFEY1hPME80VGEzdnI3K3c2RW9tK2dmQ1E1Q2lMeElwVkszOWJUUEdIUGo0SlpHckM4SkRrS0l2R2h1Ym42T21aZDAzYzdNUzFldVhQblUwSlJLOUpjRUJ5RkVYalEyTnJZUzBaMlpxaVVpQWhHQm1SOWN1SEJoeTFDWFQvU05CQWNoUk40RVFYQW5NN2RsUG9jLzN6ZTBwUkw5SWNGQkNKRTN6YzNON3dHWWwvWDJNTit5ckFWRFhTN1JkeEljaEJCNVk0eFpEZUJOL3RLYjdlM3RudzExdVVUZlNYQVFRdVJOWTJOamF6allyUWxBR3pPL0xtczNqRXl5bm9NUUlxK0k2RC9oZ0xneVk4eXJRMTBlSVlRUXd3TnByZitsdFg1VGFpZEdMbmx6RUVMa0d3TzRrNGhLQUppaExvem9Id2tPUW9pOGEyNXVmbWlveXlDRUVFSUlJWVFRUWdnaGhCQkNDQ0dFRUVJSUlZUVFRZ2doaEJCQ2lLOEcyN1lySE1mWklmTlphejFoYUVzazhrMEd3UWtoK295SVRnQndDZ0RsT000ZUFCN1FXcC9yZWQ1ZkFLUzZwcmR0ZXhjQUZYMDVSeEFFdFhWMWRYVjVMYmpvTlFrT1FvZytZK2JtY00wRzVicnVNN1p0bjYrVU9sOXJmVWhUVTlOM0ZpeFlzRG83UFJFZEQrQUFBTTI5eVorSXlvam9OQUFTSElhSUJBY2hSSjhwcFpvQW9LS2lvbURod29VdHZ1Ly8wYmJ0ZnltbGR1a2FHTEs4Nm5uZVR1dktPeHFObGhjWEYvZVVoeGdrRWh5RUVKMW9yVGNGOE03YTBqQnpBUkZoekpneHk4YU1HWk85SFZycnM0bm9GdGQxangrTThvcUJJY0ZCQ05GSkVBUXFFb21VQVhqSUdQTktyalJLcVcwQnpDU2l5NDB4SzdydU44WWtCNld3WXNCSWNCQkM5T1JaMy9ldnpMV2pwcWJtWU11eVpnS1k2L3Yrdk1Fdm1oaG9FaHlFRVAvZnp0MkV4bFdGWVJ4LzNqUHB4SS80MGRhRllOQ2lvcElzWnU2NUtuUWhZa1ZRRUZ6WXJRZ0ZkMUxVaFVLUnVpaTZVa0hjV0FTdFZsR0NMZ3JxemtKeEpYSm1wbldsSlFvVnFtaHRtcmFXVEpLZTE4WE1sSnVRMnFaTzB5NytQeGk0OXozZm0zdm1jTTY5cXhaQ09DVkppNHVMTjFiQ0l6SEd6YTFXNjd2ekZOdGNGTVhwdGVraC9pOG1Cd0RuODJpejJkQkgxWmdBQUFOV1NVUkJWTHltR2dnaG5HcTFXcnZOYktaL2Y4c2dyU2lLclpJK2l6RnVhN1ZhSDY1UTM3Uzd2M0doUmtNSW81TGVHOUlZY0ltWUhBQXN0MDY5emVVbnpPeXhRZERNUnQzOU4wbTd6ZXlvdTh2TWJxMlVlOG5kVDV3NWMrYUxGZXJjSGtJWVNTa2R1WWoyclN6TEE5MXU5OCtoakFhWGhNa0J3QklqSXlNMzlDK2ZhN2ZiZXdmeEdPT1VwQWxKU2lrZExZb2lTN3BEdlQySVI4enNBWGQvclhxVXRkRm8zRk9yMWU1VS95UlRqSEZpa0paem51NTBPb2Y3ZFcrUlZCK2t1YnRHUjBjM3hSaGxaZ2RUU3IrdjBmRFJ4K1FBWUltYzgxZ0lRWktPVmVQdWZyMlpEZllNRmlYOVltYjNsbVc1THVmOHJxUS96cDQ5KzFhMVRBaGhtNlJYenRQVTY1SmU3VjlQU2RxNFVpWjNmMGJTSjBNWUdsWWhYT2tPQUxpNm1ObnQ2ajJVankxTEduUDNrNVg3Zys3K29MdS9iR2FUN3Y3aW9VT0gvbGxlbjdzZnp6bXZyLzdjL2ZnS1RiOVp6Yk93c0hEWDBBZUhpOGJLQWNCeWsrN3V0VnB0eVl0d1pyWkJVdlhZNmdFemU5cmRkMHJhMTI2M1AxK3BNalB6ZHJ0OW9ocUxNYnE3TDhtWGMrNTJPcDF6K2NxeUhGbWVCMnVIbFFPQTVlNDNzNTlUU3JPVm1MbjdiZFhWUk03NSsvN2xYL1B6ODlzRzhSampqaGpqN2pYdE1ZYU9sUU9BYzVyTjVzMlN0cmo3M21henVVblN3eUdFdjNQT0Q1blpla2svcVBldi9yNmM4NVI2SzRPeGVyMWVQZks2ZWJWZllNWFZoOGtCUU5XelpsYVg5RkhPdVY2cjFmYW90N0VzU2Z2bjV1WStqVEUrNmU1NytsOWxmZDdkM3phekw4dXlmRHlsZE1yZG01SytyVlk2TVRFeGRxR0dRd2hXZlNaMXU5MWF2VjcvNzBLNGJKZ2NBRWlTSmljbk41alpUa2svOXQ5eXRySXM3NTZmbjcrdVhxL1BwcFNPRkVYeGpxVHQ3dDRKSVd4TktVMFhSWEZTMGdjNTU1K0tvcGcyczNGMzMxK3BldU5GZm1WMVI0eHh4MlVjSWxhQnlRR0ExRHRWZE5yTURrdDZZUkJLS1UxWDg1alpOKzQrRzBMWWxWSmFrS1IydTcyMzBXajhHa0xZSmFraDZldVptWm1wU3JHVE9lZW5xdldFRVBhdDBQN0hPZWYzSzIzZEZFTDRhdmdqQlFDc3l2ajQrTFZYdWc4QUFBQUFBQUFBQUFBQUFBQUFBQUFBQUFBQUFBQUFBQUFBQUFBQUFBQUFBQUFBQUFBQUFBQUFBQUFBQUFBQUFBQUFBQUFBQUFBQUFBQUFBQUFBQUFBQUFBQUFBQUFBQUFBQUFBQUFBQUFBQUFBQUFBQUFBQUFBQUFBQUFBQUFBQUREOHkvKzUwN2E0aEpFVGdBQUFBQkpSVTVFcmtKZ2dnPT0iLAoJIlRoZW1lIiA6ICIiLAoJIlR5cGUiIDogImZsb3ciLAoJIlVzZXJJZCIgOiAiNTExMjQ0MzQ5IiwKCSJWZXJzaW9uIiA6ICIx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162</Pages>
  <Words>96603</Words>
  <Characters>110397</Characters>
  <Lines>6675</Lines>
  <Paragraphs>5887</Paragraphs>
  <TotalTime>31</TotalTime>
  <ScaleCrop>false</ScaleCrop>
  <LinksUpToDate>false</LinksUpToDate>
  <CharactersWithSpaces>110980</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greatwall</cp:lastModifiedBy>
  <cp:lastPrinted>2025-07-09T16:33:00Z</cp:lastPrinted>
  <dcterms:modified xsi:type="dcterms:W3CDTF">2026-02-26T15:58:20Z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4CAA36A9BBFB41C8B262FE8976489997_13</vt:lpwstr>
  </property>
  <property fmtid="{D5CDD505-2E9C-101B-9397-08002B2CF9AE}" pid="4" name="KSOTemplateDocerSaveRecord">
    <vt:lpwstr>eyJoZGlkIjoiNmI3MjY2OGQxMDgzNWIxMWNhNDlkNzJmNzNlNGExZWEiLCJ1c2VySWQiOiI1MTEyNDQzNDkifQ==</vt:lpwstr>
  </property>
</Properties>
</file>