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9B" w:rsidRDefault="00FD2DF3" w:rsidP="00F3214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关于转发《关于进一步加快新型墙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体材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料专项基金清算工作的通知》的通知</w:t>
      </w:r>
    </w:p>
    <w:p w:rsidR="006E039B" w:rsidRDefault="006E039B" w:rsidP="00F3214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E039B" w:rsidRDefault="00FD2DF3" w:rsidP="00F32144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各镇（区、街道）建设服务中心（规划建设局），各相关</w:t>
      </w:r>
      <w:r w:rsidR="00604735">
        <w:rPr>
          <w:rFonts w:ascii="仿宋_GB2312" w:eastAsia="仿宋_GB2312" w:cs="Times New Roman" w:hint="eastAsia"/>
          <w:sz w:val="32"/>
          <w:szCs w:val="32"/>
        </w:rPr>
        <w:t>企事业</w:t>
      </w:r>
      <w:r>
        <w:rPr>
          <w:rFonts w:ascii="仿宋_GB2312" w:eastAsia="仿宋_GB2312" w:cs="Times New Roman" w:hint="eastAsia"/>
          <w:sz w:val="32"/>
          <w:szCs w:val="32"/>
        </w:rPr>
        <w:t>单位：</w:t>
      </w:r>
    </w:p>
    <w:p w:rsidR="00604735" w:rsidRDefault="00FD2DF3" w:rsidP="00965C7B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现将《关于进一步加快新型墙</w:t>
      </w:r>
      <w:proofErr w:type="gramStart"/>
      <w:r>
        <w:rPr>
          <w:rFonts w:ascii="仿宋_GB2312" w:eastAsia="仿宋_GB2312" w:cs="Times New Roman" w:hint="eastAsia"/>
          <w:sz w:val="32"/>
          <w:szCs w:val="32"/>
        </w:rPr>
        <w:t>体材</w:t>
      </w:r>
      <w:proofErr w:type="gramEnd"/>
      <w:r>
        <w:rPr>
          <w:rFonts w:ascii="仿宋_GB2312" w:eastAsia="仿宋_GB2312" w:cs="Times New Roman" w:hint="eastAsia"/>
          <w:sz w:val="32"/>
          <w:szCs w:val="32"/>
        </w:rPr>
        <w:t>料专项基金清算工作的通知》（苏</w:t>
      </w:r>
      <w:proofErr w:type="gramStart"/>
      <w:r>
        <w:rPr>
          <w:rFonts w:ascii="仿宋_GB2312" w:eastAsia="仿宋_GB2312" w:cs="Times New Roman" w:hint="eastAsia"/>
          <w:sz w:val="32"/>
          <w:szCs w:val="32"/>
        </w:rPr>
        <w:t>工信墙改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 w:rsidRPr="00F32144"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32144">
        <w:rPr>
          <w:rFonts w:ascii="Times New Roman" w:eastAsia="仿宋_GB2312" w:hAnsi="Times New Roman" w:cs="Times New Roman"/>
          <w:sz w:val="32"/>
          <w:szCs w:val="32"/>
        </w:rPr>
        <w:t>655</w:t>
      </w:r>
      <w:r>
        <w:rPr>
          <w:rFonts w:ascii="仿宋_GB2312" w:eastAsia="仿宋_GB2312" w:cs="Times New Roman" w:hint="eastAsia"/>
          <w:sz w:val="32"/>
          <w:szCs w:val="32"/>
        </w:rPr>
        <w:t>号）转发给你们，请</w:t>
      </w:r>
      <w:r w:rsidR="00604735">
        <w:rPr>
          <w:rFonts w:ascii="仿宋_GB2312" w:eastAsia="仿宋_GB2312" w:cs="Times New Roman" w:hint="eastAsia"/>
          <w:sz w:val="32"/>
          <w:szCs w:val="32"/>
        </w:rPr>
        <w:t>通知辖区内</w:t>
      </w:r>
      <w:r>
        <w:rPr>
          <w:rFonts w:ascii="仿宋_GB2312" w:eastAsia="仿宋_GB2312" w:cs="Times New Roman" w:hint="eastAsia"/>
          <w:sz w:val="32"/>
          <w:szCs w:val="32"/>
        </w:rPr>
        <w:t>相关</w:t>
      </w:r>
      <w:r w:rsidR="00604735">
        <w:rPr>
          <w:rFonts w:ascii="仿宋_GB2312" w:eastAsia="仿宋_GB2312" w:cs="Times New Roman" w:hint="eastAsia"/>
          <w:sz w:val="32"/>
          <w:szCs w:val="32"/>
        </w:rPr>
        <w:t>企事业单位根据文件要求及时办理。散装水泥基金清算参照上述通知文件执行。</w:t>
      </w:r>
    </w:p>
    <w:p w:rsidR="00604735" w:rsidRDefault="00F6260D" w:rsidP="00965C7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办理</w:t>
      </w:r>
      <w:r w:rsidR="00604735">
        <w:rPr>
          <w:rFonts w:ascii="仿宋_GB2312" w:eastAsia="仿宋_GB2312" w:cs="Times New Roman" w:hint="eastAsia"/>
          <w:sz w:val="32"/>
          <w:szCs w:val="32"/>
        </w:rPr>
        <w:t>地点：行政中心</w:t>
      </w:r>
      <w:r w:rsidR="00FD2DF3">
        <w:rPr>
          <w:rFonts w:ascii="Times New Roman" w:eastAsia="仿宋_GB2312" w:hAnsi="Times New Roman" w:cs="Times New Roman"/>
          <w:sz w:val="32"/>
          <w:szCs w:val="32"/>
        </w:rPr>
        <w:t>B</w:t>
      </w:r>
      <w:r w:rsidR="00FD2DF3" w:rsidRPr="00F32144">
        <w:rPr>
          <w:rFonts w:ascii="Times New Roman" w:eastAsia="仿宋_GB2312" w:hAnsi="Times New Roman" w:cs="Times New Roman"/>
          <w:sz w:val="32"/>
          <w:szCs w:val="32"/>
        </w:rPr>
        <w:t>519</w:t>
      </w:r>
    </w:p>
    <w:p w:rsidR="00604735" w:rsidRDefault="00604735" w:rsidP="00965C7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季亚梅</w:t>
      </w:r>
      <w:proofErr w:type="gramEnd"/>
    </w:p>
    <w:p w:rsidR="00604735" w:rsidRDefault="00604735" w:rsidP="00965C7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 w:rsidR="003C7380">
        <w:rPr>
          <w:rFonts w:ascii="Times New Roman" w:eastAsia="仿宋_GB2312" w:hAnsi="Times New Roman" w:cs="Times New Roman" w:hint="eastAsia"/>
          <w:sz w:val="32"/>
          <w:szCs w:val="32"/>
        </w:rPr>
        <w:t>0513</w:t>
      </w:r>
      <w:r w:rsidR="003C7380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F6260D">
        <w:rPr>
          <w:rFonts w:ascii="Times New Roman" w:eastAsia="仿宋_GB2312" w:hAnsi="Times New Roman" w:cs="Times New Roman" w:hint="eastAsia"/>
          <w:sz w:val="32"/>
          <w:szCs w:val="32"/>
        </w:rPr>
        <w:t>87288821</w:t>
      </w:r>
    </w:p>
    <w:p w:rsidR="00BA0D9C" w:rsidRPr="00DD0F47" w:rsidRDefault="00F6260D" w:rsidP="00965C7B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6E039B" w:rsidRDefault="006E039B" w:rsidP="00F3214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BA0D9C" w:rsidRDefault="00BA0D9C" w:rsidP="00F3214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F6260D" w:rsidRDefault="00F6260D" w:rsidP="00F3214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F6260D" w:rsidRDefault="00F6260D" w:rsidP="00F3214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F6260D" w:rsidRDefault="00F6260D" w:rsidP="00F3214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39B" w:rsidRDefault="00FD2DF3" w:rsidP="00F3214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附件：苏</w:t>
      </w:r>
      <w:proofErr w:type="gramStart"/>
      <w:r>
        <w:rPr>
          <w:rFonts w:ascii="仿宋_GB2312" w:eastAsia="仿宋_GB2312" w:cs="Times New Roman" w:hint="eastAsia"/>
          <w:sz w:val="32"/>
          <w:szCs w:val="32"/>
        </w:rPr>
        <w:t>工信墙改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 w:rsidRPr="00F32144"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32144">
        <w:rPr>
          <w:rFonts w:ascii="Times New Roman" w:eastAsia="仿宋_GB2312" w:hAnsi="Times New Roman" w:cs="Times New Roman"/>
          <w:sz w:val="32"/>
          <w:szCs w:val="32"/>
        </w:rPr>
        <w:t>655</w:t>
      </w:r>
      <w:r>
        <w:rPr>
          <w:rFonts w:ascii="仿宋_GB2312" w:eastAsia="仿宋_GB2312" w:cs="Times New Roman" w:hint="eastAsia"/>
          <w:sz w:val="32"/>
          <w:szCs w:val="32"/>
        </w:rPr>
        <w:t>号</w:t>
      </w:r>
    </w:p>
    <w:p w:rsidR="006E039B" w:rsidRDefault="006E039B" w:rsidP="00F3214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39B" w:rsidRDefault="006E039B" w:rsidP="00F3214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E039B" w:rsidRDefault="00FD2DF3" w:rsidP="00F32144">
      <w:pPr>
        <w:spacing w:line="560" w:lineRule="exact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如皋市住房和城乡建设局</w:t>
      </w:r>
    </w:p>
    <w:p w:rsidR="004D7BE4" w:rsidRDefault="00FD2DF3" w:rsidP="004D7BE4">
      <w:pPr>
        <w:spacing w:line="560" w:lineRule="exact"/>
        <w:ind w:right="160"/>
        <w:jc w:val="right"/>
        <w:rPr>
          <w:rFonts w:ascii="仿宋_GB2312" w:eastAsia="仿宋_GB2312" w:cs="Times New Roman"/>
          <w:sz w:val="32"/>
          <w:szCs w:val="32"/>
        </w:rPr>
      </w:pPr>
      <w:r w:rsidRPr="00F32144"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仿宋_GB2312" w:eastAsia="仿宋_GB2312" w:cs="Times New Roman" w:hint="eastAsia"/>
          <w:sz w:val="32"/>
          <w:szCs w:val="32"/>
        </w:rPr>
        <w:t>年</w:t>
      </w:r>
      <w:r w:rsidR="00FA4602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仿宋_GB2312" w:eastAsia="仿宋_GB2312" w:cs="Times New Roman" w:hint="eastAsia"/>
          <w:sz w:val="32"/>
          <w:szCs w:val="32"/>
        </w:rPr>
        <w:t>月</w:t>
      </w:r>
      <w:r w:rsidR="00FA4602"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仿宋_GB2312" w:eastAsia="仿宋_GB2312" w:cs="Times New Roman" w:hint="eastAsia"/>
          <w:sz w:val="32"/>
          <w:szCs w:val="32"/>
        </w:rPr>
        <w:t>日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460"/>
        <w:gridCol w:w="1486"/>
      </w:tblGrid>
      <w:tr w:rsidR="004D7BE4" w:rsidRPr="00136152" w:rsidTr="00F115D7">
        <w:tc>
          <w:tcPr>
            <w:tcW w:w="7668" w:type="dxa"/>
            <w:shd w:val="clear" w:color="auto" w:fill="auto"/>
            <w:vAlign w:val="center"/>
          </w:tcPr>
          <w:p w:rsidR="004D7BE4" w:rsidRPr="00136152" w:rsidRDefault="004D7BE4" w:rsidP="00F115D7">
            <w:pPr>
              <w:jc w:val="distribute"/>
              <w:rPr>
                <w:b/>
                <w:color w:val="FF0000"/>
                <w:w w:val="80"/>
                <w:sz w:val="90"/>
                <w:szCs w:val="90"/>
              </w:rPr>
            </w:pPr>
            <w:r w:rsidRPr="00136152">
              <w:rPr>
                <w:rFonts w:hint="eastAsia"/>
                <w:b/>
                <w:color w:val="FF0000"/>
                <w:w w:val="80"/>
                <w:sz w:val="90"/>
                <w:szCs w:val="90"/>
              </w:rPr>
              <w:lastRenderedPageBreak/>
              <w:t>江苏省工业和信息化厅</w:t>
            </w:r>
          </w:p>
          <w:p w:rsidR="004D7BE4" w:rsidRPr="00136152" w:rsidRDefault="004D7BE4" w:rsidP="00F115D7">
            <w:pPr>
              <w:jc w:val="distribute"/>
              <w:rPr>
                <w:b/>
                <w:color w:val="FF0000"/>
                <w:w w:val="80"/>
                <w:sz w:val="90"/>
                <w:szCs w:val="90"/>
              </w:rPr>
            </w:pPr>
            <w:r w:rsidRPr="00136152">
              <w:rPr>
                <w:rFonts w:hint="eastAsia"/>
                <w:b/>
                <w:color w:val="FF0000"/>
                <w:w w:val="80"/>
                <w:sz w:val="90"/>
                <w:szCs w:val="90"/>
              </w:rPr>
              <w:t>江苏省财政厅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D7BE4" w:rsidRPr="00136152" w:rsidRDefault="004D7BE4" w:rsidP="00F115D7">
            <w:pPr>
              <w:jc w:val="distribute"/>
              <w:rPr>
                <w:b/>
                <w:color w:val="FF0000"/>
                <w:w w:val="80"/>
                <w:sz w:val="90"/>
                <w:szCs w:val="90"/>
              </w:rPr>
            </w:pPr>
            <w:r w:rsidRPr="00136152">
              <w:rPr>
                <w:rFonts w:hint="eastAsia"/>
                <w:b/>
                <w:color w:val="FF0000"/>
                <w:w w:val="80"/>
                <w:sz w:val="78"/>
                <w:szCs w:val="90"/>
              </w:rPr>
              <w:t>文件</w:t>
            </w:r>
          </w:p>
        </w:tc>
      </w:tr>
    </w:tbl>
    <w:p w:rsidR="004D7BE4" w:rsidRDefault="004D7BE4" w:rsidP="004D7BE4">
      <w:pPr>
        <w:ind w:left="420"/>
      </w:pPr>
    </w:p>
    <w:p w:rsidR="004D7BE4" w:rsidRDefault="004D7BE4" w:rsidP="004D7BE4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0" w:name="文号"/>
      <w:r w:rsidRPr="002378F3">
        <w:rPr>
          <w:rFonts w:ascii="仿宋" w:eastAsia="仿宋" w:hAnsi="仿宋" w:hint="eastAsia"/>
          <w:sz w:val="32"/>
          <w:szCs w:val="32"/>
        </w:rPr>
        <w:t>苏</w:t>
      </w:r>
      <w:proofErr w:type="gramStart"/>
      <w:r w:rsidRPr="002378F3">
        <w:rPr>
          <w:rFonts w:ascii="仿宋" w:eastAsia="仿宋" w:hAnsi="仿宋" w:hint="eastAsia"/>
          <w:sz w:val="32"/>
          <w:szCs w:val="32"/>
        </w:rPr>
        <w:t>工信墙改</w:t>
      </w:r>
      <w:proofErr w:type="gramEnd"/>
      <w:r>
        <w:rPr>
          <w:rFonts w:ascii="方正仿宋_GBK" w:eastAsia="方正仿宋_GBK" w:hAnsi="仿宋_GB2312" w:hint="eastAsia"/>
          <w:sz w:val="32"/>
          <w:szCs w:val="32"/>
        </w:rPr>
        <w:t>〔</w:t>
      </w:r>
      <w:r>
        <w:rPr>
          <w:rFonts w:ascii="方正仿宋_GBK" w:eastAsia="方正仿宋_GBK" w:hAnsi="仿宋_GB2312"/>
          <w:sz w:val="32"/>
          <w:szCs w:val="32"/>
        </w:rPr>
        <w:t>2019〕6</w:t>
      </w:r>
      <w:r>
        <w:rPr>
          <w:rFonts w:ascii="方正仿宋_GBK" w:eastAsia="方正仿宋_GBK" w:hAnsi="仿宋_GB2312" w:hint="eastAsia"/>
          <w:sz w:val="32"/>
          <w:szCs w:val="32"/>
        </w:rPr>
        <w:t>55</w:t>
      </w:r>
      <w:r>
        <w:rPr>
          <w:rFonts w:ascii="方正仿宋_GBK" w:eastAsia="方正仿宋_GBK" w:hAnsi="仿宋_GB2312"/>
          <w:sz w:val="32"/>
          <w:szCs w:val="32"/>
        </w:rPr>
        <w:t>号</w:t>
      </w:r>
      <w:bookmarkEnd w:id="0"/>
    </w:p>
    <w:p w:rsidR="004D7BE4" w:rsidRPr="000705FE" w:rsidRDefault="004072B5" w:rsidP="004D7BE4">
      <w:pPr>
        <w:ind w:left="420" w:firstLine="420"/>
      </w:pPr>
      <w:r>
        <w:rPr>
          <w:noProof/>
        </w:rPr>
        <w:pict>
          <v:line id="_x0000_s2052" style="position:absolute;left:0;text-align:left;flip:y;z-index:251662336" from="-14.25pt,9.75pt" to="453.55pt,9.75pt" strokecolor="red" strokeweight="1.5pt"/>
        </w:pict>
      </w:r>
    </w:p>
    <w:p w:rsidR="004D7BE4" w:rsidRPr="009D547F" w:rsidRDefault="004D7BE4" w:rsidP="00ED29B1">
      <w:pPr>
        <w:pStyle w:val="1"/>
        <w:shd w:val="clear" w:color="auto" w:fill="FFFFFF"/>
        <w:spacing w:beforeLines="100" w:beforeAutospacing="0" w:after="0" w:afterAutospacing="0" w:line="640" w:lineRule="exact"/>
        <w:ind w:firstLine="885"/>
        <w:jc w:val="center"/>
        <w:rPr>
          <w:rFonts w:ascii="Times New Roman" w:eastAsia="方正小标宋_GBK" w:hAnsi="Times New Roman"/>
          <w:b w:val="0"/>
          <w:snapToGrid w:val="0"/>
          <w:kern w:val="0"/>
          <w:sz w:val="44"/>
          <w:szCs w:val="44"/>
        </w:rPr>
      </w:pPr>
      <w:r w:rsidRPr="009D547F">
        <w:rPr>
          <w:rFonts w:ascii="Times New Roman" w:eastAsia="方正小标宋_GBK" w:hAnsi="Times New Roman" w:hint="eastAsia"/>
          <w:b w:val="0"/>
          <w:snapToGrid w:val="0"/>
          <w:kern w:val="0"/>
          <w:sz w:val="44"/>
          <w:szCs w:val="44"/>
        </w:rPr>
        <w:t>关于进一步加快新型墙体材料</w:t>
      </w:r>
    </w:p>
    <w:p w:rsidR="004D7BE4" w:rsidRPr="002F3F60" w:rsidRDefault="004D7BE4" w:rsidP="004D7BE4">
      <w:pPr>
        <w:pStyle w:val="1"/>
        <w:shd w:val="clear" w:color="auto" w:fill="FFFFFF"/>
        <w:spacing w:before="0" w:beforeAutospacing="0" w:after="0" w:afterAutospacing="0" w:line="640" w:lineRule="exact"/>
        <w:ind w:firstLine="885"/>
        <w:jc w:val="center"/>
        <w:rPr>
          <w:rFonts w:ascii="Times New Roman" w:eastAsia="方正小标宋_GBK" w:hAnsi="Times New Roman"/>
          <w:b w:val="0"/>
          <w:snapToGrid w:val="0"/>
          <w:kern w:val="0"/>
          <w:sz w:val="44"/>
          <w:szCs w:val="44"/>
        </w:rPr>
      </w:pPr>
      <w:r w:rsidRPr="009D547F">
        <w:rPr>
          <w:rFonts w:ascii="Times New Roman" w:eastAsia="方正小标宋_GBK" w:hAnsi="Times New Roman" w:hint="eastAsia"/>
          <w:b w:val="0"/>
          <w:snapToGrid w:val="0"/>
          <w:kern w:val="0"/>
          <w:sz w:val="44"/>
          <w:szCs w:val="44"/>
        </w:rPr>
        <w:t>专项基金清算工作的通知</w:t>
      </w:r>
    </w:p>
    <w:p w:rsidR="004D7BE4" w:rsidRPr="001C6271" w:rsidRDefault="004D7BE4" w:rsidP="004D7BE4">
      <w:pPr>
        <w:autoSpaceDE w:val="0"/>
        <w:autoSpaceDN w:val="0"/>
        <w:spacing w:line="580" w:lineRule="exact"/>
        <w:ind w:firstLine="300"/>
        <w:rPr>
          <w:rFonts w:ascii="Times New Roman" w:eastAsia="方正仿宋_GBK" w:hAnsi="Times New Roman"/>
          <w:snapToGrid w:val="0"/>
          <w:kern w:val="0"/>
          <w:sz w:val="15"/>
          <w:szCs w:val="15"/>
        </w:rPr>
      </w:pPr>
    </w:p>
    <w:p w:rsidR="004D7BE4" w:rsidRPr="00DF1AD9" w:rsidRDefault="004D7BE4" w:rsidP="004D7BE4">
      <w:pPr>
        <w:autoSpaceDE w:val="0"/>
        <w:autoSpaceDN w:val="0"/>
        <w:spacing w:line="56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DF1AD9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各设区市、</w:t>
      </w:r>
      <w:proofErr w:type="gramStart"/>
      <w:r w:rsidRPr="00B32578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县墙改主管</w:t>
      </w:r>
      <w:proofErr w:type="gramEnd"/>
      <w:r w:rsidRPr="00B32578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部门、财政局</w:t>
      </w:r>
      <w:r w:rsidRPr="00DF1AD9"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：</w:t>
      </w:r>
    </w:p>
    <w:p w:rsidR="004D7BE4" w:rsidRPr="00B32578" w:rsidRDefault="004D7BE4" w:rsidP="004D7BE4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eastAsia="方正仿宋_GBK" w:hAnsi="Times New Roman"/>
          <w:snapToGrid w:val="0"/>
          <w:sz w:val="32"/>
          <w:szCs w:val="32"/>
        </w:rPr>
      </w:pP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根据财政部《关于取消、调整部分政府性基金有关政策的通知》（财税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[2017]18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号）精神，省财政厅印发《关于取消调整部分政府性基金有关政策的通知》（苏财综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[2017]17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号）、省墙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体材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料改革办公室印发《关于墙改专项基金有关要求的通知》（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苏墙办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〔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2017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〕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11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号），明确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2017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年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4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月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1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日取消新型墙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体材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料专项基金，以前年度欠缴或预缴的，相关执收单位应当足额征收或及时清算。近期，审计发现，各地基金清算工作存在不同程度的滞后和不到位。为确保国家重大政策措施全面落实，切实减轻企业负担，促进实体经济发展，现就进一步加快新型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体材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料专项基金清算工作提出如下要求：</w:t>
      </w:r>
    </w:p>
    <w:p w:rsidR="004D7BE4" w:rsidRPr="00B32578" w:rsidRDefault="004D7BE4" w:rsidP="004D7BE4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eastAsia="方正仿宋_GBK" w:hAnsi="Times New Roman"/>
          <w:snapToGrid w:val="0"/>
          <w:sz w:val="32"/>
          <w:szCs w:val="32"/>
        </w:rPr>
      </w:pP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lastRenderedPageBreak/>
        <w:t>一、各级墙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改主管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部门和财政部门要严格按照财政部和省财政厅、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省工信厅有关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墙改基金清算工作要求，全面认真细致核实新型墙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体材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料专项基金预缴未退金额，并根据实际情况排好时间进度表，明确清算截止日期，原则上不超过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2020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年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6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月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30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日。各级墙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改主管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部门要完善预缴款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清算台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账，并将预缴款清算项目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资料组卷归档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。</w:t>
      </w:r>
    </w:p>
    <w:p w:rsidR="004D7BE4" w:rsidRPr="00B32578" w:rsidRDefault="004D7BE4" w:rsidP="004D7BE4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eastAsia="方正仿宋_GBK" w:hAnsi="Times New Roman"/>
          <w:snapToGrid w:val="0"/>
          <w:sz w:val="32"/>
          <w:szCs w:val="32"/>
        </w:rPr>
      </w:pP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二、各级墙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改主管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部门要指定专人负责，严格按照新型墙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体材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料专项基金征收清算有关规定，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优化返退清算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流程，提高工作效率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;</w:t>
      </w: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各级财政部门要根据专项基金的清算对账情况及时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做好返退拨付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工作。省工信厅、财政厅将适时对各地清算情况进行巡查。</w:t>
      </w:r>
    </w:p>
    <w:p w:rsidR="004D7BE4" w:rsidRPr="00B32578" w:rsidRDefault="004D7BE4" w:rsidP="004D7BE4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eastAsia="方正仿宋_GBK" w:hAnsi="Times New Roman"/>
          <w:snapToGrid w:val="0"/>
          <w:sz w:val="32"/>
          <w:szCs w:val="32"/>
        </w:rPr>
      </w:pPr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三、各级墙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改主管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部门一定要树立为基层减负、为企业服务的思想，主动联系项目单位，可通过主流媒体公告等方式加大预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缴款返退清算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工作宣传力度，加快新型墙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体材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料专项基金清算工作，联合财政等相关部门加大对装配式部品、部件以及节能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利废等绿色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新墙材的扶持力度，推进全省新型墙</w:t>
      </w:r>
      <w:proofErr w:type="gramStart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体材料工作</w:t>
      </w:r>
      <w:proofErr w:type="gramEnd"/>
      <w:r w:rsidRPr="00B32578">
        <w:rPr>
          <w:rFonts w:ascii="Times New Roman" w:eastAsia="方正仿宋_GBK" w:hAnsi="Times New Roman" w:hint="eastAsia"/>
          <w:snapToGrid w:val="0"/>
          <w:sz w:val="32"/>
          <w:szCs w:val="32"/>
        </w:rPr>
        <w:t>健康有序高质量发展。</w:t>
      </w:r>
    </w:p>
    <w:p w:rsidR="004D7BE4" w:rsidRPr="00B32578" w:rsidRDefault="005B4FB9" w:rsidP="005B4FB9">
      <w:pPr>
        <w:tabs>
          <w:tab w:val="left" w:pos="1890"/>
        </w:tabs>
        <w:spacing w:line="560" w:lineRule="exact"/>
        <w:ind w:firstLineChars="147" w:firstLine="47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ab/>
      </w:r>
    </w:p>
    <w:p w:rsidR="004D7BE4" w:rsidRDefault="004D7BE4" w:rsidP="00ED29B1">
      <w:pPr>
        <w:tabs>
          <w:tab w:val="left" w:pos="5985"/>
        </w:tabs>
        <w:spacing w:beforeLines="100" w:line="560" w:lineRule="exact"/>
        <w:ind w:firstLineChars="62" w:firstLine="198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           </w:t>
      </w:r>
      <w:r w:rsidRPr="00DF1AD9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江苏省工业和信息化厅</w:t>
      </w:r>
      <w:r w:rsidRPr="00DF1AD9">
        <w:rPr>
          <w:rFonts w:ascii="Times New Roman" w:eastAsia="方正仿宋_GBK" w:hAnsi="Times New Roman"/>
          <w:snapToGrid w:val="0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  </w:t>
      </w:r>
      <w:r w:rsidRPr="00DF1AD9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江苏省财政厅</w:t>
      </w:r>
    </w:p>
    <w:p w:rsidR="004D7BE4" w:rsidRDefault="004D7BE4" w:rsidP="004D7BE4">
      <w:pPr>
        <w:spacing w:line="560" w:lineRule="exact"/>
        <w:ind w:firstLineChars="1068" w:firstLine="3418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</w:t>
      </w:r>
      <w:bookmarkStart w:id="1" w:name="签发日期"/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     </w:t>
      </w:r>
      <w:r>
        <w:rPr>
          <w:rFonts w:ascii="方正仿宋_GBK" w:eastAsia="方正仿宋_GBK" w:hAnsi="仿宋"/>
          <w:sz w:val="32"/>
          <w:szCs w:val="32"/>
        </w:rPr>
        <w:t>2019年</w:t>
      </w:r>
      <w:r>
        <w:rPr>
          <w:rFonts w:ascii="方正仿宋_GBK" w:eastAsia="方正仿宋_GBK" w:hAnsi="仿宋" w:hint="eastAsia"/>
          <w:sz w:val="32"/>
          <w:szCs w:val="32"/>
        </w:rPr>
        <w:t>10</w:t>
      </w:r>
      <w:r>
        <w:rPr>
          <w:rFonts w:ascii="方正仿宋_GBK" w:eastAsia="方正仿宋_GBK" w:hAnsi="仿宋"/>
          <w:sz w:val="32"/>
          <w:szCs w:val="32"/>
        </w:rPr>
        <w:t>月</w:t>
      </w:r>
      <w:r>
        <w:rPr>
          <w:rFonts w:ascii="方正仿宋_GBK" w:eastAsia="方正仿宋_GBK" w:hAnsi="仿宋" w:hint="eastAsia"/>
          <w:sz w:val="32"/>
          <w:szCs w:val="32"/>
        </w:rPr>
        <w:t>24</w:t>
      </w:r>
      <w:r>
        <w:rPr>
          <w:rFonts w:ascii="方正仿宋_GBK" w:eastAsia="方正仿宋_GBK" w:hAnsi="仿宋"/>
          <w:sz w:val="32"/>
          <w:szCs w:val="32"/>
        </w:rPr>
        <w:t>日</w:t>
      </w:r>
      <w:bookmarkEnd w:id="1"/>
    </w:p>
    <w:p w:rsidR="004D7BE4" w:rsidRDefault="004D7BE4" w:rsidP="004D7BE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D7BE4" w:rsidRDefault="004072B5" w:rsidP="004D7BE4">
      <w:pPr>
        <w:spacing w:line="560" w:lineRule="exact"/>
        <w:rPr>
          <w:rFonts w:ascii="仿宋" w:eastAsia="仿宋" w:hAnsi="仿宋"/>
          <w:sz w:val="32"/>
          <w:szCs w:val="32"/>
        </w:rPr>
      </w:pPr>
      <w:r w:rsidRPr="004072B5">
        <w:rPr>
          <w:rFonts w:ascii="方正仿宋_GBK" w:eastAsia="方正仿宋_GBK"/>
        </w:rPr>
        <w:pict>
          <v:line id="直线 2" o:spid="_x0000_s2050" style="position:absolute;left:0;text-align:left;z-index:251660288" from="-24.75pt,33.05pt" to="457.8pt,34.4pt" strokeweight="1.5pt"/>
        </w:pict>
      </w:r>
    </w:p>
    <w:p w:rsidR="004D7BE4" w:rsidRPr="004D7BE4" w:rsidRDefault="004072B5" w:rsidP="004D7BE4">
      <w:pPr>
        <w:spacing w:line="560" w:lineRule="exact"/>
        <w:ind w:firstLineChars="85" w:firstLine="178"/>
        <w:rPr>
          <w:rFonts w:ascii="方正仿宋_GBK" w:eastAsia="方正仿宋_GBK"/>
          <w:sz w:val="32"/>
          <w:szCs w:val="32"/>
        </w:rPr>
      </w:pPr>
      <w:bookmarkStart w:id="2" w:name="抄送单位"/>
      <w:bookmarkEnd w:id="2"/>
      <w:r w:rsidRPr="004072B5">
        <w:pict>
          <v:line id="直线 3" o:spid="_x0000_s2051" style="position:absolute;left:0;text-align:left;z-index:251661312" from="-24.75pt,33.5pt" to="458.8pt,33.5pt" strokeweight="1.5pt"/>
        </w:pict>
      </w:r>
      <w:r w:rsidR="004D7BE4">
        <w:rPr>
          <w:rFonts w:ascii="方正仿宋_GBK" w:eastAsia="方正仿宋_GBK" w:hint="eastAsia"/>
          <w:sz w:val="32"/>
          <w:szCs w:val="32"/>
        </w:rPr>
        <w:t>江苏省工业</w:t>
      </w:r>
      <w:r w:rsidR="004D7BE4">
        <w:rPr>
          <w:rFonts w:ascii="方正仿宋_GBK" w:eastAsia="方正仿宋_GBK"/>
          <w:sz w:val="32"/>
          <w:szCs w:val="32"/>
        </w:rPr>
        <w:t>和信息化厅</w:t>
      </w:r>
      <w:r w:rsidR="004D7BE4">
        <w:rPr>
          <w:rFonts w:ascii="方正仿宋_GBK" w:eastAsia="方正仿宋_GBK" w:hint="eastAsia"/>
          <w:sz w:val="32"/>
          <w:szCs w:val="32"/>
        </w:rPr>
        <w:t xml:space="preserve">             </w:t>
      </w:r>
      <w:r w:rsidR="004D7BE4">
        <w:rPr>
          <w:rFonts w:ascii="方正仿宋_GBK" w:eastAsia="方正仿宋_GBK" w:hAnsi="仿宋"/>
          <w:sz w:val="32"/>
          <w:szCs w:val="32"/>
        </w:rPr>
        <w:t>2019年</w:t>
      </w:r>
      <w:r w:rsidR="004D7BE4">
        <w:rPr>
          <w:rFonts w:ascii="方正仿宋_GBK" w:eastAsia="方正仿宋_GBK" w:hAnsi="仿宋" w:hint="eastAsia"/>
          <w:sz w:val="32"/>
          <w:szCs w:val="32"/>
        </w:rPr>
        <w:t>10</w:t>
      </w:r>
      <w:r w:rsidR="004D7BE4">
        <w:rPr>
          <w:rFonts w:ascii="方正仿宋_GBK" w:eastAsia="方正仿宋_GBK" w:hAnsi="仿宋"/>
          <w:sz w:val="32"/>
          <w:szCs w:val="32"/>
        </w:rPr>
        <w:t>月</w:t>
      </w:r>
      <w:r w:rsidR="004D7BE4">
        <w:rPr>
          <w:rFonts w:ascii="方正仿宋_GBK" w:eastAsia="方正仿宋_GBK" w:hAnsi="仿宋" w:hint="eastAsia"/>
          <w:sz w:val="32"/>
          <w:szCs w:val="32"/>
        </w:rPr>
        <w:t>31</w:t>
      </w:r>
      <w:r w:rsidR="004D7BE4">
        <w:rPr>
          <w:rFonts w:ascii="方正仿宋_GBK" w:eastAsia="方正仿宋_GBK" w:hAnsi="仿宋"/>
          <w:sz w:val="32"/>
          <w:szCs w:val="32"/>
        </w:rPr>
        <w:t>日</w:t>
      </w:r>
      <w:bookmarkStart w:id="3" w:name="印发日期"/>
      <w:bookmarkEnd w:id="3"/>
      <w:r w:rsidR="004D7BE4">
        <w:rPr>
          <w:rFonts w:ascii="方正仿宋_GBK" w:eastAsia="方正仿宋_GBK" w:hint="eastAsia"/>
          <w:sz w:val="32"/>
          <w:szCs w:val="32"/>
        </w:rPr>
        <w:t>印发</w:t>
      </w:r>
    </w:p>
    <w:sectPr w:rsidR="004D7BE4" w:rsidRPr="004D7BE4" w:rsidSect="006E039B">
      <w:pgSz w:w="11906" w:h="16838"/>
      <w:pgMar w:top="1814" w:right="1588" w:bottom="1644" w:left="1588" w:header="851" w:footer="116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73" w:rsidRDefault="00470673" w:rsidP="00F32144">
      <w:r>
        <w:separator/>
      </w:r>
    </w:p>
  </w:endnote>
  <w:endnote w:type="continuationSeparator" w:id="0">
    <w:p w:rsidR="00470673" w:rsidRDefault="00470673" w:rsidP="00F3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73" w:rsidRDefault="00470673" w:rsidP="00F32144">
      <w:r>
        <w:separator/>
      </w:r>
    </w:p>
  </w:footnote>
  <w:footnote w:type="continuationSeparator" w:id="0">
    <w:p w:rsidR="00470673" w:rsidRDefault="00470673" w:rsidP="00F32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B62"/>
    <w:rsid w:val="00032EAB"/>
    <w:rsid w:val="00143BD4"/>
    <w:rsid w:val="00183A71"/>
    <w:rsid w:val="00233B62"/>
    <w:rsid w:val="00295ED1"/>
    <w:rsid w:val="003C0167"/>
    <w:rsid w:val="003C7380"/>
    <w:rsid w:val="004072B5"/>
    <w:rsid w:val="00463DCC"/>
    <w:rsid w:val="00470673"/>
    <w:rsid w:val="004D7BE4"/>
    <w:rsid w:val="00595A45"/>
    <w:rsid w:val="005B4FB9"/>
    <w:rsid w:val="00604735"/>
    <w:rsid w:val="00620C74"/>
    <w:rsid w:val="00677956"/>
    <w:rsid w:val="00690E97"/>
    <w:rsid w:val="006E039B"/>
    <w:rsid w:val="00835EB2"/>
    <w:rsid w:val="0084066D"/>
    <w:rsid w:val="00965C7B"/>
    <w:rsid w:val="00974929"/>
    <w:rsid w:val="009E3EC8"/>
    <w:rsid w:val="009F6452"/>
    <w:rsid w:val="00A45A38"/>
    <w:rsid w:val="00BA0D9C"/>
    <w:rsid w:val="00BA5051"/>
    <w:rsid w:val="00BE1322"/>
    <w:rsid w:val="00C40E60"/>
    <w:rsid w:val="00C87881"/>
    <w:rsid w:val="00CE549D"/>
    <w:rsid w:val="00DD0F47"/>
    <w:rsid w:val="00DD2C51"/>
    <w:rsid w:val="00E74993"/>
    <w:rsid w:val="00ED29B1"/>
    <w:rsid w:val="00F32144"/>
    <w:rsid w:val="00F6260D"/>
    <w:rsid w:val="00F671AA"/>
    <w:rsid w:val="00FA4602"/>
    <w:rsid w:val="00FB1582"/>
    <w:rsid w:val="00FD2DF3"/>
    <w:rsid w:val="279935B7"/>
    <w:rsid w:val="2C6C1A31"/>
    <w:rsid w:val="6F01506D"/>
    <w:rsid w:val="7823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9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D7B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E0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E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E039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6E03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039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D7BE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D7BE4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4D7BE4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4D7B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admin008</cp:lastModifiedBy>
  <cp:revision>2</cp:revision>
  <cp:lastPrinted>2020-01-06T02:49:00Z</cp:lastPrinted>
  <dcterms:created xsi:type="dcterms:W3CDTF">2020-01-06T03:24:00Z</dcterms:created>
  <dcterms:modified xsi:type="dcterms:W3CDTF">2020-01-06T03:24:00Z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