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val="0"/>
        <w:spacing w:beforeLines="100" w:afterLines="100" w:line="560" w:lineRule="exact"/>
        <w:jc w:val="center"/>
        <w:rPr>
          <w:rFonts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z w:val="44"/>
          <w:lang w:eastAsia="zh-CN"/>
        </w:rPr>
        <w:t>2022年项目支出绩效自评价情况表</w:t>
      </w:r>
    </w:p>
    <w:p>
      <w:pPr>
        <w:pStyle w:val="15"/>
        <w:widowControl w:val="0"/>
        <w:spacing w:before="0" w:after="0" w:line="5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填报单位</w:t>
      </w:r>
      <w:r>
        <w:rPr>
          <w:rFonts w:hint="eastAsia" w:ascii="宋体" w:hAnsi="宋体" w:eastAsia="宋体" w:cs="宋体"/>
          <w:sz w:val="18"/>
          <w:szCs w:val="18"/>
          <w:u w:val="none"/>
          <w:lang w:eastAsia="zh-CN"/>
        </w:rPr>
        <w:t>：如皋市疾病预防控制中心</w:t>
      </w:r>
    </w:p>
    <w:p>
      <w:pPr>
        <w:pStyle w:val="15"/>
        <w:widowControl w:val="0"/>
        <w:spacing w:before="0" w:after="0" w:line="500" w:lineRule="exact"/>
        <w:jc w:val="left"/>
        <w:rPr>
          <w:rFonts w:hint="eastAsia" w:ascii="宋体" w:hAnsi="宋体" w:eastAsia="宋体" w:cs="宋体"/>
          <w:sz w:val="18"/>
          <w:szCs w:val="18"/>
          <w:u w:val="none"/>
          <w:lang w:eastAsia="zh-CN"/>
        </w:rPr>
      </w:pPr>
      <w:r>
        <w:rPr>
          <w:rFonts w:hint="eastAsia" w:ascii="宋体" w:hAnsi="宋体" w:eastAsia="宋体" w:cs="宋体"/>
          <w:sz w:val="18"/>
          <w:szCs w:val="18"/>
          <w:lang w:eastAsia="zh-CN"/>
        </w:rPr>
        <w:t>项目名称：</w:t>
      </w:r>
      <w:r>
        <w:rPr>
          <w:rFonts w:hint="eastAsia" w:ascii="宋体" w:hAnsi="宋体" w:eastAsia="宋体" w:cs="宋体"/>
          <w:sz w:val="18"/>
          <w:szCs w:val="18"/>
          <w:u w:val="none"/>
          <w:lang w:eastAsia="zh-CN"/>
        </w:rPr>
        <w:t>慢性病综合防控</w:t>
      </w:r>
    </w:p>
    <w:p>
      <w:pPr>
        <w:pStyle w:val="15"/>
        <w:widowControl w:val="0"/>
        <w:spacing w:before="0" w:after="0" w:line="5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项目实施年度：2022</w:t>
      </w:r>
      <w:r>
        <w:rPr>
          <w:rFonts w:hint="eastAsia" w:ascii="宋体" w:hAnsi="宋体" w:eastAsia="宋体" w:cs="宋体"/>
          <w:sz w:val="18"/>
          <w:szCs w:val="18"/>
          <w:lang w:val="en-US" w:eastAsia="zh-CN"/>
        </w:rPr>
        <w:t xml:space="preserve"> </w:t>
      </w:r>
      <w:r>
        <w:rPr>
          <w:rFonts w:hint="eastAsia" w:ascii="宋体" w:hAnsi="宋体" w:eastAsia="宋体" w:cs="宋体"/>
          <w:spacing w:val="-9"/>
          <w:sz w:val="18"/>
          <w:szCs w:val="18"/>
          <w:lang w:eastAsia="zh-CN"/>
        </w:rPr>
        <w:t>项目实施开始时间（年</w:t>
      </w:r>
      <w:r>
        <w:rPr>
          <w:rFonts w:hint="eastAsia" w:ascii="宋体" w:hAnsi="宋体" w:eastAsia="宋体" w:cs="宋体"/>
          <w:spacing w:val="1"/>
          <w:sz w:val="18"/>
          <w:szCs w:val="18"/>
          <w:lang w:eastAsia="zh-CN"/>
        </w:rPr>
        <w:t>/</w:t>
      </w:r>
      <w:r>
        <w:rPr>
          <w:rFonts w:hint="eastAsia" w:ascii="宋体" w:hAnsi="宋体" w:eastAsia="宋体" w:cs="宋体"/>
          <w:sz w:val="18"/>
          <w:szCs w:val="18"/>
          <w:lang w:eastAsia="zh-CN"/>
        </w:rPr>
        <w:t>月</w:t>
      </w:r>
      <w:r>
        <w:rPr>
          <w:rFonts w:hint="eastAsia" w:ascii="宋体" w:hAnsi="宋体" w:eastAsia="宋体" w:cs="宋体"/>
          <w:spacing w:val="-46"/>
          <w:sz w:val="18"/>
          <w:szCs w:val="18"/>
          <w:lang w:eastAsia="zh-CN"/>
        </w:rPr>
        <w:t>）：</w:t>
      </w:r>
      <w:r>
        <w:rPr>
          <w:rFonts w:hint="eastAsia" w:ascii="宋体" w:hAnsi="宋体" w:eastAsia="宋体" w:cs="宋体"/>
          <w:sz w:val="18"/>
          <w:szCs w:val="18"/>
          <w:lang w:eastAsia="zh-CN"/>
        </w:rPr>
        <w:t>2022.1</w:t>
      </w:r>
      <w:r>
        <w:rPr>
          <w:rFonts w:hint="eastAsia" w:ascii="宋体" w:hAnsi="宋体" w:eastAsia="宋体" w:cs="宋体"/>
          <w:sz w:val="18"/>
          <w:szCs w:val="18"/>
          <w:lang w:val="en-US" w:eastAsia="zh-CN"/>
        </w:rPr>
        <w:t xml:space="preserve">  </w:t>
      </w:r>
      <w:r>
        <w:rPr>
          <w:rFonts w:hint="eastAsia" w:ascii="宋体" w:hAnsi="宋体" w:eastAsia="宋体" w:cs="宋体"/>
          <w:spacing w:val="-8"/>
          <w:sz w:val="18"/>
          <w:szCs w:val="18"/>
          <w:lang w:eastAsia="zh-CN"/>
        </w:rPr>
        <w:t>项目实施完成时间（年</w:t>
      </w:r>
      <w:r>
        <w:rPr>
          <w:rFonts w:hint="eastAsia" w:ascii="宋体" w:hAnsi="宋体" w:eastAsia="宋体" w:cs="宋体"/>
          <w:spacing w:val="1"/>
          <w:sz w:val="18"/>
          <w:szCs w:val="18"/>
          <w:lang w:eastAsia="zh-CN"/>
        </w:rPr>
        <w:t>/</w:t>
      </w:r>
      <w:r>
        <w:rPr>
          <w:rFonts w:hint="eastAsia" w:ascii="宋体" w:hAnsi="宋体" w:eastAsia="宋体" w:cs="宋体"/>
          <w:sz w:val="18"/>
          <w:szCs w:val="18"/>
          <w:lang w:eastAsia="zh-CN"/>
        </w:rPr>
        <w:t>月</w:t>
      </w:r>
      <w:r>
        <w:rPr>
          <w:rFonts w:hint="eastAsia" w:ascii="宋体" w:hAnsi="宋体" w:eastAsia="宋体" w:cs="宋体"/>
          <w:spacing w:val="-46"/>
          <w:sz w:val="18"/>
          <w:szCs w:val="18"/>
          <w:u w:val="none"/>
          <w:lang w:eastAsia="zh-CN"/>
        </w:rPr>
        <w:t>）：</w:t>
      </w:r>
      <w:r>
        <w:rPr>
          <w:rFonts w:hint="eastAsia" w:ascii="宋体" w:hAnsi="宋体" w:eastAsia="宋体" w:cs="宋体"/>
          <w:sz w:val="18"/>
          <w:szCs w:val="18"/>
          <w:u w:val="none"/>
          <w:lang w:eastAsia="zh-CN"/>
        </w:rPr>
        <w:t>2022</w:t>
      </w:r>
      <w:r>
        <w:rPr>
          <w:rFonts w:hint="eastAsia" w:ascii="宋体" w:hAnsi="宋体" w:eastAsia="宋体" w:cs="宋体"/>
          <w:sz w:val="18"/>
          <w:szCs w:val="18"/>
          <w:u w:val="none"/>
          <w:lang w:val="en-US" w:eastAsia="zh-CN"/>
        </w:rPr>
        <w:t>.</w:t>
      </w:r>
      <w:r>
        <w:rPr>
          <w:rFonts w:hint="eastAsia" w:ascii="宋体" w:hAnsi="宋体" w:eastAsia="宋体" w:cs="宋体"/>
          <w:sz w:val="18"/>
          <w:szCs w:val="18"/>
          <w:u w:val="none"/>
          <w:lang w:eastAsia="zh-CN"/>
        </w:rPr>
        <w:t>12</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80" w:firstLineChars="200"/>
        <w:jc w:val="center"/>
        <w:rPr>
          <w:rFonts w:ascii="黑体" w:hAnsi="黑体" w:eastAsia="黑体" w:cs="黑体"/>
          <w:sz w:val="24"/>
        </w:rPr>
      </w:pPr>
      <w:r>
        <w:rPr>
          <w:rFonts w:hint="eastAsia" w:ascii="黑体" w:hAnsi="黑体" w:eastAsia="黑体" w:cs="黑体"/>
          <w:sz w:val="24"/>
        </w:rPr>
        <w:t>项目自评价情况</w:t>
      </w:r>
    </w:p>
    <w:p>
      <w:pPr>
        <w:pStyle w:val="15"/>
        <w:widowControl w:val="0"/>
        <w:numPr>
          <w:ilvl w:val="0"/>
          <w:numId w:val="1"/>
        </w:numPr>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hAnsi="APQONC+å®ä½" w:cs="APQONC+å®ä½"/>
          <w:sz w:val="21"/>
          <w:lang w:eastAsia="zh-CN"/>
        </w:rPr>
      </w:pPr>
      <w:r>
        <w:rPr>
          <w:rFonts w:ascii="APQONC+å®ä½" w:hAnsi="APQONC+å®ä½" w:cs="APQONC+å®ä½"/>
          <w:sz w:val="21"/>
          <w:lang w:eastAsia="zh-CN"/>
        </w:rPr>
        <w:t>项目概况（项目政策、资金分配使用、项目实施情况等）</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hAnsi="APQONC+å®ä½" w:cs="APQONC+å®ä½"/>
          <w:sz w:val="21"/>
          <w:lang w:eastAsia="zh-CN"/>
        </w:rPr>
      </w:pPr>
      <w:r>
        <w:rPr>
          <w:rFonts w:hint="eastAsia" w:ascii="APQONC+å®ä½" w:hAnsi="APQONC+å®ä½" w:cs="APQONC+å®ä½"/>
          <w:sz w:val="21"/>
          <w:lang w:eastAsia="zh-CN"/>
        </w:rPr>
        <w:t>根据</w:t>
      </w:r>
      <w:r>
        <w:rPr>
          <w:rFonts w:ascii="APQONC+å®ä½" w:hAnsi="APQONC+å®ä½" w:cs="APQONC+å®ä½"/>
          <w:sz w:val="21"/>
          <w:lang w:eastAsia="zh-CN"/>
        </w:rPr>
        <w:t>《国家慢性病 综合防控示范区建设指标</w:t>
      </w:r>
      <w:r>
        <w:rPr>
          <w:rFonts w:hint="eastAsia" w:ascii="宋体" w:hAnsi="宋体" w:eastAsia="宋体" w:cs="宋体"/>
          <w:sz w:val="21"/>
          <w:lang w:eastAsia="zh-CN"/>
        </w:rPr>
        <w:t>体系(2020版)》</w:t>
      </w:r>
      <w:r>
        <w:rPr>
          <w:rFonts w:hint="eastAsia" w:ascii="APQONC+å®ä½" w:hAnsi="APQONC+å®ä½" w:cs="APQONC+å®ä½"/>
          <w:sz w:val="21"/>
          <w:lang w:eastAsia="zh-CN"/>
        </w:rPr>
        <w:t>要求，开展常见慢性病科普宣传和全民健康生活方式行动，主要包括多渠道、多形式的各类慢性病防控知识和居民健康素养知识和技能的宣传推广、“三减三健”专项行动和特色活动的开展、推广使用健康“小三件”、健康支持性环境维护。</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hAnsi="APQONC+å®ä½" w:cs="APQONC+å®ä½"/>
          <w:sz w:val="21"/>
          <w:lang w:eastAsia="zh-CN"/>
        </w:rPr>
      </w:pPr>
      <w:r>
        <w:rPr>
          <w:rFonts w:ascii="APQONC+å®ä½" w:hAnsi="APQONC+å®ä½" w:cs="APQONC+å®ä½"/>
          <w:sz w:val="21"/>
          <w:lang w:eastAsia="zh-CN"/>
        </w:rPr>
        <w:t>二、评价情况（评价思路、方式、做法，以及评价指标体系设置情况和评价结论等）</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hint="eastAsia" w:ascii="APQONC+å®ä½" w:hAnsi="APQONC+å®ä½" w:cs="APQONC+å®ä½"/>
          <w:sz w:val="21"/>
          <w:lang w:eastAsia="zh-CN"/>
        </w:rPr>
      </w:pPr>
      <w:r>
        <w:rPr>
          <w:rFonts w:hint="eastAsia" w:ascii="APQONC+å®ä½" w:hAnsi="APQONC+å®ä½" w:cs="APQONC+å®ä½"/>
          <w:sz w:val="21"/>
          <w:lang w:eastAsia="zh-CN"/>
        </w:rPr>
        <w:t>在主流媒体和互联网等新媒体规范开展慢性病防治和健康教育</w:t>
      </w:r>
      <w:r>
        <w:rPr>
          <w:rFonts w:hint="eastAsia" w:ascii="宋体" w:hAnsi="宋体" w:eastAsia="宋体" w:cs="宋体"/>
          <w:sz w:val="21"/>
          <w:lang w:eastAsia="zh-CN"/>
        </w:rPr>
        <w:t>28</w:t>
      </w:r>
      <w:r>
        <w:rPr>
          <w:rFonts w:hint="eastAsia" w:ascii="APQONC+å®ä½" w:hAnsi="APQONC+å®ä½" w:cs="APQONC+å®ä½"/>
          <w:sz w:val="21"/>
          <w:lang w:eastAsia="zh-CN"/>
        </w:rPr>
        <w:t>次；慢性病防治主题宣传日宣传</w:t>
      </w:r>
      <w:r>
        <w:rPr>
          <w:rFonts w:hint="eastAsia" w:ascii="宋体" w:hAnsi="宋体" w:eastAsia="宋体" w:cs="宋体"/>
          <w:sz w:val="21"/>
          <w:lang w:eastAsia="zh-CN"/>
        </w:rPr>
        <w:t>活动10次，开展“健康骨骼”和减盐特色活动各一次，发放推广使用健康“小三件”5000套，发放对象能正确使用率95%以上；健康主题公园、</w:t>
      </w:r>
      <w:r>
        <w:rPr>
          <w:rFonts w:hint="eastAsia" w:ascii="APQONC+å®ä½" w:hAnsi="APQONC+å®ä½" w:cs="APQONC+å®ä½"/>
          <w:sz w:val="21"/>
          <w:lang w:eastAsia="zh-CN"/>
        </w:rPr>
        <w:t>街区、步道、健康自助检测点等健康支持性环境设备定期维修、保养，确保能正</w:t>
      </w:r>
      <w:r>
        <w:rPr>
          <w:rFonts w:hint="eastAsia" w:ascii="宋体" w:hAnsi="宋体" w:eastAsia="宋体" w:cs="宋体"/>
          <w:sz w:val="21"/>
          <w:lang w:eastAsia="zh-CN"/>
        </w:rPr>
        <w:t>常使用。预算资金30万为资本性支出，只能用于固定资产购置，部分工作如慢性病综合干预试点项目没有开展，但效果有待提升</w:t>
      </w:r>
      <w:r>
        <w:rPr>
          <w:rFonts w:hint="eastAsia" w:ascii="APQONC+å®ä½" w:hAnsi="APQONC+å®ä½" w:cs="APQONC+å®ä½"/>
          <w:sz w:val="21"/>
          <w:lang w:eastAsia="zh-CN"/>
        </w:rPr>
        <w:t>。</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hAnsi="APQONC+å®ä½" w:cs="APQONC+å®ä½"/>
          <w:sz w:val="21"/>
          <w:lang w:eastAsia="zh-CN"/>
        </w:rPr>
      </w:pPr>
      <w:r>
        <w:rPr>
          <w:rFonts w:ascii="APQONC+å®ä½" w:hAnsi="APQONC+å®ä½" w:cs="APQONC+å®ä½"/>
          <w:sz w:val="21"/>
          <w:lang w:eastAsia="zh-CN"/>
        </w:rPr>
        <w:t>三、项目绩效（通过绩效评价发现、总结的项目绩效）</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hAnsi="APQONC+å®ä½" w:cs="APQONC+å®ä½"/>
          <w:sz w:val="21"/>
          <w:lang w:eastAsia="zh-CN"/>
        </w:rPr>
      </w:pPr>
      <w:r>
        <w:rPr>
          <w:rFonts w:hint="eastAsia" w:ascii="APQONC+å®ä½" w:hAnsi="APQONC+å®ä½" w:cs="APQONC+å®ä½"/>
          <w:sz w:val="21"/>
          <w:lang w:eastAsia="zh-CN"/>
        </w:rPr>
        <w:t>提高了群众重点慢性病核心信息和健康生活方式的知晓率，提供健康生活方式的支持环境，促进群众健康行为形成。市级财政资金公共预算拨款</w:t>
      </w:r>
      <w:r>
        <w:rPr>
          <w:rFonts w:hint="eastAsia" w:ascii="宋体" w:hAnsi="宋体" w:eastAsia="宋体" w:cs="宋体"/>
          <w:sz w:val="21"/>
          <w:lang w:eastAsia="zh-CN"/>
        </w:rPr>
        <w:t>30</w:t>
      </w:r>
      <w:r>
        <w:rPr>
          <w:rFonts w:hint="eastAsia" w:ascii="APQONC+å®ä½" w:hAnsi="APQONC+å®ä½" w:cs="APQONC+å®ä½"/>
          <w:sz w:val="21"/>
          <w:lang w:eastAsia="zh-CN"/>
        </w:rPr>
        <w:t>万元为资本性支出，未使用。</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hAnsi="APQONC+å®ä½" w:cs="APQONC+å®ä½"/>
          <w:sz w:val="21"/>
          <w:lang w:eastAsia="zh-CN"/>
        </w:rPr>
      </w:pPr>
      <w:r>
        <w:rPr>
          <w:rFonts w:ascii="APQONC+å®ä½" w:hAnsi="APQONC+å®ä½" w:cs="APQONC+å®ä½"/>
          <w:sz w:val="21"/>
          <w:lang w:eastAsia="zh-CN"/>
        </w:rPr>
        <w:t>四、存在问题（通过绩效评价所发现的问题，原则上按照决策、过程、产出、效益分别归类分条撰写）</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hAnsi="APQONC+å®ä½" w:cs="APQONC+å®ä½"/>
          <w:sz w:val="21"/>
          <w:lang w:eastAsia="zh-CN"/>
        </w:rPr>
      </w:pPr>
      <w:r>
        <w:rPr>
          <w:rFonts w:hint="eastAsia" w:ascii="APQONC+å®ä½" w:hAnsi="APQONC+å®ä½" w:cs="APQONC+å®ä½"/>
          <w:sz w:val="21"/>
          <w:lang w:eastAsia="zh-CN"/>
        </w:rPr>
        <w:t>由于资金被预算为资本性支出，按规定只允许用于固定资产购置，未按项目预计采购 “小三件”，因资金不可使用，加上受新冠疫情影响未开展慢性病综合干预试点项目。</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hAnsi="APQONC+å®ä½" w:cs="APQONC+å®ä½"/>
          <w:sz w:val="21"/>
          <w:lang w:eastAsia="zh-CN"/>
        </w:rPr>
      </w:pPr>
      <w:r>
        <w:rPr>
          <w:rFonts w:hint="eastAsia" w:ascii="APQONC+å®ä½" w:hAnsi="APQONC+å®ä½" w:cs="APQONC+å®ä½"/>
          <w:sz w:val="21"/>
          <w:lang w:val="en-US" w:eastAsia="zh-CN"/>
        </w:rPr>
        <w:t>五、</w:t>
      </w:r>
      <w:r>
        <w:rPr>
          <w:rFonts w:hint="eastAsia" w:ascii="APQONC+å®ä½" w:hAnsi="APQONC+å®ä½" w:cs="APQONC+å®ä½"/>
          <w:sz w:val="21"/>
          <w:lang w:eastAsia="zh-CN"/>
        </w:rPr>
        <w:t>整改措施</w:t>
      </w:r>
      <w:r>
        <w:rPr>
          <w:rFonts w:ascii="APQONC+å®ä½" w:hAnsi="APQONC+å®ä½" w:cs="APQONC+å®ä½"/>
          <w:sz w:val="21"/>
          <w:lang w:eastAsia="zh-CN"/>
        </w:rPr>
        <w:t>（针对存在的问题，分别提出相关完善或整改</w:t>
      </w:r>
      <w:r>
        <w:rPr>
          <w:rFonts w:hint="eastAsia" w:ascii="APQONC+å®ä½" w:hAnsi="APQONC+å®ä½" w:cs="APQONC+å®ä½"/>
          <w:sz w:val="21"/>
          <w:lang w:eastAsia="zh-CN"/>
        </w:rPr>
        <w:t>措施</w:t>
      </w:r>
      <w:r>
        <w:rPr>
          <w:rFonts w:ascii="APQONC+å®ä½" w:hAnsi="APQONC+å®ä½" w:cs="APQONC+å®ä½"/>
          <w:sz w:val="21"/>
          <w:lang w:eastAsia="zh-CN"/>
        </w:rPr>
        <w:t>）</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jc w:val="left"/>
        <w:rPr>
          <w:rFonts w:ascii="APQONC+å®ä½" w:hAnsi="APQONC+å®ä½" w:cs="APQONC+å®ä½"/>
          <w:sz w:val="21"/>
          <w:lang w:eastAsia="zh-CN"/>
        </w:rPr>
        <w:sectPr>
          <w:footerReference r:id="rId3" w:type="default"/>
          <w:pgSz w:w="11900" w:h="16820"/>
          <w:pgMar w:top="1440" w:right="1800" w:bottom="1440" w:left="1800" w:header="720" w:footer="1247" w:gutter="0"/>
          <w:cols w:space="0" w:num="1"/>
          <w:docGrid w:linePitch="1" w:charSpace="0"/>
        </w:sectPr>
      </w:pPr>
      <w:r>
        <w:rPr>
          <w:rFonts w:hint="eastAsia" w:ascii="APQONC+å®ä½" w:hAnsi="APQONC+å®ä½" w:cs="APQONC+å®ä½"/>
          <w:sz w:val="21"/>
          <w:lang w:eastAsia="zh-CN"/>
        </w:rPr>
        <w:t xml:space="preserve">    今后预算及时沟通请示，加强工作的计划性。</w:t>
      </w:r>
      <w:bookmarkStart w:id="0" w:name="_GoBack"/>
      <w:bookmarkEnd w:id="0"/>
    </w:p>
    <w:p>
      <w:pPr>
        <w:pStyle w:val="14"/>
        <w:widowControl w:val="0"/>
        <w:spacing w:before="0" w:after="0" w:line="560" w:lineRule="exact"/>
        <w:jc w:val="left"/>
        <w:rPr>
          <w:rFonts w:ascii="黑体" w:hAnsi="黑体" w:eastAsia="黑体" w:cs="黑体"/>
          <w:sz w:val="32"/>
          <w:szCs w:val="32"/>
          <w:lang w:eastAsia="zh-CN"/>
        </w:rPr>
      </w:pPr>
    </w:p>
    <w:p>
      <w:pPr>
        <w:pStyle w:val="14"/>
        <w:widowControl w:val="0"/>
        <w:spacing w:beforeLines="100" w:afterLines="100" w:line="560" w:lineRule="exact"/>
        <w:jc w:val="center"/>
        <w:rPr>
          <w:rFonts w:ascii="方正小标宋简体" w:hAnsi="方正小标宋简体" w:eastAsia="方正小标宋简体" w:cs="方正小标宋简体"/>
          <w:color w:val="auto"/>
          <w:sz w:val="44"/>
          <w:lang w:eastAsia="zh-CN"/>
        </w:rPr>
      </w:pPr>
      <w:r>
        <w:rPr>
          <w:rFonts w:hint="eastAsia" w:ascii="方正小标宋简体" w:hAnsi="方正小标宋简体" w:eastAsia="方正小标宋简体" w:cs="方正小标宋简体"/>
          <w:color w:val="auto"/>
          <w:sz w:val="44"/>
          <w:lang w:eastAsia="zh-CN"/>
        </w:rPr>
        <w:t>2022年项目支出绩效自评价评分表</w:t>
      </w:r>
    </w:p>
    <w:p>
      <w:pPr>
        <w:pStyle w:val="16"/>
        <w:widowControl w:val="0"/>
        <w:spacing w:before="0" w:after="0" w:line="360" w:lineRule="exact"/>
        <w:jc w:val="left"/>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填报单位</w:t>
      </w:r>
      <w:r>
        <w:rPr>
          <w:rFonts w:ascii="宋体" w:hAnsi="宋体" w:eastAsia="宋体" w:cs="宋体"/>
          <w:color w:val="auto"/>
          <w:sz w:val="24"/>
          <w:szCs w:val="24"/>
          <w:lang w:eastAsia="zh-CN"/>
        </w:rPr>
        <w:t>：</w:t>
      </w:r>
      <w:r>
        <w:rPr>
          <w:rFonts w:hint="eastAsia" w:ascii="宋体" w:hAnsi="宋体" w:eastAsia="宋体" w:cs="宋体"/>
          <w:color w:val="auto"/>
          <w:sz w:val="20"/>
          <w:szCs w:val="20"/>
          <w:lang w:eastAsia="zh-CN"/>
        </w:rPr>
        <w:t>如皋市疾病预防控制中心   项目名称：慢性病综合防控</w:t>
      </w:r>
    </w:p>
    <w:tbl>
      <w:tblPr>
        <w:tblStyle w:val="9"/>
        <w:tblW w:w="9174" w:type="dxa"/>
        <w:jc w:val="center"/>
        <w:tblLayout w:type="fixed"/>
        <w:tblCellMar>
          <w:top w:w="0" w:type="dxa"/>
          <w:left w:w="108" w:type="dxa"/>
          <w:bottom w:w="0" w:type="dxa"/>
          <w:right w:w="108" w:type="dxa"/>
        </w:tblCellMar>
      </w:tblPr>
      <w:tblGrid>
        <w:gridCol w:w="669"/>
        <w:gridCol w:w="1020"/>
        <w:gridCol w:w="1515"/>
        <w:gridCol w:w="1245"/>
        <w:gridCol w:w="1275"/>
        <w:gridCol w:w="780"/>
        <w:gridCol w:w="945"/>
        <w:gridCol w:w="1725"/>
      </w:tblGrid>
      <w:tr>
        <w:tblPrEx>
          <w:tblCellMar>
            <w:top w:w="0" w:type="dxa"/>
            <w:left w:w="108" w:type="dxa"/>
            <w:bottom w:w="0" w:type="dxa"/>
            <w:right w:w="108" w:type="dxa"/>
          </w:tblCellMar>
        </w:tblPrEx>
        <w:trPr>
          <w:trHeight w:val="227" w:hRule="atLeast"/>
          <w:jc w:val="center"/>
        </w:trPr>
        <w:tc>
          <w:tcPr>
            <w:tcW w:w="32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评价指标</w:t>
            </w:r>
          </w:p>
        </w:tc>
        <w:tc>
          <w:tcPr>
            <w:tcW w:w="1245" w:type="dxa"/>
            <w:vMerge w:val="restart"/>
            <w:tcBorders>
              <w:top w:val="single" w:color="000000" w:sz="4" w:space="0"/>
              <w:left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年初指标值</w:t>
            </w:r>
          </w:p>
        </w:tc>
        <w:tc>
          <w:tcPr>
            <w:tcW w:w="1275" w:type="dxa"/>
            <w:vMerge w:val="restart"/>
            <w:tcBorders>
              <w:top w:val="single" w:color="000000" w:sz="4" w:space="0"/>
              <w:left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实际完成值</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权重</w:t>
            </w:r>
          </w:p>
        </w:tc>
        <w:tc>
          <w:tcPr>
            <w:tcW w:w="945" w:type="dxa"/>
            <w:vMerge w:val="restart"/>
            <w:tcBorders>
              <w:top w:val="single" w:color="000000" w:sz="4" w:space="0"/>
              <w:left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得分</w:t>
            </w:r>
          </w:p>
        </w:tc>
        <w:tc>
          <w:tcPr>
            <w:tcW w:w="1725" w:type="dxa"/>
            <w:vMerge w:val="restart"/>
            <w:tcBorders>
              <w:top w:val="single" w:color="000000" w:sz="4" w:space="0"/>
              <w:left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评分依据</w:t>
            </w:r>
          </w:p>
        </w:tc>
      </w:tr>
      <w:tr>
        <w:tblPrEx>
          <w:tblCellMar>
            <w:top w:w="0" w:type="dxa"/>
            <w:left w:w="108" w:type="dxa"/>
            <w:bottom w:w="0" w:type="dxa"/>
            <w:right w:w="108" w:type="dxa"/>
          </w:tblCellMar>
        </w:tblPrEx>
        <w:trPr>
          <w:trHeight w:val="22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一级指标</w:t>
            </w:r>
          </w:p>
        </w:tc>
        <w:tc>
          <w:tcPr>
            <w:tcW w:w="1020" w:type="dxa"/>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二级指标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三级指标</w:t>
            </w:r>
          </w:p>
        </w:tc>
        <w:tc>
          <w:tcPr>
            <w:tcW w:w="1245" w:type="dxa"/>
            <w:vMerge w:val="continue"/>
            <w:tcBorders>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p>
        </w:tc>
        <w:tc>
          <w:tcPr>
            <w:tcW w:w="1275" w:type="dxa"/>
            <w:vMerge w:val="continue"/>
            <w:tcBorders>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p>
        </w:tc>
        <w:tc>
          <w:tcPr>
            <w:tcW w:w="945" w:type="dxa"/>
            <w:vMerge w:val="continue"/>
            <w:tcBorders>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p>
        </w:tc>
        <w:tc>
          <w:tcPr>
            <w:tcW w:w="1725" w:type="dxa"/>
            <w:vMerge w:val="continue"/>
            <w:tcBorders>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p>
        </w:tc>
      </w:tr>
      <w:tr>
        <w:tblPrEx>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决策指标</w:t>
            </w: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项目立项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立项依据充分性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充分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充分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立项程序规范性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规范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规范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绩效目标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绩效目标合理性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合理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合理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绩效目标明确性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明确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明确</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资金投入</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预算编制科学性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科学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科学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资金分配合理性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合理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合理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项目管理办法</w:t>
            </w:r>
          </w:p>
        </w:tc>
      </w:tr>
      <w:tr>
        <w:tblPrEx>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过程指标</w:t>
            </w: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资金管理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预算执行率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资金使用合规性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合规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合规</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组织实施</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项目实施规范性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序时规范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序时规范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制度执行有效性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有效</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有效</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项目管理办法</w:t>
            </w:r>
          </w:p>
        </w:tc>
      </w:tr>
      <w:tr>
        <w:tblPrEx>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产出指标</w:t>
            </w: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数量指标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新媒体宣传次数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24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28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采购发放“小三件”套数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5000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主题宣传日活动次数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“三减三健”特色活动次数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慢性病综合干预人数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质量指标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“小三件”正确使用率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95%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cs="宋体" w:asciiTheme="minorEastAsia" w:hAnsiTheme="minorEastAsia" w:eastAsiaTheme="minorEastAsia"/>
                <w:b w:val="0"/>
                <w:color w:val="auto"/>
                <w:sz w:val="18"/>
                <w:szCs w:val="18"/>
              </w:rPr>
              <w:t>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干预对象控制效果显著率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60%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cs="宋体" w:asciiTheme="minorEastAsia" w:hAnsiTheme="minorEastAsia" w:eastAsiaTheme="minorEastAsia"/>
                <w:b w:val="0"/>
                <w:color w:val="auto"/>
                <w:sz w:val="18"/>
                <w:szCs w:val="18"/>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时效指标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主题宣传日活动举办及时性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及时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及时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color w:val="auto"/>
                <w:sz w:val="18"/>
                <w:szCs w:val="18"/>
              </w:rPr>
            </w:pPr>
            <w:r>
              <w:rPr>
                <w:rFonts w:hint="eastAsia" w:ascii="宋体" w:hAnsi="宋体" w:eastAsia="宋体" w:cs="宋体"/>
                <w:b w:val="0"/>
                <w:bCs/>
                <w:color w:val="auto"/>
                <w:sz w:val="18"/>
                <w:szCs w:val="18"/>
              </w:rPr>
              <w:t>成本指标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慢性病防治和健康教育媒体宣传(万元)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color w:val="auto"/>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“三减三建”专项行动(万元)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color w:val="auto"/>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健康主题公园、街区、步道、健康自助检测点等健康支持性环境维护(万元)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color w:val="auto"/>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慢性病综合干预试点项目(万元)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效益指标</w:t>
            </w:r>
          </w:p>
        </w:tc>
        <w:tc>
          <w:tcPr>
            <w:tcW w:w="1020" w:type="dxa"/>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color w:val="auto"/>
                <w:sz w:val="18"/>
                <w:szCs w:val="18"/>
              </w:rPr>
            </w:pPr>
            <w:r>
              <w:rPr>
                <w:rFonts w:hint="eastAsia" w:ascii="宋体" w:hAnsi="宋体" w:eastAsia="宋体" w:cs="宋体"/>
                <w:b w:val="0"/>
                <w:bCs/>
                <w:color w:val="auto"/>
                <w:sz w:val="18"/>
                <w:szCs w:val="18"/>
              </w:rPr>
              <w:t>经济效益指标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促进全民健康，促进经济稳定增长</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促进</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促进</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color w:val="auto"/>
                <w:sz w:val="18"/>
                <w:szCs w:val="18"/>
              </w:rPr>
            </w:pPr>
            <w:r>
              <w:rPr>
                <w:rFonts w:hint="eastAsia" w:ascii="宋体" w:hAnsi="宋体" w:eastAsia="宋体" w:cs="宋体"/>
                <w:b w:val="0"/>
                <w:bCs/>
                <w:color w:val="auto"/>
                <w:sz w:val="18"/>
                <w:szCs w:val="18"/>
              </w:rPr>
              <w:t>社会效益指标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新媒体宣传每次浏览人次数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≥500人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完成</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color w:val="auto"/>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每次主题宣传日活动参与人数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≥50人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完成</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color w:val="auto"/>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“三减三健”特色活动参与人数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≥100人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完成</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color w:val="auto"/>
                <w:sz w:val="18"/>
                <w:szCs w:val="18"/>
              </w:rPr>
            </w:pPr>
            <w:r>
              <w:rPr>
                <w:rFonts w:hint="eastAsia" w:ascii="宋体" w:hAnsi="宋体" w:eastAsia="宋体" w:cs="宋体"/>
                <w:b w:val="0"/>
                <w:bCs/>
                <w:color w:val="auto"/>
                <w:sz w:val="18"/>
                <w:szCs w:val="18"/>
              </w:rPr>
              <w:t>生态效益指标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生态效益指标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生态和谐</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和谐</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color w:val="auto"/>
                <w:sz w:val="18"/>
                <w:szCs w:val="18"/>
              </w:rPr>
            </w:pPr>
            <w:r>
              <w:rPr>
                <w:rFonts w:hint="eastAsia" w:ascii="宋体" w:hAnsi="宋体" w:eastAsia="宋体" w:cs="宋体"/>
                <w:b w:val="0"/>
                <w:bCs/>
                <w:color w:val="auto"/>
                <w:sz w:val="18"/>
                <w:szCs w:val="18"/>
              </w:rPr>
              <w:t>可持续发展指标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长效管理机制健全性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建成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建成</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color w:val="auto"/>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健全教育体系健全性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健全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健全</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left"/>
              <w:textAlignment w:val="center"/>
              <w:rPr>
                <w:rFonts w:ascii="宋体" w:hAnsi="宋体" w:eastAsia="宋体" w:cs="宋体"/>
                <w:b w:val="0"/>
                <w:bCs/>
                <w:color w:val="auto"/>
                <w:sz w:val="18"/>
                <w:szCs w:val="18"/>
              </w:rPr>
            </w:pPr>
            <w:r>
              <w:rPr>
                <w:rFonts w:hint="eastAsia" w:ascii="宋体" w:hAnsi="宋体" w:eastAsia="宋体" w:cs="宋体"/>
                <w:b w:val="0"/>
                <w:bCs/>
                <w:color w:val="auto"/>
                <w:sz w:val="18"/>
                <w:szCs w:val="18"/>
              </w:rPr>
              <w:t>满意度指标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群众满意度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cs="宋体" w:asciiTheme="minorEastAsia" w:hAnsiTheme="minorEastAsia" w:eastAsiaTheme="minorEastAsia"/>
                <w:b w:val="0"/>
                <w:bCs/>
                <w:color w:val="auto"/>
                <w:sz w:val="18"/>
                <w:szCs w:val="18"/>
              </w:rPr>
              <w:t>≥</w:t>
            </w:r>
            <w:r>
              <w:rPr>
                <w:rFonts w:hint="eastAsia" w:cs="宋体" w:asciiTheme="minorEastAsia" w:hAnsiTheme="minorEastAsia" w:eastAsiaTheme="minorEastAsia"/>
                <w:b w:val="0"/>
                <w:bCs/>
                <w:color w:val="auto"/>
                <w:sz w:val="18"/>
                <w:szCs w:val="18"/>
              </w:rPr>
              <w:t>95%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r>
              <w:rPr>
                <w:rFonts w:hint="eastAsia" w:asciiTheme="minorEastAsia" w:hAnsiTheme="minorEastAsia" w:eastAsiaTheme="minorEastAsia"/>
                <w:b w:val="0"/>
                <w:color w:val="auto"/>
                <w:sz w:val="18"/>
                <w:szCs w:val="18"/>
              </w:rPr>
              <w:t>≥95%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单位规章制度</w:t>
            </w:r>
          </w:p>
        </w:tc>
      </w:tr>
      <w:tr>
        <w:tblPrEx>
          <w:tblCellMar>
            <w:top w:w="0" w:type="dxa"/>
            <w:left w:w="108" w:type="dxa"/>
            <w:bottom w:w="0" w:type="dxa"/>
            <w:right w:w="108" w:type="dxa"/>
          </w:tblCellMar>
        </w:tblPrEx>
        <w:trPr>
          <w:trHeight w:val="22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color w:val="auto"/>
                <w:sz w:val="20"/>
                <w:szCs w:val="20"/>
              </w:rPr>
            </w:pPr>
            <w:r>
              <w:rPr>
                <w:rFonts w:hint="eastAsia" w:ascii="宋体" w:hAnsi="宋体" w:eastAsia="宋体" w:cs="宋体"/>
                <w:b w:val="0"/>
                <w:bCs/>
                <w:color w:val="auto"/>
                <w:sz w:val="20"/>
                <w:szCs w:val="20"/>
              </w:rPr>
              <w:t>总计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left"/>
              <w:textAlignment w:val="center"/>
              <w:rPr>
                <w:rFonts w:ascii="宋体" w:hAnsi="宋体" w:eastAsia="宋体" w:cs="宋体"/>
                <w:b w:val="0"/>
                <w:bCs/>
                <w:color w:val="auto"/>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cs="宋体" w:asciiTheme="minorEastAsia" w:hAnsiTheme="minorEastAsia" w:eastAsiaTheme="minorEastAsia"/>
                <w:b w:val="0"/>
                <w:bCs/>
                <w:color w:val="auto"/>
                <w:sz w:val="18"/>
                <w:szCs w:val="18"/>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val="0"/>
                <w:color w:val="auto"/>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cs="宋体" w:asciiTheme="minorEastAsia" w:hAnsiTheme="minorEastAsia" w:eastAsiaTheme="minorEastAsia"/>
                <w:b w:val="0"/>
                <w:bCs/>
                <w:color w:val="auto"/>
                <w:sz w:val="18"/>
                <w:szCs w:val="18"/>
              </w:rPr>
            </w:pPr>
            <w:r>
              <w:rPr>
                <w:rFonts w:hint="eastAsia" w:cs="宋体" w:asciiTheme="minorEastAsia" w:hAnsiTheme="minorEastAsia" w:eastAsiaTheme="minorEastAsia"/>
                <w:b w:val="0"/>
                <w:bCs/>
                <w:color w:val="auto"/>
                <w:sz w:val="18"/>
                <w:szCs w:val="18"/>
              </w:rPr>
              <w:t>80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textAlignment w:val="center"/>
              <w:rPr>
                <w:rFonts w:cs="宋体" w:asciiTheme="minorEastAsia" w:hAnsiTheme="minorEastAsia" w:eastAsiaTheme="minorEastAsia"/>
                <w:b w:val="0"/>
                <w:bCs/>
                <w:color w:val="auto"/>
                <w:sz w:val="18"/>
                <w:szCs w:val="18"/>
              </w:rPr>
            </w:pPr>
          </w:p>
        </w:tc>
      </w:tr>
    </w:tbl>
    <w:p>
      <w:pPr>
        <w:pStyle w:val="14"/>
        <w:widowControl w:val="0"/>
        <w:spacing w:before="0" w:after="0" w:line="560" w:lineRule="exact"/>
        <w:jc w:val="left"/>
        <w:rPr>
          <w:rFonts w:ascii="仿宋_GB2312" w:hAnsi="仿宋_GB2312" w:eastAsia="仿宋_GB2312" w:cs="仿宋_GB2312"/>
          <w:b/>
          <w:bCs/>
          <w:color w:val="auto"/>
          <w:sz w:val="32"/>
          <w:szCs w:val="32"/>
          <w:shd w:val="clear" w:color="auto" w:fill="FFFFFF"/>
          <w:lang w:eastAsia="zh-CN"/>
        </w:rPr>
      </w:pPr>
    </w:p>
    <w:sectPr>
      <w:footerReference r:id="rId4" w:type="default"/>
      <w:pgSz w:w="11900" w:h="16820"/>
      <w:pgMar w:top="1701" w:right="1587" w:bottom="1587" w:left="1587" w:header="720" w:footer="1247" w:gutter="0"/>
      <w:cols w:space="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PQONC+å®ä½">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rPr>
                    <w:rFonts w:ascii="Times New Roman" w:hAnsi="Times New Roman" w:cs="Times New Roman"/>
                    <w:b w:val="0"/>
                    <w:bCs/>
                    <w:sz w:val="28"/>
                  </w:rPr>
                </w:pPr>
                <w:r>
                  <w:rPr>
                    <w:rFonts w:ascii="Times New Roman" w:hAnsi="Times New Roman" w:cs="Times New Roman"/>
                    <w:b w:val="0"/>
                    <w:bCs/>
                    <w:sz w:val="28"/>
                  </w:rPr>
                  <w:t xml:space="preserve">— </w:t>
                </w:r>
                <w:r>
                  <w:rPr>
                    <w:rFonts w:ascii="Times New Roman" w:hAnsi="Times New Roman" w:cs="Times New Roman"/>
                    <w:b w:val="0"/>
                    <w:bCs/>
                    <w:sz w:val="28"/>
                  </w:rPr>
                  <w:fldChar w:fldCharType="begin"/>
                </w:r>
                <w:r>
                  <w:rPr>
                    <w:rFonts w:ascii="Times New Roman" w:hAnsi="Times New Roman" w:cs="Times New Roman"/>
                    <w:b w:val="0"/>
                    <w:bCs/>
                    <w:sz w:val="28"/>
                  </w:rPr>
                  <w:instrText xml:space="preserve"> PAGE  \* MERGEFORMAT </w:instrText>
                </w:r>
                <w:r>
                  <w:rPr>
                    <w:rFonts w:ascii="Times New Roman" w:hAnsi="Times New Roman" w:cs="Times New Roman"/>
                    <w:b w:val="0"/>
                    <w:bCs/>
                    <w:sz w:val="28"/>
                  </w:rPr>
                  <w:fldChar w:fldCharType="separate"/>
                </w:r>
                <w:r>
                  <w:rPr>
                    <w:rFonts w:ascii="Times New Roman" w:hAnsi="Times New Roman" w:cs="Times New Roman"/>
                    <w:b w:val="0"/>
                    <w:bCs/>
                    <w:sz w:val="28"/>
                  </w:rPr>
                  <w:t>2</w:t>
                </w:r>
                <w:r>
                  <w:rPr>
                    <w:rFonts w:ascii="Times New Roman" w:hAnsi="Times New Roman" w:cs="Times New Roman"/>
                    <w:b w:val="0"/>
                    <w:bCs/>
                    <w:sz w:val="28"/>
                  </w:rPr>
                  <w:fldChar w:fldCharType="end"/>
                </w:r>
                <w:r>
                  <w:rPr>
                    <w:rFonts w:ascii="Times New Roman" w:hAnsi="Times New Roman" w:cs="Times New Roman"/>
                    <w:b w:val="0"/>
                    <w:bCs/>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6"/>
                  <w:rPr>
                    <w:rFonts w:ascii="Times New Roman" w:hAnsi="Times New Roman" w:cs="Times New Roman"/>
                    <w:b w:val="0"/>
                    <w:bCs/>
                    <w:sz w:val="28"/>
                  </w:rPr>
                </w:pPr>
                <w:r>
                  <w:rPr>
                    <w:rFonts w:ascii="Times New Roman" w:hAnsi="Times New Roman" w:cs="Times New Roman"/>
                    <w:b w:val="0"/>
                    <w:bCs/>
                    <w:sz w:val="28"/>
                  </w:rPr>
                  <w:t xml:space="preserve">— </w:t>
                </w:r>
                <w:r>
                  <w:rPr>
                    <w:rFonts w:ascii="Times New Roman" w:hAnsi="Times New Roman" w:cs="Times New Roman"/>
                    <w:b w:val="0"/>
                    <w:bCs/>
                    <w:sz w:val="28"/>
                  </w:rPr>
                  <w:fldChar w:fldCharType="begin"/>
                </w:r>
                <w:r>
                  <w:rPr>
                    <w:rFonts w:ascii="Times New Roman" w:hAnsi="Times New Roman" w:cs="Times New Roman"/>
                    <w:b w:val="0"/>
                    <w:bCs/>
                    <w:sz w:val="28"/>
                  </w:rPr>
                  <w:instrText xml:space="preserve"> PAGE  \* MERGEFORMAT </w:instrText>
                </w:r>
                <w:r>
                  <w:rPr>
                    <w:rFonts w:ascii="Times New Roman" w:hAnsi="Times New Roman" w:cs="Times New Roman"/>
                    <w:b w:val="0"/>
                    <w:bCs/>
                    <w:sz w:val="28"/>
                  </w:rPr>
                  <w:fldChar w:fldCharType="separate"/>
                </w:r>
                <w:r>
                  <w:rPr>
                    <w:rFonts w:ascii="Times New Roman" w:hAnsi="Times New Roman" w:cs="Times New Roman"/>
                    <w:b w:val="0"/>
                    <w:bCs/>
                    <w:sz w:val="28"/>
                  </w:rPr>
                  <w:t>4</w:t>
                </w:r>
                <w:r>
                  <w:rPr>
                    <w:rFonts w:ascii="Times New Roman" w:hAnsi="Times New Roman" w:cs="Times New Roman"/>
                    <w:b w:val="0"/>
                    <w:bCs/>
                    <w:sz w:val="28"/>
                  </w:rPr>
                  <w:fldChar w:fldCharType="end"/>
                </w:r>
                <w:r>
                  <w:rPr>
                    <w:rFonts w:ascii="Times New Roman" w:hAnsi="Times New Roman" w:cs="Times New Roman"/>
                    <w:b w:val="0"/>
                    <w:bCs/>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BF715F"/>
    <w:multiLevelType w:val="singleLevel"/>
    <w:tmpl w:val="36BF71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yYmJlZDdjOTI1Mjc1N2E4MWQ3MTM4ZTAyMDkzNGEifQ=="/>
  </w:docVars>
  <w:rsids>
    <w:rsidRoot w:val="004E41CB"/>
    <w:rsid w:val="000E0368"/>
    <w:rsid w:val="00102D56"/>
    <w:rsid w:val="001400C5"/>
    <w:rsid w:val="001925B0"/>
    <w:rsid w:val="001A4C4E"/>
    <w:rsid w:val="001E6E91"/>
    <w:rsid w:val="00375913"/>
    <w:rsid w:val="003A6085"/>
    <w:rsid w:val="004D0778"/>
    <w:rsid w:val="004E41CB"/>
    <w:rsid w:val="00526438"/>
    <w:rsid w:val="005A3683"/>
    <w:rsid w:val="005F2E07"/>
    <w:rsid w:val="007D105B"/>
    <w:rsid w:val="00A15553"/>
    <w:rsid w:val="00A40024"/>
    <w:rsid w:val="00A44585"/>
    <w:rsid w:val="00AE6CDC"/>
    <w:rsid w:val="00B4571F"/>
    <w:rsid w:val="00CE37F6"/>
    <w:rsid w:val="00D92205"/>
    <w:rsid w:val="00DF358A"/>
    <w:rsid w:val="00F01A31"/>
    <w:rsid w:val="00FB2B93"/>
    <w:rsid w:val="00FC6FCD"/>
    <w:rsid w:val="05AB0957"/>
    <w:rsid w:val="089266FC"/>
    <w:rsid w:val="0B1D329D"/>
    <w:rsid w:val="14925032"/>
    <w:rsid w:val="18F4632D"/>
    <w:rsid w:val="1BF36283"/>
    <w:rsid w:val="1F2F6FCD"/>
    <w:rsid w:val="203F5ADD"/>
    <w:rsid w:val="239E3AE2"/>
    <w:rsid w:val="28713F75"/>
    <w:rsid w:val="2D083D0C"/>
    <w:rsid w:val="330B2F05"/>
    <w:rsid w:val="405B5917"/>
    <w:rsid w:val="43927A0F"/>
    <w:rsid w:val="4A4F0B31"/>
    <w:rsid w:val="4ED2755B"/>
    <w:rsid w:val="4F8369DB"/>
    <w:rsid w:val="52F3242F"/>
    <w:rsid w:val="55EA1221"/>
    <w:rsid w:val="56927E72"/>
    <w:rsid w:val="5699538C"/>
    <w:rsid w:val="5AD8307A"/>
    <w:rsid w:val="684E157C"/>
    <w:rsid w:val="6E872B8D"/>
    <w:rsid w:val="73C0466A"/>
    <w:rsid w:val="74543C5E"/>
    <w:rsid w:val="7A7A4EFE"/>
    <w:rsid w:val="7C351A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仿宋" w:cs="仿宋_GB2312" w:asciiTheme="minorHAnsi" w:hAnsiTheme="minorHAnsi"/>
      <w:b/>
      <w:sz w:val="28"/>
      <w:szCs w:val="28"/>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sz w:val="24"/>
    </w:rPr>
  </w:style>
  <w:style w:type="character" w:styleId="11">
    <w:name w:val="Strong"/>
    <w:basedOn w:val="10"/>
    <w:qFormat/>
    <w:uiPriority w:val="0"/>
    <w:rPr>
      <w:b/>
    </w:rPr>
  </w:style>
  <w:style w:type="character" w:styleId="12">
    <w:name w:val="Emphasis"/>
    <w:basedOn w:val="10"/>
    <w:qFormat/>
    <w:uiPriority w:val="0"/>
    <w:rPr>
      <w:i/>
    </w:rPr>
  </w:style>
  <w:style w:type="paragraph" w:customStyle="1" w:styleId="13">
    <w:name w:val="Normal_3"/>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4">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5">
    <w:name w:val="Normal_1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6">
    <w:name w:val="Normal_12"/>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7">
    <w:name w:val="Normal_18"/>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1569</Words>
  <Characters>1635</Characters>
  <Lines>14</Lines>
  <Paragraphs>3</Paragraphs>
  <TotalTime>180</TotalTime>
  <ScaleCrop>false</ScaleCrop>
  <LinksUpToDate>false</LinksUpToDate>
  <CharactersWithSpaces>1647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2023-03-10T00:40:00Z</dcterms:created>
  <dc:creator>Administrator</dc:creator>
  <cp:lastModifiedBy>慢熱有距離</cp:lastModifiedBy>
  <cp:lastPrinted>2023-03-14T07:04:00Z</cp:lastPrinted>
  <dcterms:modified xsi:type="dcterms:W3CDTF">2023-03-22T09:09:08Z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A4A2F83C8519492AA7557C45BA735CF3</vt:lpwstr>
  </property>
</Properties>
</file>