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移动网络服务费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与移动公司签订服务合同，用于指挥调度系统的过程监控、指挥调度、数据采集和测量、远程定位、远程诊断等信息化需求。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</w:rPr>
        <w:t>保障指挥调度系统正常运行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由于车辆启动和关闭频繁，导致移动车载</w:t>
      </w:r>
      <w:r>
        <w:rPr>
          <w:rStyle w:val="10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  <w:t>流量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卡损坏，且办理补卡手续繁琐，延误使用。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加强驾驶员车载调度系统使用培训。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default" w:ascii="黑体" w:hAnsi="黑体" w:eastAsia="宋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移动网络服务费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车辆覆盖率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系统排故率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信息传输即时性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即时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即时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使用人满意度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AB0957"/>
    <w:rsid w:val="06182F75"/>
    <w:rsid w:val="089266FC"/>
    <w:rsid w:val="0B1D329D"/>
    <w:rsid w:val="14925032"/>
    <w:rsid w:val="17D272E9"/>
    <w:rsid w:val="1BF36283"/>
    <w:rsid w:val="1F2F6FCD"/>
    <w:rsid w:val="203F5ADD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C3912C4"/>
    <w:rsid w:val="6E872B8D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736</Characters>
  <Lines>0</Lines>
  <Paragraphs>0</Paragraphs>
  <TotalTime>2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2023-03-14T02:33:47Z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