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2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6"/>
        <w:gridCol w:w="801"/>
        <w:gridCol w:w="951"/>
        <w:gridCol w:w="1655"/>
        <w:gridCol w:w="930"/>
        <w:gridCol w:w="840"/>
        <w:gridCol w:w="450"/>
        <w:gridCol w:w="600"/>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203" w:type="dxa"/>
            <w:gridSpan w:val="9"/>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383838"/>
                <w:sz w:val="32"/>
                <w:szCs w:val="32"/>
                <w:u w:val="none"/>
              </w:rPr>
            </w:pPr>
            <w:r>
              <w:rPr>
                <w:rFonts w:hint="eastAsia" w:ascii="方正小标宋简体" w:hAnsi="方正小标宋简体" w:eastAsia="方正小标宋简体" w:cs="方正小标宋简体"/>
                <w:b w:val="0"/>
                <w:bCs/>
                <w:i w:val="0"/>
                <w:iCs w:val="0"/>
                <w:color w:val="383838"/>
                <w:kern w:val="0"/>
                <w:sz w:val="32"/>
                <w:szCs w:val="32"/>
                <w:u w:val="none"/>
                <w:lang w:val="en-US" w:eastAsia="zh-CN" w:bidi="ar"/>
              </w:rPr>
              <w:t>2022年市级部门整体支出绩效自评价表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23" w:type="dxa"/>
            <w:gridSpan w:val="4"/>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自评价单位（盖章）：</w:t>
            </w:r>
          </w:p>
        </w:tc>
        <w:tc>
          <w:tcPr>
            <w:tcW w:w="930" w:type="dxa"/>
            <w:tcBorders>
              <w:top w:val="nil"/>
              <w:left w:val="nil"/>
              <w:bottom w:val="single" w:color="auto" w:sz="4" w:space="0"/>
              <w:right w:val="nil"/>
            </w:tcBorders>
            <w:shd w:val="clear" w:color="auto" w:fill="auto"/>
            <w:noWrap/>
            <w:vAlign w:val="bottom"/>
          </w:tcPr>
          <w:p>
            <w:pPr>
              <w:rPr>
                <w:rFonts w:hint="eastAsia" w:ascii="仿宋_GB2312" w:hAnsi="仿宋_GB2312" w:eastAsia="仿宋_GB2312" w:cs="仿宋_GB2312"/>
                <w:b w:val="0"/>
                <w:bCs/>
                <w:i w:val="0"/>
                <w:iCs w:val="0"/>
                <w:color w:val="000000"/>
                <w:sz w:val="20"/>
                <w:szCs w:val="20"/>
                <w:u w:val="none"/>
              </w:rPr>
            </w:pPr>
          </w:p>
        </w:tc>
        <w:tc>
          <w:tcPr>
            <w:tcW w:w="840" w:type="dxa"/>
            <w:tcBorders>
              <w:top w:val="nil"/>
              <w:left w:val="nil"/>
              <w:bottom w:val="single" w:color="auto" w:sz="4" w:space="0"/>
              <w:right w:val="nil"/>
            </w:tcBorders>
            <w:shd w:val="clear" w:color="auto" w:fill="auto"/>
            <w:noWrap/>
            <w:vAlign w:val="center"/>
          </w:tcPr>
          <w:p>
            <w:pPr>
              <w:rPr>
                <w:rFonts w:hint="eastAsia" w:ascii="仿宋_GB2312" w:hAnsi="仿宋_GB2312" w:eastAsia="仿宋_GB2312" w:cs="仿宋_GB2312"/>
                <w:b w:val="0"/>
                <w:bCs/>
                <w:i w:val="0"/>
                <w:iCs w:val="0"/>
                <w:color w:val="000000"/>
                <w:sz w:val="20"/>
                <w:szCs w:val="20"/>
                <w:u w:val="none"/>
              </w:rPr>
            </w:pPr>
          </w:p>
        </w:tc>
        <w:tc>
          <w:tcPr>
            <w:tcW w:w="450" w:type="dxa"/>
            <w:tcBorders>
              <w:top w:val="nil"/>
              <w:left w:val="nil"/>
              <w:bottom w:val="single" w:color="auto" w:sz="4" w:space="0"/>
              <w:right w:val="nil"/>
            </w:tcBorders>
            <w:shd w:val="clear" w:color="auto" w:fill="auto"/>
            <w:noWrap/>
            <w:vAlign w:val="center"/>
          </w:tcPr>
          <w:p>
            <w:pPr>
              <w:rPr>
                <w:rFonts w:hint="eastAsia" w:ascii="仿宋_GB2312" w:hAnsi="仿宋_GB2312" w:eastAsia="仿宋_GB2312" w:cs="仿宋_GB2312"/>
                <w:b w:val="0"/>
                <w:bCs/>
                <w:i w:val="0"/>
                <w:iCs w:val="0"/>
                <w:color w:val="000000"/>
                <w:sz w:val="20"/>
                <w:szCs w:val="20"/>
                <w:u w:val="none"/>
              </w:rPr>
            </w:pPr>
          </w:p>
        </w:tc>
        <w:tc>
          <w:tcPr>
            <w:tcW w:w="600" w:type="dxa"/>
            <w:tcBorders>
              <w:top w:val="nil"/>
              <w:left w:val="nil"/>
              <w:bottom w:val="single" w:color="auto" w:sz="4" w:space="0"/>
              <w:right w:val="nil"/>
            </w:tcBorders>
            <w:shd w:val="clear" w:color="auto" w:fill="auto"/>
            <w:noWrap/>
            <w:vAlign w:val="bottom"/>
          </w:tcPr>
          <w:p>
            <w:pPr>
              <w:rPr>
                <w:rFonts w:hint="eastAsia" w:ascii="仿宋_GB2312" w:hAnsi="仿宋_GB2312" w:eastAsia="仿宋_GB2312" w:cs="仿宋_GB2312"/>
                <w:b w:val="0"/>
                <w:bCs/>
                <w:i w:val="0"/>
                <w:iCs w:val="0"/>
                <w:color w:val="000000"/>
                <w:sz w:val="22"/>
                <w:szCs w:val="22"/>
                <w:u w:val="none"/>
              </w:rPr>
            </w:pPr>
          </w:p>
        </w:tc>
        <w:tc>
          <w:tcPr>
            <w:tcW w:w="1560" w:type="dxa"/>
            <w:tcBorders>
              <w:top w:val="nil"/>
              <w:left w:val="nil"/>
              <w:bottom w:val="single" w:color="auto" w:sz="4" w:space="0"/>
              <w:right w:val="nil"/>
            </w:tcBorders>
            <w:shd w:val="clear" w:color="auto" w:fill="auto"/>
            <w:noWrap/>
            <w:vAlign w:val="bottom"/>
          </w:tcPr>
          <w:p>
            <w:pPr>
              <w:rPr>
                <w:rFonts w:hint="eastAsia" w:ascii="仿宋_GB2312" w:hAnsi="仿宋_GB2312" w:eastAsia="仿宋_GB2312" w:cs="仿宋_GB2312"/>
                <w:b w:val="0"/>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203" w:type="dxa"/>
            <w:gridSpan w:val="9"/>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一、部门概述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8203" w:type="dxa"/>
            <w:gridSpan w:val="9"/>
            <w:tcBorders>
              <w:top w:val="nil"/>
              <w:left w:val="single" w:color="auto" w:sz="4" w:space="0"/>
              <w:bottom w:val="single" w:color="auto" w:sz="4" w:space="0"/>
              <w:right w:val="single" w:color="auto" w:sz="4" w:space="0"/>
            </w:tcBorders>
            <w:shd w:val="clear" w:color="auto" w:fill="auto"/>
            <w:vAlign w:val="center"/>
          </w:tcPr>
          <w:p>
            <w:pPr>
              <w:snapToGrid w:val="0"/>
              <w:spacing w:line="520" w:lineRule="exact"/>
              <w:rPr>
                <w:rFonts w:hint="eastAsia" w:ascii="仿宋_GB2312" w:hAnsi="仿宋_GB2312" w:eastAsia="仿宋_GB2312" w:cs="仿宋_GB2312"/>
                <w:b w:val="0"/>
                <w:bCs/>
                <w:i w:val="0"/>
                <w:iCs w:val="0"/>
                <w:color w:val="000000"/>
                <w:sz w:val="20"/>
                <w:szCs w:val="20"/>
                <w:u w:val="none"/>
                <w:lang w:eastAsia="zh-CN"/>
              </w:rPr>
            </w:pPr>
            <w:r>
              <w:rPr>
                <w:rFonts w:hint="eastAsia" w:ascii="仿宋_GB2312" w:hAnsi="仿宋" w:eastAsia="仿宋_GB2312"/>
                <w:b w:val="0"/>
                <w:bCs/>
                <w:sz w:val="21"/>
                <w:szCs w:val="21"/>
              </w:rPr>
              <w:t>本中心组建于2015年2月，由原市妇幼保健所与原市计划生育指导站合并而成。共有编制4</w:t>
            </w:r>
            <w:r>
              <w:rPr>
                <w:rFonts w:hint="eastAsia" w:ascii="仿宋_GB2312" w:hAnsi="仿宋" w:eastAsia="仿宋_GB2312"/>
                <w:b w:val="0"/>
                <w:bCs/>
                <w:sz w:val="21"/>
                <w:szCs w:val="21"/>
                <w:lang w:val="en-US" w:eastAsia="zh-CN"/>
              </w:rPr>
              <w:t>5</w:t>
            </w:r>
            <w:r>
              <w:rPr>
                <w:rFonts w:hint="eastAsia" w:ascii="仿宋_GB2312" w:hAnsi="仿宋" w:eastAsia="仿宋_GB2312"/>
                <w:b w:val="0"/>
                <w:bCs/>
                <w:sz w:val="21"/>
                <w:szCs w:val="21"/>
              </w:rPr>
              <w:t>人，实际在职在编人员计4</w:t>
            </w:r>
            <w:r>
              <w:rPr>
                <w:rFonts w:hint="eastAsia" w:ascii="仿宋_GB2312" w:hAnsi="仿宋" w:eastAsia="仿宋_GB2312"/>
                <w:b w:val="0"/>
                <w:bCs/>
                <w:sz w:val="21"/>
                <w:szCs w:val="21"/>
                <w:lang w:val="en-US" w:eastAsia="zh-CN"/>
              </w:rPr>
              <w:t>5</w:t>
            </w:r>
            <w:r>
              <w:rPr>
                <w:rFonts w:hint="eastAsia" w:ascii="仿宋_GB2312" w:hAnsi="仿宋" w:eastAsia="仿宋_GB2312"/>
                <w:b w:val="0"/>
                <w:bCs/>
                <w:sz w:val="21"/>
                <w:szCs w:val="21"/>
              </w:rPr>
              <w:t>人，离休1人，退休2</w:t>
            </w:r>
            <w:r>
              <w:rPr>
                <w:rFonts w:hint="eastAsia" w:ascii="仿宋_GB2312" w:hAnsi="仿宋" w:eastAsia="仿宋_GB2312"/>
                <w:b w:val="0"/>
                <w:bCs/>
                <w:sz w:val="21"/>
                <w:szCs w:val="21"/>
                <w:lang w:val="en-US" w:eastAsia="zh-CN"/>
              </w:rPr>
              <w:t>3</w:t>
            </w:r>
            <w:r>
              <w:rPr>
                <w:rFonts w:hint="eastAsia" w:ascii="仿宋_GB2312" w:hAnsi="仿宋" w:eastAsia="仿宋_GB2312"/>
                <w:b w:val="0"/>
                <w:bCs/>
                <w:sz w:val="21"/>
                <w:szCs w:val="21"/>
              </w:rPr>
              <w:t>人。本年度新进</w:t>
            </w:r>
            <w:r>
              <w:rPr>
                <w:rFonts w:hint="eastAsia" w:ascii="仿宋_GB2312" w:hAnsi="仿宋" w:eastAsia="仿宋_GB2312"/>
                <w:b w:val="0"/>
                <w:bCs/>
                <w:sz w:val="21"/>
                <w:szCs w:val="21"/>
                <w:lang w:val="en-US" w:eastAsia="zh-CN"/>
              </w:rPr>
              <w:t>1</w:t>
            </w:r>
            <w:r>
              <w:rPr>
                <w:rFonts w:hint="eastAsia" w:ascii="仿宋_GB2312" w:hAnsi="仿宋" w:eastAsia="仿宋_GB2312"/>
                <w:b w:val="0"/>
                <w:bCs/>
                <w:sz w:val="21"/>
                <w:szCs w:val="21"/>
              </w:rPr>
              <w:t>人。主要职能</w:t>
            </w:r>
            <w:r>
              <w:rPr>
                <w:rFonts w:hint="eastAsia" w:ascii="仿宋_GB2312" w:hAnsi="仿宋" w:eastAsia="仿宋_GB2312"/>
                <w:b w:val="0"/>
                <w:bCs/>
                <w:sz w:val="21"/>
                <w:szCs w:val="21"/>
                <w:lang w:val="en-US" w:eastAsia="zh-CN"/>
              </w:rPr>
              <w:t>:</w:t>
            </w:r>
            <w:r>
              <w:rPr>
                <w:rFonts w:hint="eastAsia" w:ascii="仿宋_GB2312" w:hAnsi="仿宋" w:eastAsia="仿宋_GB2312"/>
                <w:b w:val="0"/>
                <w:bCs/>
                <w:sz w:val="21"/>
                <w:szCs w:val="21"/>
              </w:rPr>
              <w:t>（一）贯彻实施《母婴保健法》和《计划生育技术服务管理条例》及相关法律法规，开展辖区内妇女保健、儿童保健及计划生育技术服务工作。针对影响妇女、儿童健康的主要疾病，提出并落实科学预防措施，降低孕产妇死亡率、出生缺陷发生率，保障母婴健康、提高出生人口素质。承担计划生育宣传教育、技术服务、优生指导、信息咨询、随访服务、生殖保健等人员培训任务。（二）承担全市婚前孕前医学检查，对不宜结婚或不宜生育者提出医学建议，指导相关人员进行合理治疗。（三）负责本市避孕药具的计划、仓储、发放、销售和使用的技术指导，实施不良反应监测工作并对避孕效果进行分析，参与卫计委对辖区内避孕药具零售市场的管理。（四）承担全市各级各类医疗机构妇产科及儿科诊疗业务、计划生育技术服务的指导工作。开展妇幼保健服务和妇女儿童常见病防治、助产技术服务、出生缺陷综合防治服务等医疗保健服务。开展避孕节育、生殖保健、优生优育咨询服务和指导。指导镇（区、街道）计划生育技术服务工作，负责镇（区、街道）妇幼保健与计生专业技术人员的业务培训。（五）参与组织做好独生子女病残儿童医学鉴定、节育手术并发症鉴定及治疗工作。（六）承担妇幼卫生保健与计划生育的信息管理工作。（七）承担全市幼托机构的卫生保健技术指导工作。</w:t>
            </w:r>
            <w:r>
              <w:rPr>
                <w:rFonts w:hint="eastAsia" w:ascii="仿宋_GB2312" w:hAnsi="仿宋" w:eastAsia="仿宋_GB2312"/>
                <w:b w:val="0"/>
                <w:bCs/>
                <w:sz w:val="21"/>
                <w:szCs w:val="21"/>
                <w:lang w:val="en-US" w:eastAsia="zh-CN"/>
              </w:rPr>
              <w:t>2022年度</w:t>
            </w:r>
            <w:r>
              <w:rPr>
                <w:rFonts w:hint="eastAsia" w:ascii="仿宋_GB2312" w:hAnsi="仿宋" w:eastAsia="仿宋_GB2312"/>
                <w:b w:val="0"/>
                <w:bCs/>
                <w:sz w:val="21"/>
                <w:szCs w:val="21"/>
              </w:rPr>
              <w:t>收入、支出年初预算安排1</w:t>
            </w:r>
            <w:r>
              <w:rPr>
                <w:rFonts w:hint="eastAsia" w:ascii="仿宋_GB2312" w:hAnsi="仿宋" w:eastAsia="仿宋_GB2312"/>
                <w:b w:val="0"/>
                <w:bCs/>
                <w:sz w:val="21"/>
                <w:szCs w:val="21"/>
                <w:lang w:val="en-US" w:eastAsia="zh-CN"/>
              </w:rPr>
              <w:t>2</w:t>
            </w:r>
            <w:r>
              <w:rPr>
                <w:rFonts w:hint="eastAsia" w:ascii="仿宋_GB2312" w:hAnsi="仿宋" w:eastAsia="仿宋_GB2312"/>
                <w:b w:val="0"/>
                <w:bCs/>
                <w:sz w:val="21"/>
                <w:szCs w:val="21"/>
              </w:rPr>
              <w:t>,</w:t>
            </w:r>
            <w:r>
              <w:rPr>
                <w:rFonts w:hint="eastAsia" w:ascii="仿宋_GB2312" w:hAnsi="仿宋" w:eastAsia="仿宋_GB2312"/>
                <w:b w:val="0"/>
                <w:bCs/>
                <w:sz w:val="21"/>
                <w:szCs w:val="21"/>
                <w:lang w:val="en-US" w:eastAsia="zh-CN"/>
              </w:rPr>
              <w:t>444</w:t>
            </w:r>
            <w:r>
              <w:rPr>
                <w:rFonts w:hint="eastAsia" w:ascii="仿宋_GB2312" w:hAnsi="仿宋" w:eastAsia="仿宋_GB2312"/>
                <w:b w:val="0"/>
                <w:bCs/>
                <w:sz w:val="21"/>
                <w:szCs w:val="21"/>
              </w:rPr>
              <w:t>,</w:t>
            </w:r>
            <w:r>
              <w:rPr>
                <w:rFonts w:hint="eastAsia" w:ascii="仿宋_GB2312" w:hAnsi="仿宋" w:eastAsia="仿宋_GB2312"/>
                <w:b w:val="0"/>
                <w:bCs/>
                <w:sz w:val="21"/>
                <w:szCs w:val="21"/>
                <w:lang w:val="en-US" w:eastAsia="zh-CN"/>
              </w:rPr>
              <w:t>20</w:t>
            </w:r>
            <w:r>
              <w:rPr>
                <w:rFonts w:hint="eastAsia" w:ascii="仿宋_GB2312" w:hAnsi="仿宋" w:eastAsia="仿宋_GB2312"/>
                <w:b w:val="0"/>
                <w:bCs/>
                <w:sz w:val="21"/>
                <w:szCs w:val="21"/>
              </w:rPr>
              <w:t>0.00元，与上年16,553,110.00元相比</w:t>
            </w:r>
            <w:r>
              <w:rPr>
                <w:rFonts w:hint="eastAsia" w:ascii="仿宋_GB2312" w:hAnsi="仿宋" w:eastAsia="仿宋_GB2312"/>
                <w:b w:val="0"/>
                <w:bCs/>
                <w:sz w:val="21"/>
                <w:szCs w:val="21"/>
                <w:lang w:eastAsia="zh-CN"/>
              </w:rPr>
              <w:t>下降</w:t>
            </w:r>
            <w:r>
              <w:rPr>
                <w:rFonts w:hint="eastAsia" w:ascii="仿宋_GB2312" w:hAnsi="仿宋" w:eastAsia="仿宋_GB2312"/>
                <w:b w:val="0"/>
                <w:bCs/>
                <w:sz w:val="21"/>
                <w:szCs w:val="21"/>
              </w:rPr>
              <w:t>了</w:t>
            </w:r>
            <w:r>
              <w:rPr>
                <w:rFonts w:hint="eastAsia" w:ascii="仿宋_GB2312" w:hAnsi="仿宋" w:eastAsia="仿宋_GB2312"/>
                <w:b w:val="0"/>
                <w:bCs/>
                <w:sz w:val="21"/>
                <w:szCs w:val="21"/>
                <w:lang w:val="en-US" w:eastAsia="zh-CN"/>
              </w:rPr>
              <w:t>4</w:t>
            </w:r>
            <w:r>
              <w:rPr>
                <w:rFonts w:hint="eastAsia" w:ascii="仿宋_GB2312" w:hAnsi="仿宋" w:eastAsia="仿宋_GB2312"/>
                <w:b w:val="0"/>
                <w:bCs/>
                <w:sz w:val="21"/>
                <w:szCs w:val="21"/>
              </w:rPr>
              <w:t>,</w:t>
            </w:r>
            <w:r>
              <w:rPr>
                <w:rFonts w:hint="eastAsia" w:ascii="仿宋_GB2312" w:hAnsi="仿宋" w:eastAsia="仿宋_GB2312"/>
                <w:b w:val="0"/>
                <w:bCs/>
                <w:sz w:val="21"/>
                <w:szCs w:val="21"/>
                <w:lang w:val="en-US" w:eastAsia="zh-CN"/>
              </w:rPr>
              <w:t>108</w:t>
            </w:r>
            <w:r>
              <w:rPr>
                <w:rFonts w:hint="eastAsia" w:ascii="仿宋_GB2312" w:hAnsi="仿宋" w:eastAsia="仿宋_GB2312"/>
                <w:b w:val="0"/>
                <w:bCs/>
                <w:sz w:val="21"/>
                <w:szCs w:val="21"/>
              </w:rPr>
              <w:t>,</w:t>
            </w:r>
            <w:r>
              <w:rPr>
                <w:rFonts w:hint="eastAsia" w:ascii="仿宋_GB2312" w:hAnsi="仿宋" w:eastAsia="仿宋_GB2312"/>
                <w:b w:val="0"/>
                <w:bCs/>
                <w:sz w:val="21"/>
                <w:szCs w:val="21"/>
                <w:lang w:val="en-US" w:eastAsia="zh-CN"/>
              </w:rPr>
              <w:t>910</w:t>
            </w:r>
            <w:r>
              <w:rPr>
                <w:rFonts w:hint="eastAsia" w:ascii="仿宋_GB2312" w:hAnsi="仿宋" w:eastAsia="仿宋_GB2312"/>
                <w:b w:val="0"/>
                <w:bCs/>
                <w:sz w:val="21"/>
                <w:szCs w:val="21"/>
              </w:rPr>
              <w:t>.00元，</w:t>
            </w:r>
            <w:r>
              <w:rPr>
                <w:rFonts w:hint="eastAsia" w:ascii="仿宋_GB2312" w:hAnsi="仿宋" w:eastAsia="仿宋_GB2312"/>
                <w:b w:val="0"/>
                <w:bCs/>
                <w:sz w:val="21"/>
                <w:szCs w:val="21"/>
                <w:lang w:eastAsia="zh-CN"/>
              </w:rPr>
              <w:t>下降</w:t>
            </w:r>
            <w:r>
              <w:rPr>
                <w:rFonts w:hint="eastAsia" w:ascii="仿宋_GB2312" w:hAnsi="仿宋" w:eastAsia="仿宋_GB2312"/>
                <w:b w:val="0"/>
                <w:bCs/>
                <w:sz w:val="21"/>
                <w:szCs w:val="21"/>
                <w:lang w:val="en-US" w:eastAsia="zh-CN"/>
              </w:rPr>
              <w:t>24.82</w:t>
            </w:r>
            <w:r>
              <w:rPr>
                <w:rFonts w:hint="eastAsia" w:ascii="仿宋_GB2312" w:hAnsi="仿宋" w:eastAsia="仿宋_GB2312"/>
                <w:b w:val="0"/>
                <w:bCs/>
                <w:sz w:val="21"/>
                <w:szCs w:val="21"/>
              </w:rPr>
              <w:t>%</w:t>
            </w:r>
            <w:r>
              <w:rPr>
                <w:rFonts w:hint="eastAsia" w:ascii="仿宋_GB2312" w:hAnsi="仿宋" w:eastAsia="仿宋_GB2312"/>
                <w:b w:val="0"/>
                <w:bCs/>
                <w:sz w:val="21"/>
                <w:szCs w:val="21"/>
                <w:lang w:eastAsia="zh-CN"/>
              </w:rPr>
              <w:t>。</w:t>
            </w:r>
            <w:r>
              <w:rPr>
                <w:rFonts w:hint="eastAsia" w:ascii="仿宋_GB2312" w:hAnsi="仿宋" w:eastAsia="仿宋_GB2312"/>
                <w:b w:val="0"/>
                <w:bCs/>
                <w:sz w:val="21"/>
                <w:szCs w:val="21"/>
              </w:rPr>
              <w:t>本年调整预算数17,393,474.00元，与上年20,820,665.96元相比</w:t>
            </w:r>
            <w:r>
              <w:rPr>
                <w:rFonts w:hint="eastAsia" w:ascii="仿宋_GB2312" w:hAnsi="仿宋" w:eastAsia="仿宋_GB2312"/>
                <w:b w:val="0"/>
                <w:bCs/>
                <w:sz w:val="21"/>
                <w:szCs w:val="21"/>
                <w:lang w:eastAsia="zh-CN"/>
              </w:rPr>
              <w:t>下降</w:t>
            </w:r>
            <w:r>
              <w:rPr>
                <w:rFonts w:hint="eastAsia" w:ascii="仿宋_GB2312" w:hAnsi="仿宋" w:eastAsia="仿宋_GB2312"/>
                <w:b w:val="0"/>
                <w:bCs/>
                <w:sz w:val="21"/>
                <w:szCs w:val="21"/>
              </w:rPr>
              <w:t>了</w:t>
            </w:r>
            <w:r>
              <w:rPr>
                <w:rFonts w:hint="eastAsia" w:ascii="仿宋_GB2312" w:hAnsi="仿宋" w:eastAsia="仿宋_GB2312"/>
                <w:b w:val="0"/>
                <w:bCs/>
                <w:sz w:val="21"/>
                <w:szCs w:val="21"/>
                <w:lang w:val="en-US" w:eastAsia="zh-CN"/>
              </w:rPr>
              <w:t>3</w:t>
            </w:r>
            <w:r>
              <w:rPr>
                <w:rFonts w:hint="eastAsia" w:ascii="仿宋_GB2312" w:hAnsi="仿宋" w:eastAsia="仿宋_GB2312"/>
                <w:b w:val="0"/>
                <w:bCs/>
                <w:sz w:val="21"/>
                <w:szCs w:val="21"/>
              </w:rPr>
              <w:t>,</w:t>
            </w:r>
            <w:r>
              <w:rPr>
                <w:rFonts w:hint="eastAsia" w:ascii="仿宋_GB2312" w:hAnsi="仿宋" w:eastAsia="仿宋_GB2312"/>
                <w:b w:val="0"/>
                <w:bCs/>
                <w:sz w:val="21"/>
                <w:szCs w:val="21"/>
                <w:lang w:val="en-US" w:eastAsia="zh-CN"/>
              </w:rPr>
              <w:t>427</w:t>
            </w:r>
            <w:r>
              <w:rPr>
                <w:rFonts w:hint="eastAsia" w:ascii="仿宋_GB2312" w:hAnsi="仿宋" w:eastAsia="仿宋_GB2312"/>
                <w:b w:val="0"/>
                <w:bCs/>
                <w:sz w:val="21"/>
                <w:szCs w:val="21"/>
              </w:rPr>
              <w:t>,</w:t>
            </w:r>
            <w:r>
              <w:rPr>
                <w:rFonts w:hint="eastAsia" w:ascii="仿宋_GB2312" w:hAnsi="仿宋" w:eastAsia="仿宋_GB2312"/>
                <w:b w:val="0"/>
                <w:bCs/>
                <w:sz w:val="21"/>
                <w:szCs w:val="21"/>
                <w:lang w:val="en-US" w:eastAsia="zh-CN"/>
              </w:rPr>
              <w:t>191.96</w:t>
            </w:r>
            <w:r>
              <w:rPr>
                <w:rFonts w:hint="eastAsia" w:ascii="仿宋_GB2312" w:hAnsi="仿宋" w:eastAsia="仿宋_GB2312"/>
                <w:b w:val="0"/>
                <w:bCs/>
                <w:sz w:val="21"/>
                <w:szCs w:val="21"/>
              </w:rPr>
              <w:t>元，</w:t>
            </w:r>
            <w:r>
              <w:rPr>
                <w:rFonts w:hint="eastAsia" w:ascii="仿宋_GB2312" w:hAnsi="仿宋" w:eastAsia="仿宋_GB2312"/>
                <w:b w:val="0"/>
                <w:bCs/>
                <w:sz w:val="21"/>
                <w:szCs w:val="21"/>
                <w:lang w:eastAsia="zh-CN"/>
              </w:rPr>
              <w:t>下降</w:t>
            </w:r>
            <w:r>
              <w:rPr>
                <w:rFonts w:hint="eastAsia" w:ascii="仿宋_GB2312" w:hAnsi="仿宋" w:eastAsia="仿宋_GB2312"/>
                <w:b w:val="0"/>
                <w:bCs/>
                <w:sz w:val="21"/>
                <w:szCs w:val="21"/>
                <w:lang w:val="en-US" w:eastAsia="zh-CN"/>
              </w:rPr>
              <w:t>16.46</w:t>
            </w:r>
            <w:r>
              <w:rPr>
                <w:rFonts w:hint="eastAsia" w:ascii="仿宋_GB2312" w:hAnsi="仿宋" w:eastAsia="仿宋_GB2312"/>
                <w:b w:val="0"/>
                <w:bCs/>
                <w:sz w:val="21"/>
                <w:szCs w:val="21"/>
              </w:rPr>
              <w:t>%，主要原因是：</w:t>
            </w:r>
            <w:r>
              <w:rPr>
                <w:rFonts w:hint="eastAsia" w:ascii="仿宋_GB2312" w:hAnsi="仿宋" w:eastAsia="仿宋_GB2312"/>
                <w:b w:val="0"/>
                <w:bCs/>
                <w:sz w:val="21"/>
                <w:szCs w:val="21"/>
                <w:lang w:eastAsia="zh-CN"/>
              </w:rPr>
              <w:t>工资改革</w:t>
            </w:r>
            <w:r>
              <w:rPr>
                <w:rFonts w:hint="eastAsia" w:ascii="仿宋_GB2312" w:hAnsi="仿宋" w:eastAsia="仿宋_GB2312"/>
                <w:b w:val="0"/>
                <w:bCs/>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203" w:type="dxa"/>
            <w:gridSpan w:val="9"/>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二、评价情况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8203" w:type="dxa"/>
            <w:gridSpan w:val="9"/>
            <w:tcBorders>
              <w:top w:val="nil"/>
              <w:left w:val="single" w:color="auto" w:sz="4" w:space="0"/>
              <w:bottom w:val="single" w:color="auto" w:sz="4" w:space="0"/>
              <w:right w:val="single" w:color="auto" w:sz="4" w:space="0"/>
            </w:tcBorders>
            <w:shd w:val="clear" w:color="auto" w:fill="auto"/>
            <w:vAlign w:val="center"/>
          </w:tcPr>
          <w:p>
            <w:pPr>
              <w:snapToGrid w:val="0"/>
              <w:spacing w:line="520" w:lineRule="exact"/>
              <w:rPr>
                <w:rFonts w:hint="eastAsia" w:ascii="仿宋_GB2312" w:hAnsi="仿宋_GB2312" w:eastAsia="仿宋_GB2312" w:cs="仿宋_GB2312"/>
                <w:b w:val="0"/>
                <w:bCs/>
                <w:i w:val="0"/>
                <w:iCs w:val="0"/>
                <w:color w:val="000000"/>
                <w:sz w:val="20"/>
                <w:szCs w:val="20"/>
                <w:u w:val="none"/>
              </w:rPr>
            </w:pPr>
            <w:r>
              <w:rPr>
                <w:rFonts w:hint="eastAsia" w:ascii="仿宋_GB2312" w:hAnsi="仿宋" w:eastAsia="仿宋_GB2312"/>
                <w:b w:val="0"/>
                <w:bCs/>
                <w:sz w:val="21"/>
                <w:szCs w:val="21"/>
                <w:lang w:val="en-US" w:eastAsia="zh-CN"/>
              </w:rPr>
              <w:t>按照财政绩效评价相关要求 ,根据本单位主要职能，认真研究制定了本单位部门整体自评价的评价方式和评价指标体系 ，根据部门管理和部门</w:t>
            </w:r>
            <w:r>
              <w:rPr>
                <w:rFonts w:hint="eastAsia" w:ascii="仿宋_GB2312" w:hAnsi="仿宋_GB2312" w:eastAsia="仿宋_GB2312" w:cs="仿宋_GB2312"/>
                <w:b w:val="0"/>
                <w:bCs/>
                <w:i w:val="0"/>
                <w:iCs w:val="0"/>
                <w:color w:val="000000"/>
                <w:kern w:val="0"/>
                <w:sz w:val="20"/>
                <w:szCs w:val="20"/>
                <w:u w:val="none"/>
                <w:lang w:val="en-US" w:eastAsia="zh-CN" w:bidi="ar"/>
              </w:rPr>
              <w:t>综合履职</w:t>
            </w:r>
            <w:r>
              <w:rPr>
                <w:rFonts w:hint="eastAsia" w:ascii="仿宋_GB2312" w:hAnsi="仿宋" w:eastAsia="仿宋_GB2312"/>
                <w:b w:val="0"/>
                <w:bCs/>
                <w:sz w:val="21"/>
                <w:szCs w:val="21"/>
                <w:lang w:val="en-US" w:eastAsia="zh-CN"/>
              </w:rPr>
              <w:t>设置一级指标2个，财务管理、人员管理、资产管理、</w:t>
            </w:r>
            <w:r>
              <w:rPr>
                <w:rFonts w:hint="eastAsia" w:ascii="仿宋_GB2312" w:hAnsi="仿宋_GB2312" w:eastAsia="仿宋_GB2312" w:cs="仿宋_GB2312"/>
                <w:b w:val="0"/>
                <w:bCs/>
                <w:i w:val="0"/>
                <w:iCs w:val="0"/>
                <w:color w:val="000000"/>
                <w:kern w:val="0"/>
                <w:sz w:val="20"/>
                <w:szCs w:val="20"/>
                <w:u w:val="none"/>
                <w:lang w:val="en-US" w:eastAsia="zh-CN" w:bidi="ar"/>
              </w:rPr>
              <w:t>履职指标、效益指标、满意度指标</w:t>
            </w:r>
            <w:r>
              <w:rPr>
                <w:rFonts w:hint="eastAsia" w:ascii="仿宋_GB2312" w:hAnsi="仿宋" w:eastAsia="仿宋_GB2312"/>
                <w:b w:val="0"/>
                <w:bCs/>
                <w:sz w:val="21"/>
                <w:szCs w:val="21"/>
                <w:lang w:val="en-US" w:eastAsia="zh-CN"/>
              </w:rPr>
              <w:t>及其他各项职能设置二级指标 个。在系统梳理和核实确认的基础上 ，根据各项管理和职能完成情况、相关服务对象的满意度情况等确定评价结论 。2022年部门整</w:t>
            </w:r>
            <w:bookmarkStart w:id="0" w:name="_GoBack"/>
            <w:bookmarkEnd w:id="0"/>
            <w:r>
              <w:rPr>
                <w:rFonts w:hint="eastAsia" w:ascii="仿宋_GB2312" w:hAnsi="仿宋" w:eastAsia="仿宋_GB2312"/>
                <w:b w:val="0"/>
                <w:bCs/>
                <w:sz w:val="21"/>
                <w:szCs w:val="21"/>
                <w:lang w:val="en-US" w:eastAsia="zh-CN"/>
              </w:rPr>
              <w:t>体自评价得分为98分，等级为优。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03" w:type="dxa"/>
            <w:gridSpan w:val="9"/>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三、主要绩效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203" w:type="dxa"/>
            <w:gridSpan w:val="9"/>
            <w:tcBorders>
              <w:top w:val="nil"/>
              <w:left w:val="single" w:color="auto" w:sz="4" w:space="0"/>
              <w:bottom w:val="single" w:color="auto" w:sz="4" w:space="0"/>
              <w:right w:val="single" w:color="auto" w:sz="4" w:space="0"/>
            </w:tcBorders>
            <w:shd w:val="clear" w:color="auto" w:fill="auto"/>
            <w:vAlign w:val="center"/>
          </w:tcPr>
          <w:p>
            <w:pPr>
              <w:widowControl/>
              <w:snapToGrid w:val="0"/>
              <w:spacing w:line="520" w:lineRule="exact"/>
              <w:rPr>
                <w:rFonts w:hint="default" w:ascii="仿宋_GB2312" w:hAnsi="仿宋" w:eastAsia="仿宋_GB2312" w:cs="仿宋_GB2312"/>
                <w:b w:val="0"/>
                <w:bCs/>
                <w:kern w:val="0"/>
                <w:sz w:val="21"/>
                <w:szCs w:val="21"/>
                <w:lang w:val="en-US" w:eastAsia="zh-CN"/>
              </w:rPr>
            </w:pPr>
            <w:r>
              <w:rPr>
                <w:rFonts w:hint="eastAsia" w:ascii="仿宋_GB2312" w:hAnsi="仿宋" w:eastAsia="仿宋_GB2312" w:cs="仿宋_GB2312"/>
                <w:b w:val="0"/>
                <w:bCs/>
                <w:kern w:val="0"/>
                <w:sz w:val="21"/>
                <w:szCs w:val="21"/>
                <w:lang w:val="en-US" w:eastAsia="zh-CN"/>
              </w:rPr>
              <w:t>1.注重学习培训，促进能力提升。一是积极鼓励和组织各级医疗保健机构相关人员参加省、市相关培训和学术会议，不断更新知识结构，提升项目管理水平和技术服务能力。二是建立交流讨论机制，将项目实施情况作为全市妇幼保健人员工作例会的重要环节，攻坚克难，促进质量提升。三是组织召开相关项目专题学习培训会议，解读实施方案，将服务规范、人员职责、信息报送作为培训重点。同时通过线上与线下、理论与操作相结合形式，组织召开叶酸、“两癌”筛查、新生儿听力筛查等相关内容的培训。常态化开展孕产妇和新生儿急救演练，组织了演练点评，开展危重孕产妇、新生儿死亡病例评审。2.重点人群就诊保障工作。建立孕产妇医疗服务保障工作专班，动态掌握我市孕产妇与0-6岁儿童的健康管理情况。落实健康管理，开展专项督查。多渠道公布24小时孕产妇应急热线，组织发放爱心告知书，排查涉疫孕产妇86名，对其中8例孕37周以上的孕妇开展一对一服务。把好中心入口关，做好内部人员管理，参与面上相关防控工作。3.母婴安全。落实孕产妇分色、分级管理和高危孕产妇专案管理，重点抓严重妊娠合并症、并发症孕产妇。开展产科质量安全大检查，组织“回头看”。对违规截留高危孕产妇及信息安全隐患较大的助产机构进行约谈。做好两个救治中心规范化管理。开展孕产妇和新生儿急救演练，组织演练点评，开展病例评审。多渠道开展妇幼健康宣教，印发各类妇幼保健健康教育折页、处方、手册等宣传资料35种，计30.469万份。相关机构宣传栏确保每月更换一次，开展主题宣传日活动共9次，镇级每季度举办讲座，宣传妇女儿童保健知识，医院妇产科积极开展孕妇学校，指导孕产妇保健，针对各类女性身心问题开展个体化健康教育，积极组织参与出生缺陷科普作品比赛。4.孕产妇健康管理。做好孕产期的全程规范管理，落实初次建册首诊负责制、追踪随访制和系统信息完整规范制，关注妇幼健康信息系统孕情推送、产后转访等情况，做好流动孕产妇管理，提高早孕建册率、产后访视率。落实孕产妇分色、分级管理和高危孕产妇专案管理，重点抓严重妊娠合并症、并发症孕产妇，精准掌握每一例红色风险孕产妇孕产期动态，市镇村共管机制有效运行。建立孕产妇医疗服务保障工作专班，对重点人群开展摸排，落实健康管理，开展专项督查，追踪整改落实情况。多渠道公布辖区助产机构24小时孕产妇应急热线，发放疫情防控爱心告知书。向南通市卫健委进行专题报告违规截留高危孕产妇问题并组织了约谈，对信息安全隐患较大的机构进行约谈，取得较好效果。持续加大两个救治中心标准化建设和规范化管理。我市孕产妇4783人，活产数4830人。早孕建册4384人，早孕建册率91.66%，五次规范检查4615人，规范检查率95.55%，产后访视4778人，产后访视率98.92%，系统管理4613人，系统管理率95.51%。家庭医生基础包签约4469人，签约率93.44%，个性化签约3947人，签约率82.52%。5.0-6岁儿童健康管理。全力推动0-6岁儿童眼保健及视力检查服务，有效落实高危儿、体弱儿筛查、管理、转诊与随访机制，做好流动儿童的管理，大力提升儿童家庭医生签约服务，应签尽签，在服务质量和服务内涵上求突破，0-6岁儿童健康管理水平和管理质量稳步提升。制定我市儿童孤独症筛查干预试点工作方案，建立工作领导和技术指导组，做好宣传发动。我市活产数4830人，新生儿访视数4823人，新生儿访视率99.86%，0-6岁儿童健康管理数55803人，健康管理率98.78% ，3岁以下儿童系统管理数16105人，系统管理率 95.76%，筛查出高危儿2624例、体弱儿5011例，均规范落实专案管理、转诊和随访。0-6岁儿童眼保健及视力检查5.5085万人，其中，在园儿童视力筛查建档3.2534万人，筛查异常对象4350例，异常儿童均转诊至上级医疗单位进行复查及进一步诊治。儿童家庭医生签约服务共签约基本服务包5.2326万例，个性化服务包1.4209万例。6.妇幼“四免”筛查。从项目管理、服务能力、宣传引导等方面多措并举，精准发力，扩大受益范围，优化筛查方式，保证项目质量，提高服务可及性，确保民生项目落在实处。全年目标任务数4.25万例，完成宫颈癌检查4.2949万例，乳腺癌检查4.4699万例，宫颈癌和乳腺癌检查任务完成率分别为101.06%、105.17%，确诊宫颈癌前病变268例、宫颈癌34例，其中294例接受治疗，治疗率达97.35%。乳腺癌癌前病变3例、乳腺癌38例，共计41例均接受治疗，治疗率达100%。依托妇幼健康管理三级服务网络，及时做好筛查阳性患儿的转诊与随访，确保出生后7天内完成诊断。进一步加强“心脏问题待确认”儿童心超复查动员和随访，对复查的儿童及时在信息系统中修正诊断，提升项目管理质量，将确诊患儿及时纳入体弱儿专案管理，给予个性化指导。新生儿先天性心脏病筛查4027人（其中1例新生儿出生后即死亡），筛查率99.98%，筛查阳性198例，筛查阳性率4.92%，超声心动图检查198例，超声心动图检查率100.00%，确诊80例，其中复查后确诊65例，均已转诊至上级医疗机构接收全面评估及后续治疗。加强筛查项目过程控制，做好阳性对象的追踪随访，落实闭环管理，减少出生缺陷发生。7.行业管理。组织开展在园儿童体检、入园儿童体检及托幼、托育机构工作人员免费体检。完成41家幼儿园卫生保健工作现场督查，7家托育机构招生前卫生评价。全年签发出生医学证明4220份，废证率0.2%,当年出生领证率98%。8.妇幼健康专科联盟建设。今年20余名上级专家下沉至中心门诊坐诊带教，选派基层12名专技人员至上级联盟单位进修，涉及儿科、妇科、产科、助产、影像等相关专业。与南通市妇幼保健院远程乳腺钼靶会诊机制更加完善。9.其他项目。及时修订叶酸增补方案，规范免费叶酸管理，落实卫生院管理主体责任，将免费叶酸项目调整至卫生院药房管理。婚孕检机构、建册机构以及村级多途径做好免费叶酸发放。规范省妇幼健康信息系统孕产妇健康管理、叶酸增补模块使用，加强信息系统使用情况日常核查，做到了上报数据与信息系统一致。全年叶酸任务数5000人，实际叶酸增补5165人，任务完成率103.30%，目标人群叶酸服用率94.93%，孕前服用率70.61%，发放叶酸19988瓶，服用依从率94.50%，随访率100%。按要求做好开展消除母婴传播工作，孕期初检孕妇4883人，HIV抗体、梅毒、乙肝表面抗原检测率均为100%，确诊孕期HIV感染4例，梅毒感染孕妇7例，乙肝感染142例。住院分娩产妇4019人，确诊感染HIV产妇2例，所生新生儿已接受抗病毒治疗，并接受了早期检测。梅毒感染产妇及其所生新生儿均为8例,符合预防性治疗的新生儿均规范给予预防性治疗。完成6例艾滋病感染孕妇所生儿童相应月龄检测，梅毒感染孕产妇所生儿童随访23例。乙肝表面抗原阳性产妇121例，所生儿童123人，乙肝免疫球蛋白注射率100%。乙肝暴露儿童免疫后随访率100%，血清学检测检测率99.40%，乙肝暴露儿童免疫后效果评价210人。不断深化“婚孕登一站式”服务内涵，狠抓序时进度和检查质量，强化随访管理。孕前优生健康2528对，任务完成率120.38%，婚前医学检查3543对，婚检率93.58%。早孕随访1.6798万人次，早孕随访率608.18%，妊娠结局随访2792人次，妊娠结局随访率101.09%。2021年孕检对象妊娠结局率35.05%。加强与市质量监督管理局协同推进项目开展，各医疗机构落实专人负责项目数据上报及反馈，每月拍照上传计划生育手术登记本，与实际上报情况进行比对。上报器械不良反应事件958例，器械不良反应上报率达776例/百万人口,药品不良反应事件246例，相关指标均达到优秀监测点标准。以妇幼信息系统个案录入情况为抓手推动项目实施。每月定期对基本避孕服务协议机构进行现场质控，确保省妇幼信息系统中计生手术个案信息推送完整、及时。全市24家基本避孕服务协议机构实施基本避孕手术8033例，其中免费基本避孕手术3942例，辖区内免费避孕手术服务率49%，药具发放覆盖率为44.2%，完成2家县级医院、34家机关、115家企事业单位的药具“四进”工作，推进率100%。10.内涵建设。完成国家妇幼保健机构绩效考核、省基本公卫妇幼项目绩效评价工作。门诊服务近2万人次，新开设“两癌”筛查门诊，为家政服务、环卫等行业228名适龄妇女提供免费检查。开展“作风效能提升年”活动，提高服务对象的满意度。常态化开展信访维稳、安全生产隐患排查整治，定期组织安全生产学习培训。11.取得成绩。在各位领导和同仁的大力关心和鼎力支持下，2022年，我们各项指标均达到并超过上级要求，妇幼保健机构绩效考核在全省37家县级妇幼计生中心排名第6、南通市排名第1；3月份避孕药具不良反应监测工作被国家不良反应监测中心通报表扬，年底被推荐申报为国家避孕药具不良反应监测先进单位；5月份，被南通卫健委评为妇幼重点项目、妇女“两癌”、母婴阻断、计划生育服务等4项工作先进地区；孕前优生临床室间质评被省妇幼处评为优秀地区；科普作品在省“两癌”综合防治科普作品大赛中获得图文类、视频类优秀作品；“女职工康乃馨服务站”被市总工会评为示范站点。</w:t>
            </w:r>
          </w:p>
          <w:p>
            <w:pPr>
              <w:snapToGrid w:val="0"/>
              <w:spacing w:line="520" w:lineRule="exact"/>
              <w:rPr>
                <w:rFonts w:hint="eastAsia" w:ascii="仿宋_GB2312" w:hAnsi="仿宋_GB2312" w:eastAsia="仿宋_GB2312" w:cs="仿宋_GB2312"/>
                <w:b w:val="0"/>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03" w:type="dxa"/>
            <w:gridSpan w:val="9"/>
            <w:tcBorders>
              <w:top w:val="single" w:color="auto" w:sz="4" w:space="0"/>
              <w:left w:val="single" w:color="auto" w:sz="4" w:space="0"/>
              <w:bottom w:val="nil"/>
              <w:right w:val="single" w:color="auto" w:sz="4" w:space="0"/>
            </w:tcBorders>
            <w:shd w:val="clear" w:color="auto" w:fill="auto"/>
            <w:vAlign w:val="center"/>
          </w:tcPr>
          <w:p>
            <w:pPr>
              <w:rPr>
                <w:rFonts w:hint="eastAsia" w:ascii="仿宋_GB2312" w:hAnsi="仿宋_GB2312" w:eastAsia="仿宋_GB2312" w:cs="仿宋_GB2312"/>
                <w:b w:val="0"/>
                <w:bCs/>
                <w:i w:val="0"/>
                <w:iCs w:val="0"/>
                <w:color w:val="000000"/>
                <w:sz w:val="22"/>
                <w:szCs w:val="22"/>
                <w:u w:val="none"/>
              </w:rPr>
            </w:pPr>
            <w:r>
              <w:rPr>
                <w:rFonts w:hint="eastAsia" w:ascii="仿宋_GB2312" w:hAnsi="仿宋_GB2312" w:eastAsia="仿宋_GB2312" w:cs="仿宋_GB2312"/>
                <w:b w:val="0"/>
                <w:bCs/>
                <w:i w:val="0"/>
                <w:iCs w:val="0"/>
                <w:color w:val="000000"/>
                <w:kern w:val="0"/>
                <w:sz w:val="20"/>
                <w:szCs w:val="20"/>
                <w:u w:val="none"/>
                <w:lang w:val="en-US" w:eastAsia="zh-CN" w:bidi="ar"/>
              </w:rPr>
              <w:t>四、存在问题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8203" w:type="dxa"/>
            <w:gridSpan w:val="9"/>
            <w:tcBorders>
              <w:top w:val="nil"/>
              <w:left w:val="single" w:color="auto" w:sz="4" w:space="0"/>
              <w:bottom w:val="single" w:color="auto" w:sz="4" w:space="0"/>
              <w:right w:val="single" w:color="auto" w:sz="4"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firstLine="420" w:firstLineChars="200"/>
              <w:jc w:val="both"/>
              <w:textAlignment w:val="auto"/>
              <w:rPr>
                <w:rFonts w:hint="eastAsia" w:ascii="仿宋_GB2312" w:hAnsi="仿宋" w:eastAsia="仿宋_GB2312" w:cs="仿宋_GB2312"/>
                <w:b w:val="0"/>
                <w:bCs/>
                <w:kern w:val="0"/>
                <w:sz w:val="21"/>
                <w:szCs w:val="21"/>
                <w:lang w:val="en-US" w:eastAsia="zh-CN"/>
              </w:rPr>
            </w:pPr>
            <w:r>
              <w:rPr>
                <w:rFonts w:hint="eastAsia" w:ascii="仿宋_GB2312" w:hAnsi="仿宋" w:eastAsia="仿宋_GB2312" w:cs="仿宋_GB2312"/>
                <w:b w:val="0"/>
                <w:bCs/>
                <w:kern w:val="0"/>
                <w:sz w:val="21"/>
                <w:szCs w:val="21"/>
                <w:lang w:val="en-US" w:eastAsia="zh-CN"/>
              </w:rPr>
              <w:t>基层妇幼保健服务人员配备不足、流动性大，一定程度上制约了妇幼健康服务水平。项目核心信息的宣教、目标人需进一步提高。</w:t>
            </w:r>
          </w:p>
          <w:p>
            <w:pPr>
              <w:snapToGrid w:val="0"/>
              <w:spacing w:line="520" w:lineRule="exact"/>
              <w:rPr>
                <w:rFonts w:hint="eastAsia" w:ascii="仿宋_GB2312" w:hAnsi="仿宋_GB2312" w:eastAsia="仿宋_GB2312" w:cs="仿宋_GB2312"/>
                <w:b w:val="0"/>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03" w:type="dxa"/>
            <w:gridSpan w:val="9"/>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五、有关建议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203" w:type="dxa"/>
            <w:gridSpan w:val="9"/>
            <w:tcBorders>
              <w:top w:val="nil"/>
              <w:left w:val="single" w:color="auto" w:sz="4" w:space="0"/>
              <w:bottom w:val="single" w:color="auto" w:sz="4" w:space="0"/>
              <w:right w:val="single" w:color="auto" w:sz="4"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 w:eastAsia="仿宋_GB2312" w:cs="仿宋_GB2312"/>
                <w:b w:val="0"/>
                <w:bCs/>
                <w:kern w:val="0"/>
                <w:sz w:val="21"/>
                <w:szCs w:val="21"/>
                <w:lang w:val="en-US" w:eastAsia="zh-CN"/>
              </w:rPr>
            </w:pPr>
            <w:r>
              <w:rPr>
                <w:rFonts w:hint="eastAsia" w:ascii="仿宋_GB2312" w:hAnsi="仿宋" w:eastAsia="仿宋_GB2312" w:cs="仿宋_GB2312"/>
                <w:b w:val="0"/>
                <w:bCs/>
                <w:kern w:val="0"/>
                <w:sz w:val="21"/>
                <w:szCs w:val="21"/>
                <w:lang w:val="en-US" w:eastAsia="zh-CN"/>
              </w:rPr>
              <w:t>1.以国家妇幼保健机构绩效考核为工作抓手，全面推进2023年度各项工作。2.进一步加强0-6岁儿童和孕产妇健康服务管理，筑牢母婴安全防线。3.抓实妇幼项目实施，注重关键环节，抓好推进落实，完成民生实事“两癌”筛查项目4.35万人筛查任务，做好阳性病例的追踪随访。启动儿童孤独症筛查工作。确保各项指标达到并超过上级标准。4.进一步加强业务培训，依托妇幼专科联盟，提高服务技能，开展救治演练、病例评审。</w:t>
            </w:r>
          </w:p>
          <w:p>
            <w:pPr>
              <w:keepNext w:val="0"/>
              <w:keepLines w:val="0"/>
              <w:widowControl/>
              <w:suppressLineNumbers w:val="0"/>
              <w:jc w:val="left"/>
              <w:rPr>
                <w:rFonts w:hint="eastAsia" w:ascii="仿宋_GB2312" w:hAnsi="仿宋_GB2312" w:eastAsia="仿宋_GB2312" w:cs="仿宋_GB2312"/>
                <w:b w:val="0"/>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1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绩效指标</w:t>
            </w:r>
          </w:p>
        </w:tc>
        <w:tc>
          <w:tcPr>
            <w:tcW w:w="80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类  别</w:t>
            </w:r>
          </w:p>
        </w:tc>
        <w:tc>
          <w:tcPr>
            <w:tcW w:w="95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职能</w:t>
            </w:r>
          </w:p>
        </w:tc>
        <w:tc>
          <w:tcPr>
            <w:tcW w:w="165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绩效指标</w:t>
            </w:r>
          </w:p>
        </w:tc>
        <w:tc>
          <w:tcPr>
            <w:tcW w:w="93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年初指标值</w:t>
            </w:r>
          </w:p>
        </w:tc>
        <w:tc>
          <w:tcPr>
            <w:tcW w:w="8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实际完成值</w:t>
            </w:r>
          </w:p>
        </w:tc>
        <w:tc>
          <w:tcPr>
            <w:tcW w:w="4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权重</w:t>
            </w:r>
          </w:p>
        </w:tc>
        <w:tc>
          <w:tcPr>
            <w:tcW w:w="6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得分</w:t>
            </w:r>
          </w:p>
        </w:tc>
        <w:tc>
          <w:tcPr>
            <w:tcW w:w="156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16"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801"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内部管 理 （共性指标）</w:t>
            </w:r>
          </w:p>
        </w:tc>
        <w:tc>
          <w:tcPr>
            <w:tcW w:w="951"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财务管理</w:t>
            </w:r>
          </w:p>
        </w:tc>
        <w:tc>
          <w:tcPr>
            <w:tcW w:w="16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内部控制制度建设健全性</w:t>
            </w:r>
          </w:p>
        </w:tc>
        <w:tc>
          <w:tcPr>
            <w:tcW w:w="93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sz w:val="20"/>
                <w:szCs w:val="20"/>
                <w:u w:val="none"/>
              </w:rPr>
              <w:t>健全</w:t>
            </w:r>
          </w:p>
        </w:tc>
        <w:tc>
          <w:tcPr>
            <w:tcW w:w="84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rPr>
              <w:t>健全</w:t>
            </w:r>
          </w:p>
        </w:tc>
        <w:tc>
          <w:tcPr>
            <w:tcW w:w="45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lang w:val="en-US" w:eastAsia="zh-CN"/>
              </w:rPr>
              <w:t>2</w:t>
            </w:r>
          </w:p>
        </w:tc>
        <w:tc>
          <w:tcPr>
            <w:tcW w:w="60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lang w:val="en-US" w:eastAsia="zh-CN"/>
              </w:rPr>
              <w:t>2</w:t>
            </w:r>
          </w:p>
        </w:tc>
        <w:tc>
          <w:tcPr>
            <w:tcW w:w="156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预算执行率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sz w:val="20"/>
                <w:szCs w:val="20"/>
                <w:u w:val="none"/>
              </w:rPr>
              <w:t>≥95%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rPr>
              <w:t>≥95%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lang w:val="en-US" w:eastAsia="zh-CN"/>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lang w:val="en-US" w:eastAsia="zh-CN"/>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资金使用合规性</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sz w:val="20"/>
                <w:szCs w:val="20"/>
                <w:u w:val="none"/>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lang w:val="en-US" w:eastAsia="zh-CN"/>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lang w:val="en-US" w:eastAsia="zh-CN"/>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预算支出序时进度合理性</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sz w:val="20"/>
                <w:szCs w:val="20"/>
                <w:u w:val="none"/>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lang w:val="en-US" w:eastAsia="zh-CN"/>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lang w:val="en-US" w:eastAsia="zh-CN"/>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项目管理办法健全性</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sz w:val="20"/>
                <w:szCs w:val="20"/>
                <w:u w:val="none"/>
              </w:rPr>
              <w:t>健全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rPr>
              <w:t>健全</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lang w:val="en-US" w:eastAsia="zh-CN"/>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lang w:val="en-US" w:eastAsia="zh-CN"/>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“三公”经费控制情况</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sz w:val="20"/>
                <w:szCs w:val="20"/>
                <w:u w:val="none"/>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lang w:val="en-US" w:eastAsia="zh-CN"/>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lang w:val="en-US" w:eastAsia="zh-CN"/>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“一般性支出”控制情况</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sz w:val="20"/>
                <w:szCs w:val="20"/>
                <w:u w:val="none"/>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lang w:val="en-US" w:eastAsia="zh-CN"/>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lang w:val="en-US" w:eastAsia="zh-CN"/>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政府采购合规性</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b w:val="0"/>
                <w:bCs/>
                <w:i w:val="0"/>
                <w:iCs w:val="0"/>
                <w:color w:val="000000"/>
                <w:sz w:val="20"/>
                <w:szCs w:val="20"/>
                <w:u w:val="none"/>
                <w:lang w:val="en-US"/>
              </w:rPr>
            </w:pPr>
            <w:r>
              <w:rPr>
                <w:rFonts w:hint="eastAsia" w:ascii="仿宋_GB2312" w:hAnsi="仿宋_GB2312" w:eastAsia="仿宋_GB2312" w:cs="仿宋_GB2312"/>
                <w:b w:val="0"/>
                <w:bCs/>
                <w:i w:val="0"/>
                <w:iCs w:val="0"/>
                <w:color w:val="000000"/>
                <w:sz w:val="20"/>
                <w:szCs w:val="20"/>
                <w:u w:val="none"/>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lang w:val="en-US" w:eastAsia="zh-CN"/>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lang w:val="en-US" w:eastAsia="zh-CN"/>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人员管理</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人事管理制度健全性</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健全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kern w:val="0"/>
                <w:sz w:val="20"/>
                <w:szCs w:val="20"/>
                <w:u w:val="none"/>
                <w:lang w:val="en-US" w:eastAsia="zh-CN" w:bidi="ar"/>
              </w:rPr>
              <w:t>健全</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lang w:val="en-US" w:eastAsia="zh-CN"/>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lang w:val="en-US" w:eastAsia="zh-CN"/>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人员配置合规性</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合规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kern w:val="0"/>
                <w:sz w:val="20"/>
                <w:szCs w:val="20"/>
                <w:u w:val="none"/>
                <w:lang w:val="en-US" w:eastAsia="zh-CN" w:bidi="ar"/>
              </w:rPr>
              <w:t>合规</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lang w:val="en-US" w:eastAsia="zh-CN"/>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lang w:val="en-US" w:eastAsia="zh-CN"/>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资产管理</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资产管理制度健全性</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健全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kern w:val="0"/>
                <w:sz w:val="20"/>
                <w:szCs w:val="20"/>
                <w:u w:val="none"/>
                <w:lang w:val="en-US" w:eastAsia="zh-CN" w:bidi="ar"/>
              </w:rPr>
              <w:t>健全</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lang w:val="en-US" w:eastAsia="zh-CN"/>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lang w:val="en-US" w:eastAsia="zh-CN"/>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资产管理执行规范性</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规范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kern w:val="0"/>
                <w:sz w:val="20"/>
                <w:szCs w:val="20"/>
                <w:u w:val="none"/>
                <w:lang w:val="en-US" w:eastAsia="zh-CN" w:bidi="ar"/>
              </w:rPr>
              <w:t>规范</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lang w:val="en-US" w:eastAsia="zh-CN"/>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lang w:val="en-US" w:eastAsia="zh-CN"/>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其他</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预决算信息公开情况</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b w:val="0"/>
                <w:bCs/>
                <w:i w:val="0"/>
                <w:iCs w:val="0"/>
                <w:color w:val="000000"/>
                <w:sz w:val="20"/>
                <w:szCs w:val="20"/>
                <w:u w:val="none"/>
                <w:lang w:val="en-US" w:eastAsia="zh-CN"/>
              </w:rPr>
            </w:pPr>
            <w:r>
              <w:rPr>
                <w:rFonts w:hint="eastAsia" w:ascii="仿宋_GB2312" w:hAnsi="仿宋_GB2312" w:eastAsia="仿宋_GB2312" w:cs="仿宋_GB2312"/>
                <w:b w:val="0"/>
                <w:bCs/>
                <w:i w:val="0"/>
                <w:iCs w:val="0"/>
                <w:color w:val="000000"/>
                <w:sz w:val="20"/>
                <w:szCs w:val="20"/>
                <w:u w:val="none"/>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lang w:val="en-US" w:eastAsia="zh-CN"/>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lang w:val="en-US" w:eastAsia="zh-CN"/>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部门综合履职（个性指标）</w:t>
            </w:r>
          </w:p>
        </w:tc>
        <w:tc>
          <w:tcPr>
            <w:tcW w:w="95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kern w:val="0"/>
                <w:sz w:val="20"/>
                <w:szCs w:val="20"/>
                <w:u w:val="none"/>
                <w:lang w:val="en-US" w:eastAsia="zh-CN" w:bidi="ar"/>
              </w:rPr>
            </w:pPr>
            <w:r>
              <w:rPr>
                <w:rFonts w:hint="eastAsia" w:ascii="仿宋_GB2312" w:hAnsi="仿宋_GB2312" w:eastAsia="仿宋_GB2312" w:cs="仿宋_GB2312"/>
                <w:b w:val="0"/>
                <w:bCs/>
                <w:i w:val="0"/>
                <w:iCs w:val="0"/>
                <w:color w:val="000000"/>
                <w:kern w:val="0"/>
                <w:sz w:val="20"/>
                <w:szCs w:val="20"/>
                <w:u w:val="none"/>
                <w:lang w:val="en-US" w:eastAsia="zh-CN" w:bidi="ar"/>
              </w:rPr>
              <w:t>履职指标</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sz w:val="20"/>
                <w:szCs w:val="20"/>
                <w:u w:val="none"/>
              </w:rPr>
              <w:t>托幼机构工作人员体检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sz w:val="20"/>
                <w:szCs w:val="20"/>
                <w:u w:val="none"/>
              </w:rPr>
              <w:t>≥90%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rPr>
              <w:t>≥90%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lang w:val="en-US" w:eastAsia="zh-CN"/>
              </w:rPr>
              <w:t>8</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lang w:val="en-US" w:eastAsia="zh-CN"/>
              </w:rPr>
              <w:t>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95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kern w:val="0"/>
                <w:sz w:val="20"/>
                <w:szCs w:val="20"/>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sz w:val="20"/>
                <w:szCs w:val="20"/>
                <w:u w:val="none"/>
              </w:rPr>
              <w:t>信息系统管理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sz w:val="20"/>
                <w:szCs w:val="20"/>
                <w:u w:val="none"/>
              </w:rPr>
              <w:t>≥90%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rPr>
              <w:t>≥90%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lang w:val="en-US" w:eastAsia="zh-CN"/>
              </w:rPr>
              <w:t>8</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lang w:val="en-US" w:eastAsia="zh-CN"/>
              </w:rPr>
              <w:t>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95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kern w:val="0"/>
                <w:sz w:val="20"/>
                <w:szCs w:val="20"/>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sz w:val="20"/>
                <w:szCs w:val="20"/>
                <w:u w:val="none"/>
              </w:rPr>
              <w:t>采购医疗专用设备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sz w:val="20"/>
                <w:szCs w:val="20"/>
                <w:u w:val="none"/>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lang w:val="en-US" w:eastAsia="zh-CN"/>
              </w:rPr>
              <w:t>8</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lang w:val="en-US" w:eastAsia="zh-CN"/>
              </w:rPr>
              <w:t>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95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kern w:val="0"/>
                <w:sz w:val="20"/>
                <w:szCs w:val="20"/>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kern w:val="0"/>
                <w:sz w:val="20"/>
                <w:szCs w:val="20"/>
                <w:u w:val="none"/>
              </w:rPr>
            </w:pPr>
            <w:r>
              <w:rPr>
                <w:rFonts w:hint="eastAsia" w:ascii="仿宋_GB2312" w:hAnsi="仿宋_GB2312" w:eastAsia="仿宋_GB2312" w:cs="仿宋_GB2312"/>
                <w:b w:val="0"/>
                <w:bCs/>
                <w:i w:val="0"/>
                <w:iCs w:val="0"/>
                <w:color w:val="000000"/>
                <w:sz w:val="20"/>
                <w:szCs w:val="20"/>
                <w:u w:val="none"/>
              </w:rPr>
              <w:t>妇幼卫生发展</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kern w:val="0"/>
                <w:sz w:val="20"/>
                <w:szCs w:val="20"/>
                <w:u w:val="none"/>
              </w:rPr>
            </w:pPr>
            <w:r>
              <w:rPr>
                <w:rFonts w:hint="eastAsia" w:ascii="仿宋_GB2312" w:hAnsi="仿宋_GB2312" w:eastAsia="仿宋_GB2312" w:cs="仿宋_GB2312"/>
                <w:b w:val="0"/>
                <w:bCs/>
                <w:i w:val="0"/>
                <w:iCs w:val="0"/>
                <w:color w:val="000000"/>
                <w:sz w:val="20"/>
                <w:szCs w:val="20"/>
                <w:u w:val="none"/>
              </w:rPr>
              <w:t>≥90%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rPr>
              <w:t>≥90%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lang w:val="en-US" w:eastAsia="zh-CN"/>
              </w:rPr>
              <w:t>8</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lang w:val="en-US" w:eastAsia="zh-CN"/>
              </w:rPr>
              <w:t>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95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kern w:val="0"/>
                <w:sz w:val="20"/>
                <w:szCs w:val="20"/>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kern w:val="0"/>
                <w:sz w:val="20"/>
                <w:szCs w:val="20"/>
                <w:u w:val="none"/>
                <w:lang w:eastAsia="zh-CN"/>
              </w:rPr>
            </w:pPr>
            <w:r>
              <w:rPr>
                <w:rFonts w:hint="eastAsia" w:ascii="仿宋_GB2312" w:hAnsi="仿宋_GB2312" w:eastAsia="仿宋_GB2312" w:cs="仿宋_GB2312"/>
                <w:b w:val="0"/>
                <w:bCs/>
                <w:i w:val="0"/>
                <w:iCs w:val="0"/>
                <w:color w:val="000000"/>
                <w:sz w:val="20"/>
                <w:szCs w:val="20"/>
                <w:u w:val="none"/>
                <w:lang w:eastAsia="zh-CN"/>
              </w:rPr>
              <w:t>其它专项业务</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kern w:val="0"/>
                <w:sz w:val="20"/>
                <w:szCs w:val="20"/>
                <w:u w:val="none"/>
              </w:rPr>
            </w:pPr>
            <w:r>
              <w:rPr>
                <w:rFonts w:hint="eastAsia" w:ascii="仿宋_GB2312" w:hAnsi="仿宋_GB2312" w:eastAsia="仿宋_GB2312" w:cs="仿宋_GB2312"/>
                <w:b w:val="0"/>
                <w:bCs/>
                <w:i w:val="0"/>
                <w:iCs w:val="0"/>
                <w:color w:val="000000"/>
                <w:sz w:val="20"/>
                <w:szCs w:val="20"/>
                <w:u w:val="none"/>
              </w:rPr>
              <w:t>≥90%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rPr>
              <w:t>≥90%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lang w:val="en-US" w:eastAsia="zh-CN"/>
              </w:rPr>
              <w:t>8</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lang w:val="en-US" w:eastAsia="zh-CN"/>
              </w:rPr>
              <w:t>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951" w:type="dxa"/>
            <w:vMerge w:val="continue"/>
            <w:tcBorders>
              <w:left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kern w:val="0"/>
                <w:sz w:val="20"/>
                <w:szCs w:val="20"/>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kern w:val="0"/>
                <w:sz w:val="20"/>
                <w:szCs w:val="20"/>
                <w:u w:val="none"/>
              </w:rPr>
            </w:pPr>
            <w:r>
              <w:rPr>
                <w:rFonts w:hint="eastAsia" w:ascii="仿宋_GB2312" w:hAnsi="仿宋_GB2312" w:eastAsia="仿宋_GB2312" w:cs="仿宋_GB2312"/>
                <w:b w:val="0"/>
                <w:bCs/>
                <w:i w:val="0"/>
                <w:iCs w:val="0"/>
                <w:color w:val="000000"/>
                <w:sz w:val="20"/>
                <w:szCs w:val="20"/>
                <w:u w:val="none"/>
              </w:rPr>
              <w:t>艾、梅、乙产妇管理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kern w:val="0"/>
                <w:sz w:val="20"/>
                <w:szCs w:val="20"/>
                <w:u w:val="none"/>
              </w:rPr>
            </w:pPr>
            <w:r>
              <w:rPr>
                <w:rFonts w:hint="eastAsia" w:ascii="仿宋_GB2312" w:hAnsi="仿宋_GB2312" w:eastAsia="仿宋_GB2312" w:cs="仿宋_GB2312"/>
                <w:b w:val="0"/>
                <w:bCs/>
                <w:i w:val="0"/>
                <w:iCs w:val="0"/>
                <w:color w:val="000000"/>
                <w:sz w:val="20"/>
                <w:szCs w:val="20"/>
                <w:u w:val="none"/>
              </w:rPr>
              <w:t>≥90%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rPr>
              <w:t>≥90%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lang w:val="en-US" w:eastAsia="zh-CN"/>
              </w:rPr>
              <w:t>8</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lang w:val="en-US" w:eastAsia="zh-CN"/>
              </w:rPr>
              <w:t>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951" w:type="dxa"/>
            <w:vMerge w:val="continue"/>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kern w:val="0"/>
                <w:sz w:val="20"/>
                <w:szCs w:val="20"/>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i w:val="0"/>
                <w:iCs w:val="0"/>
                <w:color w:val="000000"/>
                <w:kern w:val="0"/>
                <w:sz w:val="20"/>
                <w:szCs w:val="20"/>
                <w:u w:val="none"/>
              </w:rPr>
            </w:pPr>
            <w:r>
              <w:rPr>
                <w:rFonts w:hint="eastAsia" w:ascii="仿宋_GB2312" w:hAnsi="仿宋_GB2312" w:eastAsia="仿宋_GB2312" w:cs="仿宋_GB2312"/>
                <w:b w:val="0"/>
                <w:bCs/>
                <w:i w:val="0"/>
                <w:iCs w:val="0"/>
                <w:color w:val="000000"/>
                <w:sz w:val="20"/>
                <w:szCs w:val="20"/>
                <w:u w:val="none"/>
              </w:rPr>
              <w:t>药品试剂耗材支出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i w:val="0"/>
                <w:iCs w:val="0"/>
                <w:color w:val="000000"/>
                <w:kern w:val="0"/>
                <w:sz w:val="20"/>
                <w:szCs w:val="20"/>
                <w:u w:val="none"/>
              </w:rPr>
            </w:pPr>
            <w:r>
              <w:rPr>
                <w:rFonts w:hint="eastAsia" w:ascii="仿宋_GB2312" w:hAnsi="仿宋_GB2312" w:eastAsia="仿宋_GB2312" w:cs="仿宋_GB2312"/>
                <w:b w:val="0"/>
                <w:bCs/>
                <w:i w:val="0"/>
                <w:iCs w:val="0"/>
                <w:color w:val="000000"/>
                <w:sz w:val="20"/>
                <w:szCs w:val="20"/>
                <w:u w:val="none"/>
              </w:rPr>
              <w:t>≥90%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rPr>
              <w:t>≥90%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lang w:val="en-US" w:eastAsia="zh-CN"/>
              </w:rPr>
              <w:t>8</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lang w:val="en-US" w:eastAsia="zh-CN"/>
              </w:rPr>
              <w:t>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i w:val="0"/>
                <w:iCs w:val="0"/>
                <w:color w:val="000000"/>
                <w:kern w:val="0"/>
                <w:sz w:val="22"/>
                <w:szCs w:val="22"/>
                <w:u w:val="none"/>
                <w:lang w:val="en-US" w:eastAsia="zh-CN"/>
              </w:rPr>
            </w:pPr>
            <w:r>
              <w:rPr>
                <w:rFonts w:hint="eastAsia" w:ascii="仿宋_GB2312" w:hAnsi="仿宋_GB2312" w:eastAsia="仿宋_GB2312" w:cs="仿宋_GB2312"/>
                <w:b w:val="0"/>
                <w:bCs/>
                <w:i w:val="0"/>
                <w:iCs w:val="0"/>
                <w:color w:val="000000"/>
                <w:sz w:val="20"/>
                <w:szCs w:val="20"/>
                <w:u w:val="none"/>
                <w:lang w:val="en-US" w:eastAsia="zh-CN"/>
              </w:rPr>
              <w:t>财政少下5万元。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951" w:type="dxa"/>
            <w:vMerge w:val="continue"/>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kern w:val="0"/>
                <w:sz w:val="20"/>
                <w:szCs w:val="20"/>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sz w:val="20"/>
                <w:szCs w:val="20"/>
                <w:u w:val="none"/>
              </w:rPr>
              <w:t>预防艾、梅、乙母婴传播项目</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i w:val="0"/>
                <w:iCs w:val="0"/>
                <w:color w:val="000000"/>
                <w:kern w:val="0"/>
                <w:sz w:val="20"/>
                <w:szCs w:val="20"/>
                <w:u w:val="none"/>
              </w:rPr>
            </w:pPr>
            <w:r>
              <w:rPr>
                <w:rFonts w:hint="eastAsia" w:ascii="仿宋_GB2312" w:hAnsi="仿宋_GB2312" w:eastAsia="仿宋_GB2312" w:cs="仿宋_GB2312"/>
                <w:b w:val="0"/>
                <w:bCs/>
                <w:i w:val="0"/>
                <w:iCs w:val="0"/>
                <w:color w:val="000000"/>
                <w:sz w:val="20"/>
                <w:szCs w:val="20"/>
                <w:u w:val="none"/>
              </w:rPr>
              <w:t>≥90%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rPr>
              <w:t>≥90%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lang w:val="en-US" w:eastAsia="zh-CN"/>
              </w:rPr>
            </w:pPr>
            <w:r>
              <w:rPr>
                <w:rFonts w:hint="eastAsia" w:ascii="仿宋_GB2312" w:hAnsi="仿宋_GB2312" w:eastAsia="仿宋_GB2312" w:cs="仿宋_GB2312"/>
                <w:b w:val="0"/>
                <w:bCs/>
                <w:i w:val="0"/>
                <w:iCs w:val="0"/>
                <w:color w:val="000000"/>
                <w:sz w:val="20"/>
                <w:szCs w:val="20"/>
                <w:u w:val="none"/>
                <w:lang w:val="en-US" w:eastAsia="zh-CN"/>
              </w:rPr>
              <w:t>8</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i w:val="0"/>
                <w:iCs w:val="0"/>
                <w:color w:val="000000"/>
                <w:sz w:val="20"/>
                <w:szCs w:val="20"/>
                <w:u w:val="none"/>
                <w:lang w:val="en-US" w:eastAsia="zh-CN"/>
              </w:rPr>
            </w:pPr>
            <w:r>
              <w:rPr>
                <w:rFonts w:hint="eastAsia" w:ascii="仿宋_GB2312" w:hAnsi="仿宋_GB2312" w:eastAsia="仿宋_GB2312" w:cs="仿宋_GB2312"/>
                <w:b w:val="0"/>
                <w:bCs/>
                <w:i w:val="0"/>
                <w:iCs w:val="0"/>
                <w:color w:val="000000"/>
                <w:sz w:val="20"/>
                <w:szCs w:val="20"/>
                <w:u w:val="none"/>
                <w:lang w:val="en-US" w:eastAsia="zh-CN"/>
              </w:rPr>
              <w:t>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951" w:type="dxa"/>
            <w:vMerge w:val="continue"/>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kern w:val="0"/>
                <w:sz w:val="20"/>
                <w:szCs w:val="20"/>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sz w:val="20"/>
                <w:szCs w:val="20"/>
                <w:u w:val="none"/>
              </w:rPr>
              <w:t>免费婚前医学检查项目</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i w:val="0"/>
                <w:iCs w:val="0"/>
                <w:color w:val="000000"/>
                <w:kern w:val="0"/>
                <w:sz w:val="20"/>
                <w:szCs w:val="20"/>
                <w:u w:val="none"/>
              </w:rPr>
            </w:pPr>
            <w:r>
              <w:rPr>
                <w:rFonts w:hint="eastAsia" w:ascii="仿宋_GB2312" w:hAnsi="仿宋_GB2312" w:eastAsia="仿宋_GB2312" w:cs="仿宋_GB2312"/>
                <w:b w:val="0"/>
                <w:bCs/>
                <w:i w:val="0"/>
                <w:iCs w:val="0"/>
                <w:color w:val="000000"/>
                <w:sz w:val="20"/>
                <w:szCs w:val="20"/>
                <w:u w:val="none"/>
              </w:rPr>
              <w:t>≥90%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rPr>
              <w:t>≥90%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lang w:val="en-US" w:eastAsia="zh-CN"/>
              </w:rPr>
              <w:t>8</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lang w:val="en-US" w:eastAsia="zh-CN"/>
              </w:rPr>
              <w:t>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i w:val="0"/>
                <w:iCs w:val="0"/>
                <w:color w:val="000000"/>
                <w:sz w:val="20"/>
                <w:szCs w:val="20"/>
                <w:u w:val="none"/>
                <w:lang w:val="en-US" w:eastAsia="zh-CN"/>
              </w:rPr>
            </w:pPr>
            <w:r>
              <w:rPr>
                <w:rFonts w:hint="eastAsia" w:ascii="仿宋_GB2312" w:hAnsi="仿宋_GB2312" w:eastAsia="仿宋_GB2312" w:cs="仿宋_GB2312"/>
                <w:b w:val="0"/>
                <w:bCs/>
                <w:i w:val="0"/>
                <w:iCs w:val="0"/>
                <w:color w:val="000000"/>
                <w:sz w:val="20"/>
                <w:szCs w:val="20"/>
                <w:u w:val="none"/>
                <w:lang w:val="en-US" w:eastAsia="zh-CN"/>
              </w:rPr>
              <w:t>财政少下达26.6万元。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kern w:val="0"/>
                <w:sz w:val="20"/>
                <w:szCs w:val="20"/>
                <w:u w:val="none"/>
                <w:lang w:val="en-US" w:eastAsia="zh-CN" w:bidi="ar"/>
              </w:rPr>
            </w:pPr>
            <w:r>
              <w:rPr>
                <w:rFonts w:hint="eastAsia" w:ascii="仿宋_GB2312" w:hAnsi="仿宋_GB2312" w:eastAsia="仿宋_GB2312" w:cs="仿宋_GB2312"/>
                <w:b w:val="0"/>
                <w:bCs/>
                <w:i w:val="0"/>
                <w:iCs w:val="0"/>
                <w:color w:val="000000"/>
                <w:kern w:val="0"/>
                <w:sz w:val="20"/>
                <w:szCs w:val="20"/>
                <w:u w:val="none"/>
                <w:lang w:val="en-US" w:eastAsia="zh-CN" w:bidi="ar"/>
              </w:rPr>
              <w:t>效益指标</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sz w:val="20"/>
                <w:szCs w:val="20"/>
                <w:u w:val="none"/>
              </w:rPr>
              <w:t>收入目标</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sz w:val="20"/>
                <w:szCs w:val="20"/>
                <w:u w:val="none"/>
                <w:lang w:val="en-US" w:eastAsia="zh-CN"/>
              </w:rPr>
              <w:t>=</w:t>
            </w:r>
            <w:r>
              <w:rPr>
                <w:rFonts w:hint="eastAsia" w:ascii="仿宋_GB2312" w:hAnsi="仿宋_GB2312" w:eastAsia="仿宋_GB2312" w:cs="仿宋_GB2312"/>
                <w:b w:val="0"/>
                <w:bCs/>
                <w:i w:val="0"/>
                <w:iCs w:val="0"/>
                <w:color w:val="000000"/>
                <w:sz w:val="20"/>
                <w:szCs w:val="20"/>
                <w:u w:val="none"/>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lang w:val="en-US" w:eastAsia="zh-CN"/>
              </w:rPr>
              <w:t>=</w:t>
            </w:r>
            <w:r>
              <w:rPr>
                <w:rFonts w:hint="eastAsia" w:ascii="仿宋_GB2312" w:hAnsi="仿宋_GB2312" w:eastAsia="仿宋_GB2312" w:cs="仿宋_GB2312"/>
                <w:b w:val="0"/>
                <w:bCs/>
                <w:i w:val="0"/>
                <w:iCs w:val="0"/>
                <w:color w:val="000000"/>
                <w:sz w:val="20"/>
                <w:szCs w:val="20"/>
                <w:u w:val="none"/>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lang w:val="en-US" w:eastAsia="zh-CN"/>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lang w:val="en-US" w:eastAsia="zh-CN"/>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i w:val="0"/>
                <w:iCs w:val="0"/>
                <w:color w:val="000000"/>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iCs w:val="0"/>
                <w:color w:val="000000"/>
                <w:sz w:val="20"/>
                <w:szCs w:val="20"/>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kern w:val="0"/>
                <w:sz w:val="20"/>
                <w:szCs w:val="20"/>
                <w:u w:val="none"/>
                <w:lang w:val="en-US" w:eastAsia="zh-CN" w:bidi="ar"/>
              </w:rPr>
            </w:pPr>
            <w:r>
              <w:rPr>
                <w:rFonts w:hint="eastAsia" w:ascii="仿宋_GB2312" w:hAnsi="仿宋_GB2312" w:eastAsia="仿宋_GB2312" w:cs="仿宋_GB2312"/>
                <w:b w:val="0"/>
                <w:bCs/>
                <w:i w:val="0"/>
                <w:iCs w:val="0"/>
                <w:color w:val="000000"/>
                <w:kern w:val="0"/>
                <w:sz w:val="20"/>
                <w:szCs w:val="20"/>
                <w:u w:val="none"/>
                <w:lang w:val="en-US" w:eastAsia="zh-CN" w:bidi="ar"/>
              </w:rPr>
              <w:t>满意度指标</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sz w:val="20"/>
                <w:szCs w:val="20"/>
                <w:u w:val="none"/>
              </w:rPr>
              <w:t>患者满意度</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sz w:val="20"/>
                <w:szCs w:val="20"/>
                <w:u w:val="none"/>
              </w:rPr>
              <w:t>≥90%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rPr>
              <w:t>≥90%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lang w:val="en-US" w:eastAsia="zh-CN"/>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i w:val="0"/>
                <w:iCs w:val="0"/>
                <w:color w:val="000000"/>
                <w:kern w:val="0"/>
                <w:sz w:val="20"/>
                <w:szCs w:val="20"/>
                <w:u w:val="none"/>
                <w:lang w:val="en-US" w:eastAsia="zh-CN"/>
              </w:rPr>
            </w:pPr>
            <w:r>
              <w:rPr>
                <w:rFonts w:hint="eastAsia" w:ascii="仿宋_GB2312" w:hAnsi="仿宋_GB2312" w:eastAsia="仿宋_GB2312" w:cs="仿宋_GB2312"/>
                <w:b w:val="0"/>
                <w:bCs/>
                <w:i w:val="0"/>
                <w:iCs w:val="0"/>
                <w:color w:val="000000"/>
                <w:sz w:val="20"/>
                <w:szCs w:val="20"/>
                <w:u w:val="none"/>
                <w:lang w:val="en-US" w:eastAsia="zh-CN"/>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sz w:val="22"/>
                <w:szCs w:val="22"/>
                <w:u w:val="none"/>
              </w:rPr>
            </w:pPr>
            <w:r>
              <w:rPr>
                <w:rFonts w:hint="eastAsia" w:ascii="仿宋_GB2312" w:hAnsi="仿宋_GB2312" w:eastAsia="仿宋_GB2312" w:cs="仿宋_GB2312"/>
                <w:b w:val="0"/>
                <w:bCs/>
                <w:i w:val="0"/>
                <w:iCs w:val="0"/>
                <w:color w:val="000000"/>
                <w:kern w:val="0"/>
                <w:sz w:val="22"/>
                <w:szCs w:val="22"/>
                <w:u w:val="none"/>
                <w:lang w:val="en-US" w:eastAsia="zh-CN" w:bidi="ar"/>
              </w:rPr>
              <w:t>合计</w:t>
            </w:r>
          </w:p>
        </w:tc>
        <w:tc>
          <w:tcPr>
            <w:tcW w:w="48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b w:val="0"/>
                <w:bCs/>
                <w:i w:val="0"/>
                <w:iCs w:val="0"/>
                <w:color w:val="000000"/>
                <w:sz w:val="22"/>
                <w:szCs w:val="22"/>
                <w:u w:val="none"/>
                <w:lang w:val="en-US" w:eastAsia="zh-CN"/>
              </w:rPr>
            </w:pPr>
            <w:r>
              <w:rPr>
                <w:rFonts w:hint="eastAsia" w:ascii="仿宋_GB2312" w:hAnsi="仿宋_GB2312" w:eastAsia="仿宋_GB2312" w:cs="仿宋_GB2312"/>
                <w:b w:val="0"/>
                <w:bCs/>
                <w:i w:val="0"/>
                <w:iCs w:val="0"/>
                <w:color w:val="000000"/>
                <w:sz w:val="22"/>
                <w:szCs w:val="22"/>
                <w:u w:val="none"/>
                <w:lang w:val="en-US" w:eastAsia="zh-CN"/>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b w:val="0"/>
                <w:bCs/>
                <w:i w:val="0"/>
                <w:iCs w:val="0"/>
                <w:color w:val="000000"/>
                <w:sz w:val="22"/>
                <w:szCs w:val="22"/>
                <w:u w:val="none"/>
                <w:lang w:val="en-US" w:eastAsia="zh-CN"/>
              </w:rPr>
            </w:pPr>
            <w:r>
              <w:rPr>
                <w:rFonts w:hint="eastAsia" w:ascii="仿宋_GB2312" w:hAnsi="仿宋_GB2312" w:eastAsia="仿宋_GB2312" w:cs="仿宋_GB2312"/>
                <w:b w:val="0"/>
                <w:bCs/>
                <w:i w:val="0"/>
                <w:iCs w:val="0"/>
                <w:color w:val="000000"/>
                <w:sz w:val="22"/>
                <w:szCs w:val="22"/>
                <w:u w:val="none"/>
                <w:lang w:val="en-US" w:eastAsia="zh-CN"/>
              </w:rPr>
              <w:t>98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val="0"/>
                <w:bCs/>
                <w:i w:val="0"/>
                <w:iCs w:val="0"/>
                <w:color w:val="000000"/>
                <w:sz w:val="22"/>
                <w:szCs w:val="22"/>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0F2F36"/>
    <w:rsid w:val="133C4448"/>
    <w:rsid w:val="136078DF"/>
    <w:rsid w:val="1DD57DC5"/>
    <w:rsid w:val="23C30404"/>
    <w:rsid w:val="2BAD6C26"/>
    <w:rsid w:val="4304168D"/>
    <w:rsid w:val="4C765648"/>
    <w:rsid w:val="52C41178"/>
    <w:rsid w:val="74417FA7"/>
    <w:rsid w:val="7E0F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仿宋" w:cs="仿宋_GB2312" w:asciiTheme="minorHAnsi" w:hAnsiTheme="minorHAnsi"/>
      <w:b/>
      <w:kern w:val="0"/>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2022-03-22T06:59:00Z</dcterms:created>
  <dc:creator>Administrator</dc:creator>
  <cp:lastModifiedBy>Administrator</cp:lastModifiedBy>
  <dcterms:modified xsi:type="dcterms:W3CDTF">2023-03-14T01:02:28Z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654E7B5A00FC41EEA8AD92DE0A104481</vt:lpwstr>
  </property>
</Properties>
</file>