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D1D1" w14:textId="6F5E670B" w:rsidR="0047479E" w:rsidRPr="001337A4" w:rsidRDefault="001337A4" w:rsidP="001337A4">
      <w:pPr>
        <w:pStyle w:val="3"/>
        <w:adjustRightInd w:val="0"/>
        <w:snapToGrid w:val="0"/>
        <w:spacing w:beforeLines="50" w:before="156" w:afterLines="50" w:after="156" w:line="360" w:lineRule="auto"/>
        <w:ind w:left="0" w:firstLine="0"/>
        <w:jc w:val="center"/>
        <w:rPr>
          <w:rFonts w:ascii="方正小标宋简体" w:eastAsia="方正小标宋简体" w:hAnsi="Times New Roman" w:cs="Times New Roman" w:hint="eastAsia"/>
          <w:b w:val="0"/>
          <w:bCs w:val="0"/>
          <w:w w:val="101"/>
          <w:sz w:val="44"/>
          <w:szCs w:val="44"/>
        </w:rPr>
      </w:pPr>
      <w:r w:rsidRPr="001337A4">
        <w:rPr>
          <w:rFonts w:ascii="方正小标宋简体" w:eastAsia="方正小标宋简体" w:hAnsi="Times New Roman" w:cs="Times New Roman" w:hint="eastAsia"/>
          <w:b w:val="0"/>
          <w:bCs w:val="0"/>
          <w:w w:val="101"/>
          <w:sz w:val="44"/>
          <w:szCs w:val="44"/>
        </w:rPr>
        <w:t>标准站房的技术要求说明</w:t>
      </w:r>
    </w:p>
    <w:p w14:paraId="091E33E4" w14:textId="77777777" w:rsidR="0047479E" w:rsidRPr="001337A4" w:rsidRDefault="0047479E" w:rsidP="0047479E">
      <w:pPr>
        <w:adjustRightInd w:val="0"/>
        <w:snapToGrid w:val="0"/>
        <w:spacing w:line="360" w:lineRule="auto"/>
        <w:ind w:firstLineChars="177" w:firstLine="566"/>
        <w:rPr>
          <w:rFonts w:ascii="仿宋_GB2312" w:eastAsia="仿宋_GB2312" w:hAnsi="Times New Roman" w:cs="Times New Roman" w:hint="eastAsia"/>
          <w:sz w:val="32"/>
          <w:szCs w:val="32"/>
        </w:rPr>
      </w:pPr>
      <w:r w:rsidRPr="001337A4">
        <w:rPr>
          <w:rFonts w:ascii="仿宋_GB2312" w:eastAsia="仿宋_GB2312" w:hAnsi="Times New Roman" w:cs="Times New Roman" w:hint="eastAsia"/>
          <w:sz w:val="32"/>
          <w:szCs w:val="32"/>
        </w:rPr>
        <w:t>本项目建造可以正常使用安装环境空气质量自动监测仪器的站房建设及配套设备的安装设施（非建筑类）。站房建设满足中华人民共和国环境保护行业标准《环境空气颗粒物（PM</w:t>
      </w:r>
      <w:r w:rsidRPr="001337A4">
        <w:rPr>
          <w:rFonts w:ascii="仿宋_GB2312" w:eastAsia="仿宋_GB2312" w:hAnsi="Times New Roman" w:cs="Times New Roman" w:hint="eastAsia"/>
          <w:sz w:val="32"/>
          <w:szCs w:val="32"/>
          <w:vertAlign w:val="subscript"/>
        </w:rPr>
        <w:t>10</w:t>
      </w:r>
      <w:r w:rsidRPr="001337A4">
        <w:rPr>
          <w:rFonts w:ascii="仿宋_GB2312" w:eastAsia="仿宋_GB2312" w:hAnsi="Times New Roman" w:cs="Times New Roman" w:hint="eastAsia"/>
          <w:sz w:val="32"/>
          <w:szCs w:val="32"/>
        </w:rPr>
        <w:t>和 PM</w:t>
      </w:r>
      <w:r w:rsidRPr="001337A4">
        <w:rPr>
          <w:rFonts w:ascii="仿宋_GB2312" w:eastAsia="仿宋_GB2312" w:hAnsi="Times New Roman" w:cs="Times New Roman" w:hint="eastAsia"/>
          <w:sz w:val="32"/>
          <w:szCs w:val="32"/>
          <w:vertAlign w:val="subscript"/>
        </w:rPr>
        <w:t>2.5</w:t>
      </w:r>
      <w:r w:rsidRPr="001337A4">
        <w:rPr>
          <w:rFonts w:ascii="仿宋_GB2312" w:eastAsia="仿宋_GB2312" w:hAnsi="Times New Roman" w:cs="Times New Roman" w:hint="eastAsia"/>
          <w:sz w:val="32"/>
          <w:szCs w:val="32"/>
        </w:rPr>
        <w:t>）连续自动监测系统安装和验收技术规范》（HJ 655-2013）和《环境空气气态污染物（SO</w:t>
      </w:r>
      <w:r w:rsidRPr="001337A4">
        <w:rPr>
          <w:rFonts w:ascii="仿宋_GB2312" w:eastAsia="仿宋_GB2312" w:hAnsi="Times New Roman" w:cs="Times New Roman" w:hint="eastAsia"/>
          <w:sz w:val="32"/>
          <w:szCs w:val="32"/>
          <w:vertAlign w:val="subscript"/>
        </w:rPr>
        <w:t>2</w:t>
      </w:r>
      <w:r w:rsidRPr="001337A4">
        <w:rPr>
          <w:rFonts w:ascii="仿宋_GB2312" w:eastAsia="仿宋_GB2312" w:hAnsi="Times New Roman" w:cs="Times New Roman" w:hint="eastAsia"/>
          <w:sz w:val="32"/>
          <w:szCs w:val="32"/>
        </w:rPr>
        <w:t>、NO</w:t>
      </w:r>
      <w:r w:rsidRPr="001337A4">
        <w:rPr>
          <w:rFonts w:ascii="仿宋_GB2312" w:eastAsia="仿宋_GB2312" w:hAnsi="Times New Roman" w:cs="Times New Roman" w:hint="eastAsia"/>
          <w:sz w:val="32"/>
          <w:szCs w:val="32"/>
          <w:vertAlign w:val="subscript"/>
        </w:rPr>
        <w:t>2</w:t>
      </w:r>
      <w:r w:rsidRPr="001337A4">
        <w:rPr>
          <w:rFonts w:ascii="仿宋_GB2312" w:eastAsia="仿宋_GB2312" w:hAnsi="Times New Roman" w:cs="Times New Roman" w:hint="eastAsia"/>
          <w:sz w:val="32"/>
          <w:szCs w:val="32"/>
        </w:rPr>
        <w:t>、O</w:t>
      </w:r>
      <w:r w:rsidRPr="001337A4">
        <w:rPr>
          <w:rFonts w:ascii="仿宋_GB2312" w:eastAsia="仿宋_GB2312" w:hAnsi="Times New Roman" w:cs="Times New Roman" w:hint="eastAsia"/>
          <w:sz w:val="32"/>
          <w:szCs w:val="32"/>
          <w:vertAlign w:val="subscript"/>
        </w:rPr>
        <w:t>3</w:t>
      </w:r>
      <w:r w:rsidRPr="001337A4">
        <w:rPr>
          <w:rFonts w:ascii="仿宋_GB2312" w:eastAsia="仿宋_GB2312" w:hAnsi="Times New Roman" w:cs="Times New Roman" w:hint="eastAsia"/>
          <w:sz w:val="32"/>
          <w:szCs w:val="32"/>
        </w:rPr>
        <w:t>、CO）连续自动监测系统安装验收技术规范》（HJ 193-2013）的要求。</w:t>
      </w:r>
    </w:p>
    <w:p w14:paraId="66B97A0F" w14:textId="77777777" w:rsidR="0047479E" w:rsidRPr="001337A4" w:rsidRDefault="0047479E" w:rsidP="0047479E">
      <w:pPr>
        <w:pStyle w:val="a7"/>
        <w:adjustRightInd w:val="0"/>
        <w:snapToGrid w:val="0"/>
        <w:spacing w:line="360" w:lineRule="auto"/>
        <w:ind w:left="0" w:right="109" w:firstLine="426"/>
        <w:rPr>
          <w:rFonts w:ascii="仿宋_GB2312" w:eastAsia="仿宋_GB2312" w:hAnsi="Times New Roman" w:cs="Times New Roman" w:hint="eastAsia"/>
          <w:spacing w:val="-4"/>
          <w:sz w:val="32"/>
          <w:szCs w:val="32"/>
        </w:rPr>
      </w:pPr>
      <w:r w:rsidRPr="001337A4">
        <w:rPr>
          <w:rFonts w:ascii="仿宋_GB2312" w:eastAsia="仿宋_GB2312" w:hAnsi="Times New Roman" w:cs="Times New Roman" w:hint="eastAsia"/>
          <w:spacing w:val="-4"/>
          <w:sz w:val="32"/>
          <w:szCs w:val="32"/>
        </w:rPr>
        <w:t>站房为集装箱式站房，站房面积建设15m</w:t>
      </w:r>
      <w:r w:rsidRPr="001337A4">
        <w:rPr>
          <w:rFonts w:ascii="仿宋_GB2312" w:eastAsia="仿宋_GB2312" w:hAnsi="Times New Roman" w:cs="Times New Roman" w:hint="eastAsia"/>
          <w:spacing w:val="-4"/>
          <w:sz w:val="32"/>
          <w:szCs w:val="32"/>
          <w:vertAlign w:val="superscript"/>
        </w:rPr>
        <w:t>2</w:t>
      </w:r>
      <w:r w:rsidRPr="001337A4">
        <w:rPr>
          <w:rFonts w:ascii="仿宋_GB2312" w:eastAsia="仿宋_GB2312" w:hAnsi="Times New Roman" w:cs="Times New Roman" w:hint="eastAsia"/>
          <w:spacing w:val="-4"/>
          <w:sz w:val="32"/>
          <w:szCs w:val="32"/>
        </w:rPr>
        <w:t>，能够容纳城市空气站监测设备及规划涉及的监测设备，并预留人员操作和仪器维修的空间。同时考虑到自动监测室、缓冲间、空调、消防、通讯设施以及人员操作等空间需求。</w:t>
      </w:r>
    </w:p>
    <w:p w14:paraId="748C6F2E" w14:textId="77777777" w:rsidR="0047479E" w:rsidRPr="001337A4" w:rsidRDefault="0047479E" w:rsidP="0047479E">
      <w:pPr>
        <w:pStyle w:val="a7"/>
        <w:adjustRightInd w:val="0"/>
        <w:snapToGrid w:val="0"/>
        <w:spacing w:line="360" w:lineRule="auto"/>
        <w:ind w:left="0" w:right="109" w:firstLine="426"/>
        <w:rPr>
          <w:rFonts w:ascii="仿宋_GB2312" w:eastAsia="仿宋_GB2312" w:hAnsi="Times New Roman" w:cs="Times New Roman" w:hint="eastAsia"/>
          <w:spacing w:val="-4"/>
          <w:sz w:val="32"/>
          <w:szCs w:val="32"/>
        </w:rPr>
      </w:pPr>
      <w:r w:rsidRPr="001337A4">
        <w:rPr>
          <w:rFonts w:ascii="仿宋_GB2312" w:eastAsia="仿宋_GB2312" w:hAnsi="Times New Roman" w:cs="Times New Roman" w:hint="eastAsia"/>
          <w:spacing w:val="-4"/>
          <w:sz w:val="32"/>
          <w:szCs w:val="32"/>
        </w:rPr>
        <w:t>站房设置为平顶结构，并有小于10°的倾角，以保障雨水的迅速排出；站房建有通向房顶的Z字梯，房顶承重大于250kg/m</w:t>
      </w:r>
      <w:r w:rsidRPr="001337A4">
        <w:rPr>
          <w:rFonts w:ascii="仿宋_GB2312" w:eastAsia="仿宋_GB2312" w:hAnsi="Times New Roman" w:cs="Times New Roman" w:hint="eastAsia"/>
          <w:spacing w:val="-4"/>
          <w:sz w:val="32"/>
          <w:szCs w:val="32"/>
          <w:vertAlign w:val="superscript"/>
        </w:rPr>
        <w:t>2</w:t>
      </w:r>
      <w:r w:rsidRPr="001337A4">
        <w:rPr>
          <w:rFonts w:ascii="仿宋_GB2312" w:eastAsia="仿宋_GB2312" w:hAnsi="Times New Roman" w:cs="Times New Roman" w:hint="eastAsia"/>
          <w:spacing w:val="-4"/>
          <w:sz w:val="32"/>
          <w:szCs w:val="32"/>
        </w:rPr>
        <w:t>，站房房顶设置1.2 米的护栏，以保障操作人员的安全和设备维护的便利。</w:t>
      </w:r>
    </w:p>
    <w:p w14:paraId="4A9240D4" w14:textId="77777777" w:rsidR="0047479E" w:rsidRPr="001337A4" w:rsidRDefault="0047479E" w:rsidP="0047479E">
      <w:pPr>
        <w:pStyle w:val="a7"/>
        <w:adjustRightInd w:val="0"/>
        <w:snapToGrid w:val="0"/>
        <w:spacing w:line="360" w:lineRule="auto"/>
        <w:ind w:left="0" w:right="109" w:firstLine="426"/>
        <w:rPr>
          <w:rFonts w:ascii="仿宋_GB2312" w:eastAsia="仿宋_GB2312" w:hAnsi="Times New Roman" w:cs="Times New Roman" w:hint="eastAsia"/>
          <w:spacing w:val="-4"/>
          <w:sz w:val="32"/>
          <w:szCs w:val="32"/>
        </w:rPr>
      </w:pPr>
      <w:r w:rsidRPr="001337A4">
        <w:rPr>
          <w:rFonts w:ascii="仿宋_GB2312" w:eastAsia="仿宋_GB2312" w:hAnsi="Times New Roman" w:cs="Times New Roman" w:hint="eastAsia"/>
          <w:spacing w:val="-4"/>
          <w:sz w:val="32"/>
          <w:szCs w:val="32"/>
        </w:rPr>
        <w:t>站房为双层密封窗或无窗结构，墙体有较好的保温性能。新建站房在门与仪器房之间设置</w:t>
      </w:r>
      <w:r w:rsidRPr="001337A4">
        <w:rPr>
          <w:rFonts w:ascii="仿宋_GB2312" w:eastAsia="仿宋_GB2312" w:hAnsi="Times New Roman" w:cs="Times New Roman" w:hint="eastAsia"/>
          <w:b/>
          <w:spacing w:val="-4"/>
          <w:sz w:val="32"/>
          <w:szCs w:val="32"/>
        </w:rPr>
        <w:t>缓冲间</w:t>
      </w:r>
      <w:r w:rsidRPr="001337A4">
        <w:rPr>
          <w:rFonts w:ascii="仿宋_GB2312" w:eastAsia="仿宋_GB2312" w:hAnsi="Times New Roman" w:cs="Times New Roman" w:hint="eastAsia"/>
          <w:spacing w:val="-4"/>
          <w:sz w:val="32"/>
          <w:szCs w:val="32"/>
        </w:rPr>
        <w:t>，以保持站房内温湿度恒定和防止灰尘和泥土带入站房内。站房墙体中间填充 PU 保温材料厚度≥ 80mm，在工作状态下，能经受舱内外 55℃的温差。站房采用 75mmEPSO 夹芯彩钢板,彩钢板厚度0.70mm。</w:t>
      </w:r>
    </w:p>
    <w:p w14:paraId="67CDEE70" w14:textId="77777777" w:rsidR="0047479E" w:rsidRPr="001337A4" w:rsidRDefault="0047479E" w:rsidP="0047479E">
      <w:pPr>
        <w:pStyle w:val="a7"/>
        <w:adjustRightInd w:val="0"/>
        <w:snapToGrid w:val="0"/>
        <w:spacing w:line="360" w:lineRule="auto"/>
        <w:ind w:left="0" w:right="109" w:firstLine="426"/>
        <w:rPr>
          <w:rFonts w:ascii="仿宋_GB2312" w:eastAsia="仿宋_GB2312" w:hAnsi="Times New Roman" w:cs="Times New Roman" w:hint="eastAsia"/>
          <w:spacing w:val="-4"/>
          <w:sz w:val="32"/>
          <w:szCs w:val="32"/>
        </w:rPr>
      </w:pPr>
      <w:r w:rsidRPr="001337A4">
        <w:rPr>
          <w:rFonts w:ascii="仿宋_GB2312" w:eastAsia="仿宋_GB2312" w:hAnsi="Times New Roman" w:cs="Times New Roman" w:hint="eastAsia"/>
          <w:spacing w:val="-4"/>
          <w:sz w:val="32"/>
          <w:szCs w:val="32"/>
        </w:rPr>
        <w:t>地面：站房底板采用14#、10#槽钢焊接而成，内填充保温</w:t>
      </w:r>
      <w:r w:rsidRPr="001337A4">
        <w:rPr>
          <w:rFonts w:ascii="仿宋_GB2312" w:eastAsia="仿宋_GB2312" w:hAnsi="Times New Roman" w:cs="Times New Roman" w:hint="eastAsia"/>
          <w:spacing w:val="-4"/>
          <w:sz w:val="32"/>
          <w:szCs w:val="32"/>
        </w:rPr>
        <w:lastRenderedPageBreak/>
        <w:t>材料，上铺15mm竹胶板，再铺设防静电木地板，确保仪器安装稳固。</w:t>
      </w:r>
    </w:p>
    <w:p w14:paraId="62412E54" w14:textId="77777777" w:rsidR="0047479E" w:rsidRPr="001337A4" w:rsidRDefault="0047479E" w:rsidP="0047479E">
      <w:pPr>
        <w:pStyle w:val="a7"/>
        <w:adjustRightInd w:val="0"/>
        <w:snapToGrid w:val="0"/>
        <w:spacing w:line="360" w:lineRule="auto"/>
        <w:ind w:left="0" w:right="109" w:firstLine="426"/>
        <w:rPr>
          <w:rFonts w:ascii="仿宋_GB2312" w:eastAsia="仿宋_GB2312" w:hAnsi="Times New Roman" w:cs="Times New Roman" w:hint="eastAsia"/>
          <w:spacing w:val="-4"/>
          <w:sz w:val="32"/>
          <w:szCs w:val="32"/>
        </w:rPr>
      </w:pPr>
      <w:r w:rsidRPr="001337A4">
        <w:rPr>
          <w:rFonts w:ascii="仿宋_GB2312" w:eastAsia="仿宋_GB2312" w:hAnsi="Times New Roman" w:cs="Times New Roman" w:hint="eastAsia"/>
          <w:spacing w:val="-4"/>
          <w:sz w:val="32"/>
          <w:szCs w:val="32"/>
        </w:rPr>
        <w:t>站房内配挂式空调2台（1.5 匹冷暖两用空调）、带遮盖的换气扇1台和壁挂式温湿度计一个，空调具有停电后来电自启功能；且能使站房室内温 度常年控制在25℃±5℃，相对湿度在80%以下。</w:t>
      </w:r>
    </w:p>
    <w:p w14:paraId="799B3F14" w14:textId="77777777" w:rsidR="0047479E" w:rsidRPr="001337A4" w:rsidRDefault="0047479E" w:rsidP="0047479E">
      <w:pPr>
        <w:pStyle w:val="a7"/>
        <w:adjustRightInd w:val="0"/>
        <w:snapToGrid w:val="0"/>
        <w:spacing w:line="360" w:lineRule="auto"/>
        <w:ind w:left="0" w:right="109" w:firstLine="426"/>
        <w:rPr>
          <w:rFonts w:ascii="仿宋_GB2312" w:eastAsia="仿宋_GB2312" w:hAnsi="Times New Roman" w:cs="Times New Roman" w:hint="eastAsia"/>
          <w:spacing w:val="-4"/>
          <w:sz w:val="32"/>
          <w:szCs w:val="32"/>
        </w:rPr>
      </w:pPr>
      <w:r w:rsidRPr="001337A4">
        <w:rPr>
          <w:rFonts w:ascii="仿宋_GB2312" w:eastAsia="仿宋_GB2312" w:hAnsi="Times New Roman" w:cs="Times New Roman" w:hint="eastAsia"/>
          <w:spacing w:val="-4"/>
          <w:sz w:val="32"/>
          <w:szCs w:val="32"/>
        </w:rPr>
        <w:t>站房有防水、防潮措施，站</w:t>
      </w:r>
      <w:proofErr w:type="gramStart"/>
      <w:r w:rsidRPr="001337A4">
        <w:rPr>
          <w:rFonts w:ascii="仿宋_GB2312" w:eastAsia="仿宋_GB2312" w:hAnsi="Times New Roman" w:cs="Times New Roman" w:hint="eastAsia"/>
          <w:spacing w:val="-4"/>
          <w:sz w:val="32"/>
          <w:szCs w:val="32"/>
        </w:rPr>
        <w:t>房地层离地面</w:t>
      </w:r>
      <w:proofErr w:type="gramEnd"/>
      <w:r w:rsidRPr="001337A4">
        <w:rPr>
          <w:rFonts w:ascii="仿宋_GB2312" w:eastAsia="仿宋_GB2312" w:hAnsi="Times New Roman" w:cs="Times New Roman" w:hint="eastAsia"/>
          <w:spacing w:val="-4"/>
          <w:sz w:val="32"/>
          <w:szCs w:val="32"/>
        </w:rPr>
        <w:t>（或楼顶）有25cm的距离。</w:t>
      </w:r>
    </w:p>
    <w:p w14:paraId="53CFD80D" w14:textId="77777777" w:rsidR="0047479E" w:rsidRPr="001337A4" w:rsidRDefault="0047479E" w:rsidP="0047479E">
      <w:pPr>
        <w:pStyle w:val="a7"/>
        <w:adjustRightInd w:val="0"/>
        <w:snapToGrid w:val="0"/>
        <w:spacing w:line="360" w:lineRule="auto"/>
        <w:ind w:left="0" w:right="109" w:firstLine="426"/>
        <w:rPr>
          <w:rFonts w:ascii="仿宋_GB2312" w:eastAsia="仿宋_GB2312" w:hAnsi="Times New Roman" w:cs="Times New Roman" w:hint="eastAsia"/>
          <w:spacing w:val="-4"/>
          <w:sz w:val="32"/>
          <w:szCs w:val="32"/>
        </w:rPr>
      </w:pPr>
      <w:r w:rsidRPr="001337A4">
        <w:rPr>
          <w:rFonts w:ascii="仿宋_GB2312" w:eastAsia="仿宋_GB2312" w:hAnsi="Times New Roman" w:cs="Times New Roman" w:hint="eastAsia"/>
          <w:spacing w:val="-4"/>
          <w:sz w:val="32"/>
          <w:szCs w:val="32"/>
        </w:rPr>
        <w:t>站房除预留满足常规监测的采样口外，还在房顶预留2个采样口，以便开展仪器比对等相关工作；参考孔径为75-140mm。预留口在建筑时使用不锈钢或工程塑料钢管同时建造，钢管的两端预留法兰(房顶一侧的法兰留有足够高度，避免雨雪影响)，用于采样管的固定或接入，以免反复在房顶打孔，破坏防水层和隔热层。</w:t>
      </w:r>
    </w:p>
    <w:p w14:paraId="67A0593D" w14:textId="77777777" w:rsidR="0047479E" w:rsidRPr="001337A4" w:rsidRDefault="0047479E" w:rsidP="0047479E">
      <w:pPr>
        <w:pStyle w:val="a7"/>
        <w:adjustRightInd w:val="0"/>
        <w:snapToGrid w:val="0"/>
        <w:spacing w:line="360" w:lineRule="auto"/>
        <w:ind w:left="0" w:right="109" w:firstLine="426"/>
        <w:rPr>
          <w:rFonts w:ascii="仿宋_GB2312" w:eastAsia="仿宋_GB2312" w:hAnsi="Times New Roman" w:cs="Times New Roman" w:hint="eastAsia"/>
          <w:spacing w:val="-4"/>
          <w:sz w:val="32"/>
          <w:szCs w:val="32"/>
        </w:rPr>
      </w:pPr>
      <w:r w:rsidRPr="001337A4">
        <w:rPr>
          <w:rFonts w:ascii="仿宋_GB2312" w:eastAsia="仿宋_GB2312" w:hAnsi="Times New Roman" w:cs="Times New Roman" w:hint="eastAsia"/>
          <w:spacing w:val="-4"/>
          <w:sz w:val="32"/>
          <w:szCs w:val="32"/>
        </w:rPr>
        <w:t>采样装置的抽气风机排气口和监测仪器的排气口位置，设置在靠近站房下部的墙壁上，排气口离站房内地面的距离保持在20cm以上。</w:t>
      </w:r>
    </w:p>
    <w:p w14:paraId="0D8C764B" w14:textId="77777777" w:rsidR="0047479E" w:rsidRPr="001337A4" w:rsidRDefault="0047479E" w:rsidP="0047479E">
      <w:pPr>
        <w:pStyle w:val="a7"/>
        <w:adjustRightInd w:val="0"/>
        <w:snapToGrid w:val="0"/>
        <w:spacing w:line="360" w:lineRule="auto"/>
        <w:ind w:left="0" w:right="109" w:firstLine="426"/>
        <w:rPr>
          <w:rFonts w:ascii="仿宋_GB2312" w:eastAsia="仿宋_GB2312" w:hAnsi="Times New Roman" w:cs="Times New Roman" w:hint="eastAsia"/>
          <w:spacing w:val="-4"/>
          <w:sz w:val="32"/>
          <w:szCs w:val="32"/>
        </w:rPr>
      </w:pPr>
      <w:r w:rsidRPr="001337A4">
        <w:rPr>
          <w:rFonts w:ascii="仿宋_GB2312" w:eastAsia="仿宋_GB2312" w:hAnsi="Times New Roman" w:cs="Times New Roman" w:hint="eastAsia"/>
          <w:spacing w:val="-4"/>
          <w:sz w:val="32"/>
          <w:szCs w:val="32"/>
        </w:rPr>
        <w:t>在站房顶上设置用于固定气象传感器的气象杆或气象塔，气象杆、塔与站房顶的垂直高度有效覆盖（45度角）采样区域，以保障人员及采样区域安全，并且气象杆、塔和子站房的建筑结构能经受 10 级以上的风力。</w:t>
      </w:r>
    </w:p>
    <w:p w14:paraId="60A2DBC2" w14:textId="77777777" w:rsidR="0047479E" w:rsidRPr="001337A4" w:rsidRDefault="0047479E" w:rsidP="0047479E">
      <w:pPr>
        <w:pStyle w:val="a7"/>
        <w:adjustRightInd w:val="0"/>
        <w:snapToGrid w:val="0"/>
        <w:spacing w:line="360" w:lineRule="auto"/>
        <w:ind w:left="0" w:right="109" w:firstLine="426"/>
        <w:rPr>
          <w:rFonts w:ascii="仿宋_GB2312" w:eastAsia="仿宋_GB2312" w:hAnsi="Times New Roman" w:cs="Times New Roman" w:hint="eastAsia"/>
          <w:spacing w:val="-4"/>
          <w:sz w:val="32"/>
          <w:szCs w:val="32"/>
        </w:rPr>
      </w:pPr>
      <w:r w:rsidRPr="001337A4">
        <w:rPr>
          <w:rFonts w:ascii="仿宋_GB2312" w:eastAsia="仿宋_GB2312" w:hAnsi="Times New Roman" w:cs="Times New Roman" w:hint="eastAsia"/>
          <w:spacing w:val="-4"/>
          <w:sz w:val="32"/>
          <w:szCs w:val="32"/>
        </w:rPr>
        <w:t>站房采用三相供电，分相使用；站房内监测仪器供电线路</w:t>
      </w:r>
      <w:r w:rsidRPr="001337A4">
        <w:rPr>
          <w:rFonts w:ascii="仿宋_GB2312" w:eastAsia="仿宋_GB2312" w:hAnsi="Times New Roman" w:cs="Times New Roman" w:hint="eastAsia"/>
          <w:spacing w:val="-4"/>
          <w:sz w:val="32"/>
          <w:szCs w:val="32"/>
        </w:rPr>
        <w:lastRenderedPageBreak/>
        <w:t>独立走线。电源布设符合国家用电相关安全要求，并满足设计和规划中总用电功率的需要。站房供电系统考虑到空调所需要的大电流配电设施。设备和照明的供电分路独立设置和控制，避免掉电对全部系统的影响。站房内安装三盏</w:t>
      </w:r>
      <w:r w:rsidRPr="001337A4">
        <w:rPr>
          <w:rFonts w:ascii="仿宋_GB2312" w:eastAsia="仿宋_GB2312" w:hAnsi="Times New Roman" w:cs="Times New Roman" w:hint="eastAsia"/>
          <w:b/>
          <w:spacing w:val="-4"/>
          <w:sz w:val="32"/>
          <w:szCs w:val="32"/>
        </w:rPr>
        <w:t>20瓦LED 灯</w:t>
      </w:r>
      <w:r w:rsidRPr="001337A4">
        <w:rPr>
          <w:rFonts w:ascii="仿宋_GB2312" w:eastAsia="仿宋_GB2312" w:hAnsi="Times New Roman" w:cs="Times New Roman" w:hint="eastAsia"/>
          <w:spacing w:val="-4"/>
          <w:sz w:val="32"/>
          <w:szCs w:val="32"/>
        </w:rPr>
        <w:t>。</w:t>
      </w:r>
    </w:p>
    <w:p w14:paraId="62D58A60" w14:textId="77777777" w:rsidR="0047479E" w:rsidRPr="001337A4" w:rsidRDefault="0047479E" w:rsidP="0047479E">
      <w:pPr>
        <w:pStyle w:val="a7"/>
        <w:adjustRightInd w:val="0"/>
        <w:snapToGrid w:val="0"/>
        <w:spacing w:line="360" w:lineRule="auto"/>
        <w:ind w:left="0" w:right="109" w:firstLine="426"/>
        <w:rPr>
          <w:rFonts w:ascii="仿宋_GB2312" w:eastAsia="仿宋_GB2312" w:hAnsi="Times New Roman" w:cs="Times New Roman" w:hint="eastAsia"/>
          <w:spacing w:val="-4"/>
          <w:sz w:val="32"/>
          <w:szCs w:val="32"/>
        </w:rPr>
      </w:pPr>
      <w:r w:rsidRPr="001337A4">
        <w:rPr>
          <w:rFonts w:ascii="仿宋_GB2312" w:eastAsia="仿宋_GB2312" w:hAnsi="Times New Roman" w:cs="Times New Roman" w:hint="eastAsia"/>
          <w:spacing w:val="-4"/>
          <w:sz w:val="32"/>
          <w:szCs w:val="32"/>
        </w:rPr>
        <w:t>站房供电根据各地情况，自行解决室外线路（根据设计要求完成），供电系统配有电源过压、过载和漏电保护等稳压电源装置，电源电压波动不超过220V±10%。配电柜配置断电后延缓一定时间重新供电的电源延时智能装置，避免短时间内反复停电对仪器造成的冲击影响。</w:t>
      </w:r>
    </w:p>
    <w:p w14:paraId="352A6A1B" w14:textId="77777777" w:rsidR="0047479E" w:rsidRPr="001337A4" w:rsidRDefault="0047479E" w:rsidP="0047479E">
      <w:pPr>
        <w:pStyle w:val="a7"/>
        <w:adjustRightInd w:val="0"/>
        <w:snapToGrid w:val="0"/>
        <w:spacing w:line="360" w:lineRule="auto"/>
        <w:ind w:left="0" w:right="109" w:firstLine="426"/>
        <w:rPr>
          <w:rFonts w:ascii="仿宋_GB2312" w:eastAsia="仿宋_GB2312" w:hAnsi="Times New Roman" w:cs="Times New Roman" w:hint="eastAsia"/>
          <w:spacing w:val="-4"/>
          <w:sz w:val="32"/>
          <w:szCs w:val="32"/>
        </w:rPr>
      </w:pPr>
      <w:r w:rsidRPr="001337A4">
        <w:rPr>
          <w:rFonts w:ascii="仿宋_GB2312" w:eastAsia="仿宋_GB2312" w:hAnsi="Times New Roman" w:cs="Times New Roman" w:hint="eastAsia"/>
          <w:spacing w:val="-4"/>
          <w:sz w:val="32"/>
          <w:szCs w:val="32"/>
        </w:rPr>
        <w:t>站房的电源插座尽可能设置在墙壁上，不设置在地板上，以避免漏水的影响。站房内配置足够的电源插座（站房楼顶板，并根据机位和其他设备的位置合理分布，并安装电源防雷设施。</w:t>
      </w:r>
    </w:p>
    <w:p w14:paraId="3735507F" w14:textId="77777777" w:rsidR="0047479E" w:rsidRPr="001337A4" w:rsidRDefault="0047479E" w:rsidP="0047479E">
      <w:pPr>
        <w:pStyle w:val="a7"/>
        <w:adjustRightInd w:val="0"/>
        <w:snapToGrid w:val="0"/>
        <w:spacing w:line="360" w:lineRule="auto"/>
        <w:ind w:left="0" w:right="241" w:firstLine="569"/>
        <w:jc w:val="both"/>
        <w:rPr>
          <w:rFonts w:ascii="仿宋_GB2312" w:eastAsia="仿宋_GB2312" w:hAnsi="Times New Roman" w:cs="Times New Roman" w:hint="eastAsia"/>
          <w:sz w:val="32"/>
          <w:szCs w:val="32"/>
        </w:rPr>
      </w:pPr>
      <w:r w:rsidRPr="001337A4">
        <w:rPr>
          <w:rFonts w:ascii="仿宋_GB2312" w:eastAsia="仿宋_GB2312" w:hAnsi="Times New Roman" w:cs="Times New Roman" w:hint="eastAsia"/>
          <w:spacing w:val="-5"/>
          <w:sz w:val="32"/>
          <w:szCs w:val="32"/>
        </w:rPr>
        <w:t>站房配备三级防雷和稳压电源等基础保障设施；站房的防</w:t>
      </w:r>
      <w:r w:rsidRPr="001337A4">
        <w:rPr>
          <w:rFonts w:ascii="仿宋_GB2312" w:eastAsia="仿宋_GB2312" w:hAnsi="Times New Roman" w:cs="Times New Roman" w:hint="eastAsia"/>
          <w:spacing w:val="-6"/>
          <w:sz w:val="32"/>
          <w:szCs w:val="32"/>
        </w:rPr>
        <w:t>雷系统覆盖包括气象杆、自动设备采样头、手工采样装置等高出房</w:t>
      </w:r>
      <w:r w:rsidRPr="001337A4">
        <w:rPr>
          <w:rFonts w:ascii="仿宋_GB2312" w:eastAsia="仿宋_GB2312" w:hAnsi="Times New Roman" w:cs="Times New Roman" w:hint="eastAsia"/>
          <w:spacing w:val="-4"/>
          <w:sz w:val="32"/>
          <w:szCs w:val="32"/>
        </w:rPr>
        <w:t>顶的设施。站房有良好的接地线路，接地电阻&lt;</w:t>
      </w:r>
      <w:r w:rsidRPr="001337A4">
        <w:rPr>
          <w:rFonts w:ascii="仿宋_GB2312" w:eastAsia="仿宋_GB2312" w:hAnsi="Times New Roman" w:cs="Times New Roman" w:hint="eastAsia"/>
          <w:sz w:val="32"/>
          <w:szCs w:val="32"/>
        </w:rPr>
        <w:t>4Ω</w:t>
      </w:r>
      <w:r w:rsidRPr="001337A4">
        <w:rPr>
          <w:rFonts w:ascii="仿宋_GB2312" w:eastAsia="仿宋_GB2312" w:hAnsi="Times New Roman" w:cs="Times New Roman" w:hint="eastAsia"/>
          <w:spacing w:val="-4"/>
          <w:sz w:val="32"/>
          <w:szCs w:val="32"/>
        </w:rPr>
        <w:t>。设备配有信</w:t>
      </w:r>
      <w:r w:rsidRPr="001337A4">
        <w:rPr>
          <w:rFonts w:ascii="仿宋_GB2312" w:eastAsia="仿宋_GB2312" w:hAnsi="Times New Roman" w:cs="Times New Roman" w:hint="eastAsia"/>
          <w:spacing w:val="-9"/>
          <w:sz w:val="32"/>
          <w:szCs w:val="32"/>
        </w:rPr>
        <w:t>号防雷设施。站房通过防雷测试，获得防雷证书。</w:t>
      </w:r>
    </w:p>
    <w:p w14:paraId="135DE4F1" w14:textId="77777777" w:rsidR="0047479E" w:rsidRPr="001337A4" w:rsidRDefault="0047479E" w:rsidP="0047479E">
      <w:pPr>
        <w:pStyle w:val="a7"/>
        <w:adjustRightInd w:val="0"/>
        <w:snapToGrid w:val="0"/>
        <w:spacing w:line="360" w:lineRule="auto"/>
        <w:ind w:left="0" w:right="243" w:firstLine="569"/>
        <w:jc w:val="both"/>
        <w:rPr>
          <w:rFonts w:ascii="仿宋_GB2312" w:eastAsia="仿宋_GB2312" w:hAnsi="Times New Roman" w:cs="Times New Roman" w:hint="eastAsia"/>
          <w:sz w:val="32"/>
          <w:szCs w:val="32"/>
        </w:rPr>
      </w:pPr>
      <w:r w:rsidRPr="001337A4">
        <w:rPr>
          <w:rFonts w:ascii="仿宋_GB2312" w:eastAsia="仿宋_GB2312" w:hAnsi="Times New Roman" w:cs="Times New Roman" w:hint="eastAsia"/>
          <w:spacing w:val="-7"/>
          <w:sz w:val="32"/>
          <w:szCs w:val="32"/>
        </w:rPr>
        <w:t>站房内配置通用型自喷式灭火器</w:t>
      </w:r>
      <w:r w:rsidRPr="001337A4">
        <w:rPr>
          <w:rFonts w:ascii="仿宋_GB2312" w:eastAsia="仿宋_GB2312" w:hAnsi="Times New Roman" w:cs="Times New Roman" w:hint="eastAsia"/>
          <w:sz w:val="32"/>
          <w:szCs w:val="32"/>
        </w:rPr>
        <w:t>1</w:t>
      </w:r>
      <w:r w:rsidRPr="001337A4">
        <w:rPr>
          <w:rFonts w:ascii="仿宋_GB2312" w:eastAsia="仿宋_GB2312" w:hAnsi="Times New Roman" w:cs="Times New Roman" w:hint="eastAsia"/>
          <w:spacing w:val="-2"/>
          <w:sz w:val="32"/>
          <w:szCs w:val="32"/>
        </w:rPr>
        <w:t>套，有效覆盖监测仪器及电源部分。</w:t>
      </w:r>
    </w:p>
    <w:p w14:paraId="1424ABFF" w14:textId="77777777" w:rsidR="0047479E" w:rsidRPr="001337A4" w:rsidRDefault="0047479E" w:rsidP="0047479E">
      <w:pPr>
        <w:pStyle w:val="a7"/>
        <w:adjustRightInd w:val="0"/>
        <w:snapToGrid w:val="0"/>
        <w:spacing w:line="360" w:lineRule="auto"/>
        <w:ind w:left="0" w:right="244" w:firstLine="569"/>
        <w:jc w:val="both"/>
        <w:rPr>
          <w:rFonts w:ascii="仿宋_GB2312" w:eastAsia="仿宋_GB2312" w:hAnsi="Times New Roman" w:cs="Times New Roman" w:hint="eastAsia"/>
          <w:sz w:val="32"/>
          <w:szCs w:val="32"/>
        </w:rPr>
      </w:pPr>
      <w:r w:rsidRPr="001337A4">
        <w:rPr>
          <w:rFonts w:ascii="仿宋_GB2312" w:eastAsia="仿宋_GB2312" w:hAnsi="Times New Roman" w:cs="Times New Roman" w:hint="eastAsia"/>
          <w:spacing w:val="-7"/>
          <w:sz w:val="32"/>
          <w:szCs w:val="32"/>
        </w:rPr>
        <w:t>站房内配置人造板覆面办公桌</w:t>
      </w:r>
      <w:r w:rsidRPr="001337A4">
        <w:rPr>
          <w:rFonts w:ascii="仿宋_GB2312" w:eastAsia="仿宋_GB2312" w:hAnsi="Times New Roman" w:cs="Times New Roman" w:hint="eastAsia"/>
          <w:sz w:val="32"/>
          <w:szCs w:val="32"/>
        </w:rPr>
        <w:t>1</w:t>
      </w:r>
      <w:r w:rsidRPr="001337A4">
        <w:rPr>
          <w:rFonts w:ascii="仿宋_GB2312" w:eastAsia="仿宋_GB2312" w:hAnsi="Times New Roman" w:cs="Times New Roman" w:hint="eastAsia"/>
          <w:spacing w:val="-4"/>
          <w:sz w:val="32"/>
          <w:szCs w:val="32"/>
        </w:rPr>
        <w:t>张，尺寸约：长</w:t>
      </w:r>
      <w:r w:rsidRPr="001337A4">
        <w:rPr>
          <w:rFonts w:ascii="仿宋_GB2312" w:eastAsia="仿宋_GB2312" w:hAnsi="Times New Roman" w:cs="Times New Roman" w:hint="eastAsia"/>
          <w:sz w:val="32"/>
          <w:szCs w:val="32"/>
        </w:rPr>
        <w:t>120mm</w:t>
      </w:r>
      <w:r w:rsidRPr="001337A4">
        <w:rPr>
          <w:rFonts w:ascii="仿宋_GB2312" w:eastAsia="仿宋_GB2312" w:hAnsi="Times New Roman" w:cs="Times New Roman" w:hint="eastAsia"/>
          <w:spacing w:val="-3"/>
          <w:sz w:val="32"/>
          <w:szCs w:val="32"/>
        </w:rPr>
        <w:t>：宽</w:t>
      </w:r>
      <w:r w:rsidRPr="001337A4">
        <w:rPr>
          <w:rFonts w:ascii="仿宋_GB2312" w:eastAsia="仿宋_GB2312" w:hAnsi="Times New Roman" w:cs="Times New Roman" w:hint="eastAsia"/>
          <w:sz w:val="32"/>
          <w:szCs w:val="32"/>
        </w:rPr>
        <w:t>500mm</w:t>
      </w:r>
      <w:r w:rsidRPr="001337A4">
        <w:rPr>
          <w:rFonts w:ascii="仿宋_GB2312" w:eastAsia="仿宋_GB2312" w:hAnsi="Times New Roman" w:cs="Times New Roman" w:hint="eastAsia"/>
          <w:spacing w:val="-18"/>
          <w:sz w:val="32"/>
          <w:szCs w:val="32"/>
        </w:rPr>
        <w:t>高</w:t>
      </w:r>
      <w:r w:rsidRPr="001337A4">
        <w:rPr>
          <w:rFonts w:ascii="仿宋_GB2312" w:eastAsia="仿宋_GB2312" w:hAnsi="Times New Roman" w:cs="Times New Roman" w:hint="eastAsia"/>
          <w:spacing w:val="-4"/>
          <w:sz w:val="32"/>
          <w:szCs w:val="32"/>
        </w:rPr>
        <w:t>700mm</w:t>
      </w:r>
      <w:r w:rsidRPr="001337A4">
        <w:rPr>
          <w:rFonts w:ascii="仿宋_GB2312" w:eastAsia="仿宋_GB2312" w:hAnsi="Times New Roman" w:cs="Times New Roman" w:hint="eastAsia"/>
          <w:spacing w:val="-14"/>
          <w:sz w:val="32"/>
          <w:szCs w:val="32"/>
        </w:rPr>
        <w:t>左右。人造板类家具办公</w:t>
      </w:r>
      <w:proofErr w:type="gramStart"/>
      <w:r w:rsidRPr="001337A4">
        <w:rPr>
          <w:rFonts w:ascii="仿宋_GB2312" w:eastAsia="仿宋_GB2312" w:hAnsi="Times New Roman" w:cs="Times New Roman" w:hint="eastAsia"/>
          <w:spacing w:val="-14"/>
          <w:sz w:val="32"/>
          <w:szCs w:val="32"/>
        </w:rPr>
        <w:t>椅</w:t>
      </w:r>
      <w:proofErr w:type="gramEnd"/>
      <w:r w:rsidRPr="001337A4">
        <w:rPr>
          <w:rFonts w:ascii="仿宋_GB2312" w:eastAsia="仿宋_GB2312" w:hAnsi="Times New Roman" w:cs="Times New Roman" w:hint="eastAsia"/>
          <w:sz w:val="32"/>
          <w:szCs w:val="32"/>
        </w:rPr>
        <w:t>3</w:t>
      </w:r>
      <w:r w:rsidRPr="001337A4">
        <w:rPr>
          <w:rFonts w:ascii="仿宋_GB2312" w:eastAsia="仿宋_GB2312" w:hAnsi="Times New Roman" w:cs="Times New Roman" w:hint="eastAsia"/>
          <w:spacing w:val="-14"/>
          <w:sz w:val="32"/>
          <w:szCs w:val="32"/>
        </w:rPr>
        <w:t>个</w:t>
      </w:r>
      <w:r w:rsidRPr="001337A4">
        <w:rPr>
          <w:rFonts w:ascii="仿宋_GB2312" w:eastAsia="仿宋_GB2312" w:hAnsi="Times New Roman" w:cs="Times New Roman" w:hint="eastAsia"/>
          <w:spacing w:val="-16"/>
          <w:sz w:val="32"/>
          <w:szCs w:val="32"/>
        </w:rPr>
        <w:t>（</w:t>
      </w:r>
      <w:r w:rsidRPr="001337A4">
        <w:rPr>
          <w:rFonts w:ascii="仿宋_GB2312" w:eastAsia="仿宋_GB2312" w:hAnsi="Times New Roman" w:cs="Times New Roman" w:hint="eastAsia"/>
          <w:spacing w:val="-13"/>
          <w:sz w:val="32"/>
          <w:szCs w:val="32"/>
        </w:rPr>
        <w:t>尺寸约：高</w:t>
      </w:r>
      <w:r w:rsidRPr="001337A4">
        <w:rPr>
          <w:rFonts w:ascii="仿宋_GB2312" w:eastAsia="仿宋_GB2312" w:hAnsi="Times New Roman" w:cs="Times New Roman" w:hint="eastAsia"/>
          <w:sz w:val="32"/>
          <w:szCs w:val="32"/>
        </w:rPr>
        <w:lastRenderedPageBreak/>
        <w:t>450</w:t>
      </w:r>
      <w:r w:rsidRPr="001337A4">
        <w:rPr>
          <w:rFonts w:ascii="仿宋_GB2312" w:eastAsia="仿宋_GB2312" w:hAnsi="Times New Roman" w:cs="Times New Roman" w:hint="eastAsia"/>
          <w:spacing w:val="-5"/>
          <w:sz w:val="32"/>
          <w:szCs w:val="32"/>
        </w:rPr>
        <w:t>mm</w:t>
      </w:r>
      <w:r w:rsidRPr="001337A4">
        <w:rPr>
          <w:rFonts w:ascii="仿宋_GB2312" w:eastAsia="仿宋_GB2312" w:hAnsi="Times New Roman" w:cs="Times New Roman" w:hint="eastAsia"/>
          <w:spacing w:val="-15"/>
          <w:sz w:val="32"/>
          <w:szCs w:val="32"/>
        </w:rPr>
        <w:t>；宽是</w:t>
      </w:r>
      <w:r w:rsidRPr="001337A4">
        <w:rPr>
          <w:rFonts w:ascii="仿宋_GB2312" w:eastAsia="仿宋_GB2312" w:hAnsi="Times New Roman" w:cs="Times New Roman" w:hint="eastAsia"/>
          <w:sz w:val="32"/>
          <w:szCs w:val="32"/>
        </w:rPr>
        <w:t>260</w:t>
      </w:r>
      <w:r w:rsidRPr="001337A4">
        <w:rPr>
          <w:rFonts w:ascii="仿宋_GB2312" w:eastAsia="仿宋_GB2312" w:hAnsi="Times New Roman" w:cs="Times New Roman" w:hint="eastAsia"/>
          <w:spacing w:val="-4"/>
          <w:sz w:val="32"/>
          <w:szCs w:val="32"/>
        </w:rPr>
        <w:t>mm</w:t>
      </w:r>
      <w:r w:rsidRPr="001337A4">
        <w:rPr>
          <w:rFonts w:ascii="仿宋_GB2312" w:eastAsia="仿宋_GB2312" w:hAnsi="Times New Roman" w:cs="Times New Roman" w:hint="eastAsia"/>
          <w:spacing w:val="-13"/>
          <w:sz w:val="32"/>
          <w:szCs w:val="32"/>
        </w:rPr>
        <w:t xml:space="preserve"> 左右）</w:t>
      </w:r>
      <w:r w:rsidRPr="001337A4">
        <w:rPr>
          <w:rFonts w:ascii="仿宋_GB2312" w:eastAsia="仿宋_GB2312" w:hAnsi="Times New Roman" w:cs="Times New Roman" w:hint="eastAsia"/>
          <w:spacing w:val="-3"/>
          <w:sz w:val="32"/>
          <w:szCs w:val="32"/>
        </w:rPr>
        <w:t>。金属档案柜</w:t>
      </w:r>
      <w:r w:rsidRPr="001337A4">
        <w:rPr>
          <w:rFonts w:ascii="仿宋_GB2312" w:eastAsia="仿宋_GB2312" w:hAnsi="Times New Roman" w:cs="Times New Roman" w:hint="eastAsia"/>
          <w:sz w:val="32"/>
          <w:szCs w:val="32"/>
        </w:rPr>
        <w:t>1</w:t>
      </w:r>
      <w:r w:rsidRPr="001337A4">
        <w:rPr>
          <w:rFonts w:ascii="仿宋_GB2312" w:eastAsia="仿宋_GB2312" w:hAnsi="Times New Roman" w:cs="Times New Roman" w:hint="eastAsia"/>
          <w:spacing w:val="1"/>
          <w:sz w:val="32"/>
          <w:szCs w:val="32"/>
        </w:rPr>
        <w:t>台：</w:t>
      </w:r>
      <w:r w:rsidRPr="001337A4">
        <w:rPr>
          <w:rFonts w:ascii="仿宋_GB2312" w:eastAsia="仿宋_GB2312" w:hAnsi="Times New Roman" w:cs="Times New Roman" w:hint="eastAsia"/>
          <w:spacing w:val="-4"/>
          <w:sz w:val="32"/>
          <w:szCs w:val="32"/>
        </w:rPr>
        <w:t>0.8mm</w:t>
      </w:r>
      <w:r w:rsidRPr="001337A4">
        <w:rPr>
          <w:rFonts w:ascii="仿宋_GB2312" w:eastAsia="仿宋_GB2312" w:hAnsi="Times New Roman" w:cs="Times New Roman" w:hint="eastAsia"/>
          <w:spacing w:val="-7"/>
          <w:sz w:val="32"/>
          <w:szCs w:val="32"/>
        </w:rPr>
        <w:t>厚度以上铁皮柜；柜上有抽屉；</w:t>
      </w:r>
      <w:r w:rsidRPr="001337A4">
        <w:rPr>
          <w:rFonts w:ascii="仿宋_GB2312" w:eastAsia="仿宋_GB2312" w:hAnsi="Times New Roman" w:cs="Times New Roman" w:hint="eastAsia"/>
          <w:sz w:val="32"/>
          <w:szCs w:val="32"/>
        </w:rPr>
        <w:t>2层</w:t>
      </w:r>
      <w:r w:rsidRPr="001337A4">
        <w:rPr>
          <w:rFonts w:ascii="仿宋_GB2312" w:eastAsia="仿宋_GB2312" w:hAnsi="Times New Roman" w:cs="Times New Roman" w:hint="eastAsia"/>
          <w:spacing w:val="-7"/>
          <w:sz w:val="32"/>
          <w:szCs w:val="32"/>
        </w:rPr>
        <w:t>柜体</w:t>
      </w:r>
      <w:r w:rsidRPr="001337A4">
        <w:rPr>
          <w:rFonts w:ascii="仿宋_GB2312" w:eastAsia="仿宋_GB2312" w:hAnsi="Times New Roman" w:cs="Times New Roman" w:hint="eastAsia"/>
          <w:sz w:val="32"/>
          <w:szCs w:val="32"/>
        </w:rPr>
        <w:t>。</w:t>
      </w:r>
    </w:p>
    <w:p w14:paraId="5DE72330" w14:textId="77777777" w:rsidR="0047479E" w:rsidRPr="001337A4" w:rsidRDefault="0047479E" w:rsidP="0047479E">
      <w:pPr>
        <w:pStyle w:val="a7"/>
        <w:adjustRightInd w:val="0"/>
        <w:snapToGrid w:val="0"/>
        <w:spacing w:line="360" w:lineRule="auto"/>
        <w:ind w:left="0" w:right="244" w:firstLine="569"/>
        <w:jc w:val="both"/>
        <w:rPr>
          <w:rFonts w:ascii="仿宋_GB2312" w:eastAsia="仿宋_GB2312" w:hAnsi="Times New Roman" w:cs="Times New Roman" w:hint="eastAsia"/>
          <w:spacing w:val="-7"/>
          <w:sz w:val="32"/>
          <w:szCs w:val="32"/>
        </w:rPr>
      </w:pPr>
      <w:r w:rsidRPr="001337A4">
        <w:rPr>
          <w:rFonts w:ascii="仿宋_GB2312" w:eastAsia="仿宋_GB2312" w:hAnsi="Times New Roman" w:cs="Times New Roman" w:hint="eastAsia"/>
          <w:spacing w:val="-7"/>
          <w:sz w:val="32"/>
          <w:szCs w:val="32"/>
        </w:rPr>
        <w:t>站房内配备适当数量的立式机柜，散热性能良好，可容纳本次采购的PM</w:t>
      </w:r>
      <w:r w:rsidRPr="001337A4">
        <w:rPr>
          <w:rFonts w:ascii="仿宋_GB2312" w:eastAsia="仿宋_GB2312" w:hAnsi="Times New Roman" w:cs="Times New Roman" w:hint="eastAsia"/>
          <w:spacing w:val="-7"/>
          <w:sz w:val="32"/>
          <w:szCs w:val="32"/>
          <w:vertAlign w:val="subscript"/>
        </w:rPr>
        <w:t>2.5</w:t>
      </w:r>
      <w:r w:rsidRPr="001337A4">
        <w:rPr>
          <w:rFonts w:ascii="仿宋_GB2312" w:eastAsia="仿宋_GB2312" w:hAnsi="Times New Roman" w:cs="Times New Roman" w:hint="eastAsia"/>
          <w:spacing w:val="-7"/>
          <w:sz w:val="32"/>
          <w:szCs w:val="32"/>
        </w:rPr>
        <w:t>、PM</w:t>
      </w:r>
      <w:r w:rsidRPr="001337A4">
        <w:rPr>
          <w:rFonts w:ascii="仿宋_GB2312" w:eastAsia="仿宋_GB2312" w:hAnsi="Times New Roman" w:cs="Times New Roman" w:hint="eastAsia"/>
          <w:spacing w:val="-7"/>
          <w:sz w:val="32"/>
          <w:szCs w:val="32"/>
          <w:vertAlign w:val="subscript"/>
        </w:rPr>
        <w:t>10</w:t>
      </w:r>
      <w:r w:rsidRPr="001337A4">
        <w:rPr>
          <w:rFonts w:ascii="仿宋_GB2312" w:eastAsia="仿宋_GB2312" w:hAnsi="Times New Roman" w:cs="Times New Roman" w:hint="eastAsia"/>
          <w:spacing w:val="-7"/>
          <w:sz w:val="32"/>
          <w:szCs w:val="32"/>
        </w:rPr>
        <w:t>分析仪、NOx、SO</w:t>
      </w:r>
      <w:r w:rsidRPr="001337A4">
        <w:rPr>
          <w:rFonts w:ascii="仿宋_GB2312" w:eastAsia="仿宋_GB2312" w:hAnsi="Times New Roman" w:cs="Times New Roman" w:hint="eastAsia"/>
          <w:spacing w:val="-7"/>
          <w:sz w:val="32"/>
          <w:szCs w:val="32"/>
          <w:vertAlign w:val="subscript"/>
        </w:rPr>
        <w:t>2</w:t>
      </w:r>
      <w:r w:rsidRPr="001337A4">
        <w:rPr>
          <w:rFonts w:ascii="仿宋_GB2312" w:eastAsia="仿宋_GB2312" w:hAnsi="Times New Roman" w:cs="Times New Roman" w:hint="eastAsia"/>
          <w:spacing w:val="-7"/>
          <w:sz w:val="32"/>
          <w:szCs w:val="32"/>
        </w:rPr>
        <w:t>、CO、O</w:t>
      </w:r>
      <w:r w:rsidRPr="001337A4">
        <w:rPr>
          <w:rFonts w:ascii="仿宋_GB2312" w:eastAsia="仿宋_GB2312" w:hAnsi="Times New Roman" w:cs="Times New Roman" w:hint="eastAsia"/>
          <w:spacing w:val="-7"/>
          <w:sz w:val="32"/>
          <w:szCs w:val="32"/>
          <w:vertAlign w:val="subscript"/>
        </w:rPr>
        <w:t>3</w:t>
      </w:r>
      <w:r w:rsidRPr="001337A4">
        <w:rPr>
          <w:rFonts w:ascii="仿宋_GB2312" w:eastAsia="仿宋_GB2312" w:hAnsi="Times New Roman" w:cs="Times New Roman" w:hint="eastAsia"/>
          <w:spacing w:val="-7"/>
          <w:sz w:val="32"/>
          <w:szCs w:val="32"/>
        </w:rPr>
        <w:t>、零气发生器、校准仪、</w:t>
      </w:r>
      <w:proofErr w:type="gramStart"/>
      <w:r w:rsidRPr="001337A4">
        <w:rPr>
          <w:rFonts w:ascii="仿宋_GB2312" w:eastAsia="仿宋_GB2312" w:hAnsi="Times New Roman" w:cs="Times New Roman" w:hint="eastAsia"/>
          <w:spacing w:val="-7"/>
          <w:sz w:val="32"/>
          <w:szCs w:val="32"/>
        </w:rPr>
        <w:t>数采仪</w:t>
      </w:r>
      <w:proofErr w:type="gramEnd"/>
      <w:r w:rsidRPr="001337A4">
        <w:rPr>
          <w:rFonts w:ascii="仿宋_GB2312" w:eastAsia="仿宋_GB2312" w:hAnsi="Times New Roman" w:cs="Times New Roman" w:hint="eastAsia"/>
          <w:spacing w:val="-7"/>
          <w:sz w:val="32"/>
          <w:szCs w:val="32"/>
        </w:rPr>
        <w:t>等仪器。</w:t>
      </w:r>
    </w:p>
    <w:p w14:paraId="073DC235" w14:textId="77777777" w:rsidR="0047479E" w:rsidRPr="001337A4" w:rsidRDefault="0047479E" w:rsidP="0047479E">
      <w:pPr>
        <w:pStyle w:val="a7"/>
        <w:adjustRightInd w:val="0"/>
        <w:snapToGrid w:val="0"/>
        <w:spacing w:line="360" w:lineRule="auto"/>
        <w:ind w:left="0" w:right="244" w:firstLine="569"/>
        <w:jc w:val="both"/>
        <w:rPr>
          <w:rFonts w:ascii="仿宋_GB2312" w:eastAsia="仿宋_GB2312" w:hAnsi="Times New Roman" w:cs="Times New Roman" w:hint="eastAsia"/>
          <w:spacing w:val="-7"/>
          <w:sz w:val="32"/>
          <w:szCs w:val="32"/>
        </w:rPr>
      </w:pPr>
      <w:r w:rsidRPr="001337A4">
        <w:rPr>
          <w:rFonts w:ascii="仿宋_GB2312" w:eastAsia="仿宋_GB2312" w:hAnsi="Times New Roman" w:cs="Times New Roman" w:hint="eastAsia"/>
          <w:spacing w:val="-7"/>
          <w:sz w:val="32"/>
          <w:szCs w:val="32"/>
        </w:rPr>
        <w:t>使用机柜情况下，机柜采用航空级导轨抽拉连接装载仪器，方便拆卸仪器与清洗仪器内部管路，机柜后侧有纵向导轨汇总各仪器的电缆线路，</w:t>
      </w:r>
      <w:r w:rsidRPr="001337A4">
        <w:rPr>
          <w:rFonts w:ascii="仿宋_GB2312" w:eastAsia="仿宋_GB2312" w:hAnsi="Times New Roman" w:cs="Times New Roman" w:hint="eastAsia"/>
          <w:spacing w:val="-16"/>
          <w:sz w:val="32"/>
          <w:szCs w:val="32"/>
        </w:rPr>
        <w:t>机柜有接地孔线，所有的连接管线、接头等应采用防腐材</w:t>
      </w:r>
      <w:r w:rsidRPr="001337A4">
        <w:rPr>
          <w:rFonts w:ascii="仿宋_GB2312" w:eastAsia="仿宋_GB2312" w:hAnsi="Times New Roman" w:cs="Times New Roman" w:hint="eastAsia"/>
          <w:spacing w:val="-14"/>
          <w:sz w:val="32"/>
          <w:szCs w:val="32"/>
        </w:rPr>
        <w:t>质，不与被测污染物发生化学反应。</w:t>
      </w:r>
    </w:p>
    <w:p w14:paraId="67500F98" w14:textId="77777777" w:rsidR="0047479E" w:rsidRPr="001337A4" w:rsidRDefault="0047479E" w:rsidP="0047479E">
      <w:pPr>
        <w:pStyle w:val="a7"/>
        <w:adjustRightInd w:val="0"/>
        <w:snapToGrid w:val="0"/>
        <w:spacing w:line="360" w:lineRule="auto"/>
        <w:ind w:left="1003" w:hanging="436"/>
        <w:rPr>
          <w:rFonts w:ascii="仿宋_GB2312" w:eastAsia="仿宋_GB2312" w:hAnsi="Times New Roman" w:cs="Times New Roman" w:hint="eastAsia"/>
          <w:sz w:val="32"/>
          <w:szCs w:val="32"/>
        </w:rPr>
      </w:pPr>
      <w:r w:rsidRPr="001337A4">
        <w:rPr>
          <w:rFonts w:ascii="仿宋_GB2312" w:eastAsia="仿宋_GB2312" w:hAnsi="Times New Roman" w:cs="Times New Roman" w:hint="eastAsia"/>
          <w:sz w:val="32"/>
          <w:szCs w:val="32"/>
        </w:rPr>
        <w:t>配备钢瓶：8L、10 公斤压力</w:t>
      </w:r>
    </w:p>
    <w:p w14:paraId="2B622EC9" w14:textId="7B207449" w:rsidR="0047479E" w:rsidRPr="001337A4" w:rsidRDefault="0047479E" w:rsidP="0047479E">
      <w:pPr>
        <w:pStyle w:val="a7"/>
        <w:adjustRightInd w:val="0"/>
        <w:snapToGrid w:val="0"/>
        <w:spacing w:line="360" w:lineRule="auto"/>
        <w:ind w:left="1003" w:hanging="436"/>
        <w:rPr>
          <w:rFonts w:ascii="仿宋_GB2312" w:eastAsia="仿宋_GB2312" w:hAnsi="Times New Roman" w:cs="Times New Roman" w:hint="eastAsia"/>
          <w:sz w:val="32"/>
          <w:szCs w:val="32"/>
        </w:rPr>
      </w:pPr>
      <w:r w:rsidRPr="001337A4">
        <w:rPr>
          <w:rFonts w:ascii="仿宋_GB2312" w:eastAsia="仿宋_GB2312" w:hAnsi="Times New Roman" w:cs="Times New Roman" w:hint="eastAsia"/>
          <w:sz w:val="32"/>
          <w:szCs w:val="32"/>
        </w:rPr>
        <w:t>减压阀：</w:t>
      </w:r>
      <w:proofErr w:type="gramStart"/>
      <w:r w:rsidRPr="001337A4">
        <w:rPr>
          <w:rFonts w:ascii="仿宋_GB2312" w:eastAsia="仿宋_GB2312" w:hAnsi="Times New Roman" w:cs="Times New Roman" w:hint="eastAsia"/>
          <w:sz w:val="32"/>
          <w:szCs w:val="32"/>
        </w:rPr>
        <w:t>耐腐型不锈钢</w:t>
      </w:r>
      <w:proofErr w:type="gramEnd"/>
      <w:r w:rsidRPr="001337A4">
        <w:rPr>
          <w:rFonts w:ascii="仿宋_GB2312" w:eastAsia="仿宋_GB2312" w:hAnsi="Times New Roman" w:cs="Times New Roman" w:hint="eastAsia"/>
          <w:sz w:val="32"/>
          <w:szCs w:val="32"/>
        </w:rPr>
        <w:t xml:space="preserve"> 316L集成相关配件，协调监测设备形成完整的工作良好的系统</w:t>
      </w:r>
    </w:p>
    <w:p w14:paraId="0D027F6B" w14:textId="77777777" w:rsidR="001337A4" w:rsidRDefault="001337A4" w:rsidP="0047479E">
      <w:pPr>
        <w:pStyle w:val="a7"/>
        <w:adjustRightInd w:val="0"/>
        <w:snapToGrid w:val="0"/>
        <w:spacing w:line="360" w:lineRule="auto"/>
        <w:ind w:left="0"/>
        <w:rPr>
          <w:rFonts w:ascii="仿宋_GB2312" w:eastAsia="仿宋_GB2312" w:hAnsi="Times New Roman" w:cs="Times New Roman"/>
          <w:sz w:val="32"/>
          <w:szCs w:val="32"/>
        </w:rPr>
      </w:pPr>
    </w:p>
    <w:p w14:paraId="0B58A668" w14:textId="77777777" w:rsidR="001337A4" w:rsidRDefault="001337A4" w:rsidP="0047479E">
      <w:pPr>
        <w:pStyle w:val="a7"/>
        <w:adjustRightInd w:val="0"/>
        <w:snapToGrid w:val="0"/>
        <w:spacing w:line="360" w:lineRule="auto"/>
        <w:ind w:left="0"/>
        <w:rPr>
          <w:rFonts w:ascii="仿宋_GB2312" w:eastAsia="仿宋_GB2312" w:hAnsi="Times New Roman" w:cs="Times New Roman"/>
          <w:sz w:val="32"/>
          <w:szCs w:val="32"/>
        </w:rPr>
      </w:pPr>
    </w:p>
    <w:p w14:paraId="5FBCC9B8" w14:textId="77777777" w:rsidR="001337A4" w:rsidRDefault="001337A4" w:rsidP="0047479E">
      <w:pPr>
        <w:pStyle w:val="a7"/>
        <w:adjustRightInd w:val="0"/>
        <w:snapToGrid w:val="0"/>
        <w:spacing w:line="360" w:lineRule="auto"/>
        <w:ind w:left="0"/>
        <w:rPr>
          <w:rFonts w:ascii="仿宋_GB2312" w:eastAsia="仿宋_GB2312" w:hAnsi="Times New Roman" w:cs="Times New Roman"/>
          <w:sz w:val="32"/>
          <w:szCs w:val="32"/>
        </w:rPr>
      </w:pPr>
    </w:p>
    <w:p w14:paraId="7F400CEB" w14:textId="77777777" w:rsidR="001337A4" w:rsidRDefault="001337A4" w:rsidP="0047479E">
      <w:pPr>
        <w:pStyle w:val="a7"/>
        <w:adjustRightInd w:val="0"/>
        <w:snapToGrid w:val="0"/>
        <w:spacing w:line="360" w:lineRule="auto"/>
        <w:ind w:left="0"/>
        <w:rPr>
          <w:rFonts w:ascii="仿宋_GB2312" w:eastAsia="仿宋_GB2312" w:hAnsi="Times New Roman" w:cs="Times New Roman"/>
          <w:sz w:val="32"/>
          <w:szCs w:val="32"/>
        </w:rPr>
      </w:pPr>
    </w:p>
    <w:p w14:paraId="49F91FF2" w14:textId="77777777" w:rsidR="001337A4" w:rsidRDefault="001337A4" w:rsidP="0047479E">
      <w:pPr>
        <w:pStyle w:val="a7"/>
        <w:adjustRightInd w:val="0"/>
        <w:snapToGrid w:val="0"/>
        <w:spacing w:line="360" w:lineRule="auto"/>
        <w:ind w:left="0"/>
        <w:rPr>
          <w:rFonts w:ascii="仿宋_GB2312" w:eastAsia="仿宋_GB2312" w:hAnsi="Times New Roman" w:cs="Times New Roman"/>
          <w:sz w:val="32"/>
          <w:szCs w:val="32"/>
        </w:rPr>
      </w:pPr>
    </w:p>
    <w:p w14:paraId="671C45AC" w14:textId="77777777" w:rsidR="001337A4" w:rsidRDefault="001337A4" w:rsidP="0047479E">
      <w:pPr>
        <w:pStyle w:val="a7"/>
        <w:adjustRightInd w:val="0"/>
        <w:snapToGrid w:val="0"/>
        <w:spacing w:line="360" w:lineRule="auto"/>
        <w:ind w:left="0"/>
        <w:rPr>
          <w:rFonts w:ascii="仿宋_GB2312" w:eastAsia="仿宋_GB2312" w:hAnsi="Times New Roman" w:cs="Times New Roman"/>
          <w:sz w:val="32"/>
          <w:szCs w:val="32"/>
        </w:rPr>
      </w:pPr>
    </w:p>
    <w:p w14:paraId="0623AAE0" w14:textId="77777777" w:rsidR="001337A4" w:rsidRDefault="001337A4" w:rsidP="0047479E">
      <w:pPr>
        <w:pStyle w:val="a7"/>
        <w:adjustRightInd w:val="0"/>
        <w:snapToGrid w:val="0"/>
        <w:spacing w:line="360" w:lineRule="auto"/>
        <w:ind w:left="0"/>
        <w:rPr>
          <w:rFonts w:ascii="仿宋_GB2312" w:eastAsia="仿宋_GB2312" w:hAnsi="Times New Roman" w:cs="Times New Roman"/>
          <w:sz w:val="32"/>
          <w:szCs w:val="32"/>
        </w:rPr>
      </w:pPr>
    </w:p>
    <w:p w14:paraId="564EA297" w14:textId="77777777" w:rsidR="001337A4" w:rsidRDefault="001337A4" w:rsidP="0047479E">
      <w:pPr>
        <w:pStyle w:val="a7"/>
        <w:adjustRightInd w:val="0"/>
        <w:snapToGrid w:val="0"/>
        <w:spacing w:line="360" w:lineRule="auto"/>
        <w:ind w:left="0"/>
        <w:rPr>
          <w:rFonts w:ascii="仿宋_GB2312" w:eastAsia="仿宋_GB2312" w:hAnsi="Times New Roman" w:cs="Times New Roman"/>
          <w:sz w:val="32"/>
          <w:szCs w:val="32"/>
        </w:rPr>
      </w:pPr>
    </w:p>
    <w:p w14:paraId="6B24BAD5" w14:textId="77777777" w:rsidR="001337A4" w:rsidRDefault="001337A4" w:rsidP="0047479E">
      <w:pPr>
        <w:pStyle w:val="a7"/>
        <w:adjustRightInd w:val="0"/>
        <w:snapToGrid w:val="0"/>
        <w:spacing w:line="360" w:lineRule="auto"/>
        <w:ind w:left="0"/>
        <w:rPr>
          <w:rFonts w:ascii="仿宋_GB2312" w:eastAsia="仿宋_GB2312" w:hAnsi="Times New Roman" w:cs="Times New Roman"/>
          <w:sz w:val="32"/>
          <w:szCs w:val="32"/>
        </w:rPr>
      </w:pPr>
    </w:p>
    <w:p w14:paraId="70A9A44B" w14:textId="21C0590B" w:rsidR="0047479E" w:rsidRDefault="0047479E" w:rsidP="0047479E">
      <w:pPr>
        <w:pStyle w:val="a7"/>
        <w:adjustRightInd w:val="0"/>
        <w:snapToGrid w:val="0"/>
        <w:spacing w:line="360" w:lineRule="auto"/>
        <w:ind w:left="0"/>
        <w:rPr>
          <w:rFonts w:ascii="Times New Roman" w:eastAsiaTheme="minorEastAsia" w:hAnsi="Times New Roman" w:cs="Times New Roman"/>
          <w:sz w:val="24"/>
          <w:szCs w:val="24"/>
        </w:rPr>
      </w:pPr>
      <w:r w:rsidRPr="001337A4">
        <w:rPr>
          <w:rFonts w:ascii="仿宋_GB2312" w:eastAsia="仿宋_GB2312" w:hAnsi="Times New Roman" w:cs="Times New Roman" w:hint="eastAsia"/>
          <w:sz w:val="32"/>
          <w:szCs w:val="32"/>
        </w:rPr>
        <w:t>站房示意图：</w:t>
      </w:r>
      <w:r w:rsidRPr="005452C9">
        <w:rPr>
          <w:rFonts w:ascii="黑体" w:eastAsia="黑体" w:hAnsi="黑体" w:cs="Times New Roman" w:hint="eastAsia"/>
          <w:b/>
          <w:noProof/>
          <w:lang w:val="en-US" w:bidi="ar-SA"/>
        </w:rPr>
        <w:lastRenderedPageBreak/>
        <w:drawing>
          <wp:inline distT="0" distB="0" distL="0" distR="0" wp14:anchorId="11665F2C" wp14:editId="1F5DDD13">
            <wp:extent cx="5505450" cy="4370537"/>
            <wp:effectExtent l="0" t="0" r="0" b="0"/>
            <wp:docPr id="1111" name="图片 1111" descr="站房布置图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站房布置图2_副本"/>
                    <pic:cNvPicPr>
                      <a:picLocks noChangeAspect="1" noChangeArrowheads="1"/>
                    </pic:cNvPicPr>
                  </pic:nvPicPr>
                  <pic:blipFill rotWithShape="1">
                    <a:blip r:embed="rId6">
                      <a:extLst>
                        <a:ext uri="{28A0092B-C50C-407E-A947-70E740481C1C}">
                          <a14:useLocalDpi xmlns:a14="http://schemas.microsoft.com/office/drawing/2010/main" val="0"/>
                        </a:ext>
                      </a:extLst>
                    </a:blip>
                    <a:srcRect l="5470" r="3932"/>
                    <a:stretch/>
                  </pic:blipFill>
                  <pic:spPr bwMode="auto">
                    <a:xfrm>
                      <a:off x="0" y="0"/>
                      <a:ext cx="5506114" cy="4371064"/>
                    </a:xfrm>
                    <a:prstGeom prst="rect">
                      <a:avLst/>
                    </a:prstGeom>
                    <a:noFill/>
                    <a:ln>
                      <a:noFill/>
                    </a:ln>
                    <a:extLst>
                      <a:ext uri="{53640926-AAD7-44D8-BBD7-CCE9431645EC}">
                        <a14:shadowObscured xmlns:a14="http://schemas.microsoft.com/office/drawing/2010/main"/>
                      </a:ext>
                    </a:extLst>
                  </pic:spPr>
                </pic:pic>
              </a:graphicData>
            </a:graphic>
          </wp:inline>
        </w:drawing>
      </w:r>
    </w:p>
    <w:p w14:paraId="3710B1D4" w14:textId="77777777" w:rsidR="0047479E" w:rsidRPr="00136C3F" w:rsidRDefault="0047479E" w:rsidP="0047479E">
      <w:r>
        <w:rPr>
          <w:noProof/>
        </w:rPr>
        <w:drawing>
          <wp:inline distT="0" distB="0" distL="0" distR="0" wp14:anchorId="6EF6DD51" wp14:editId="0F956E34">
            <wp:extent cx="2398144" cy="2423748"/>
            <wp:effectExtent l="0" t="0" r="2540" b="0"/>
            <wp:docPr id="226" name="图片 226" descr="0316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03160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7823" cy="2423424"/>
                    </a:xfrm>
                    <a:prstGeom prst="rect">
                      <a:avLst/>
                    </a:prstGeom>
                    <a:noFill/>
                    <a:ln>
                      <a:noFill/>
                    </a:ln>
                  </pic:spPr>
                </pic:pic>
              </a:graphicData>
            </a:graphic>
          </wp:inline>
        </w:drawing>
      </w:r>
      <w:r>
        <w:rPr>
          <w:noProof/>
        </w:rPr>
        <w:drawing>
          <wp:inline distT="0" distB="0" distL="0" distR="0" wp14:anchorId="72B18B71" wp14:editId="203F63FD">
            <wp:extent cx="2795144" cy="2337758"/>
            <wp:effectExtent l="0" t="0" r="5715" b="5715"/>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ONY5]1M_ZWB)BLL$2WUC.png"/>
                    <pic:cNvPicPr/>
                  </pic:nvPicPr>
                  <pic:blipFill>
                    <a:blip r:embed="rId8">
                      <a:extLst>
                        <a:ext uri="{28A0092B-C50C-407E-A947-70E740481C1C}">
                          <a14:useLocalDpi xmlns:a14="http://schemas.microsoft.com/office/drawing/2010/main" val="0"/>
                        </a:ext>
                      </a:extLst>
                    </a:blip>
                    <a:stretch>
                      <a:fillRect/>
                    </a:stretch>
                  </pic:blipFill>
                  <pic:spPr>
                    <a:xfrm>
                      <a:off x="0" y="0"/>
                      <a:ext cx="2805771" cy="2346646"/>
                    </a:xfrm>
                    <a:prstGeom prst="rect">
                      <a:avLst/>
                    </a:prstGeom>
                  </pic:spPr>
                </pic:pic>
              </a:graphicData>
            </a:graphic>
          </wp:inline>
        </w:drawing>
      </w:r>
    </w:p>
    <w:p w14:paraId="1682F11A" w14:textId="77777777" w:rsidR="0047479E" w:rsidRPr="00ED44DB" w:rsidRDefault="0047479E" w:rsidP="0047479E">
      <w:pPr>
        <w:jc w:val="center"/>
        <w:rPr>
          <w:rFonts w:ascii="Times New Roman" w:hAnsi="Times New Roman" w:cs="Times New Roman"/>
        </w:rPr>
      </w:pPr>
      <w:r w:rsidRPr="00ED44DB">
        <w:rPr>
          <w:rFonts w:ascii="Times New Roman" w:hAnsi="Times New Roman" w:cs="Times New Roman"/>
        </w:rPr>
        <w:t>站房示意图（</w:t>
      </w:r>
      <w:r w:rsidRPr="00ED44DB">
        <w:rPr>
          <w:rFonts w:ascii="Times New Roman" w:hAnsi="Times New Roman" w:cs="Times New Roman"/>
        </w:rPr>
        <w:t>3m×5m</w:t>
      </w:r>
      <w:r w:rsidRPr="00ED44DB">
        <w:rPr>
          <w:rFonts w:ascii="Times New Roman" w:hAnsi="Times New Roman" w:cs="Times New Roman"/>
        </w:rPr>
        <w:t>）</w:t>
      </w:r>
    </w:p>
    <w:p w14:paraId="3868392E" w14:textId="77777777" w:rsidR="00F6424D" w:rsidRDefault="00F6424D"/>
    <w:sectPr w:rsidR="00F6424D" w:rsidSect="001337A4">
      <w:footerReference w:type="default" r:id="rId9"/>
      <w:pgSz w:w="11906" w:h="16838"/>
      <w:pgMar w:top="1440" w:right="1800" w:bottom="1440" w:left="1800"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66F4" w14:textId="77777777" w:rsidR="00B00892" w:rsidRDefault="00B00892" w:rsidP="0047479E">
      <w:r>
        <w:separator/>
      </w:r>
    </w:p>
  </w:endnote>
  <w:endnote w:type="continuationSeparator" w:id="0">
    <w:p w14:paraId="563E6790" w14:textId="77777777" w:rsidR="00B00892" w:rsidRDefault="00B00892" w:rsidP="0047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292419"/>
      <w:docPartObj>
        <w:docPartGallery w:val="Page Numbers (Bottom of Page)"/>
        <w:docPartUnique/>
      </w:docPartObj>
    </w:sdtPr>
    <w:sdtContent>
      <w:p w14:paraId="7E357656" w14:textId="6454EF56" w:rsidR="001337A4" w:rsidRDefault="001337A4">
        <w:pPr>
          <w:pStyle w:val="a5"/>
          <w:jc w:val="center"/>
        </w:pPr>
        <w:r>
          <w:fldChar w:fldCharType="begin"/>
        </w:r>
        <w:r>
          <w:instrText>PAGE   \* MERGEFORMAT</w:instrText>
        </w:r>
        <w:r>
          <w:fldChar w:fldCharType="separate"/>
        </w:r>
        <w:r>
          <w:rPr>
            <w:lang w:val="zh-CN"/>
          </w:rPr>
          <w:t>2</w:t>
        </w:r>
        <w:r>
          <w:fldChar w:fldCharType="end"/>
        </w:r>
      </w:p>
    </w:sdtContent>
  </w:sdt>
  <w:p w14:paraId="7F9A4195" w14:textId="77777777" w:rsidR="001337A4" w:rsidRDefault="001337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509D" w14:textId="77777777" w:rsidR="00B00892" w:rsidRDefault="00B00892" w:rsidP="0047479E">
      <w:r>
        <w:separator/>
      </w:r>
    </w:p>
  </w:footnote>
  <w:footnote w:type="continuationSeparator" w:id="0">
    <w:p w14:paraId="140D8D8C" w14:textId="77777777" w:rsidR="00B00892" w:rsidRDefault="00B00892" w:rsidP="00474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9E5"/>
    <w:rsid w:val="001337A4"/>
    <w:rsid w:val="001D23C3"/>
    <w:rsid w:val="0047479E"/>
    <w:rsid w:val="004C4EDA"/>
    <w:rsid w:val="006B5F22"/>
    <w:rsid w:val="00B00892"/>
    <w:rsid w:val="00CA29E5"/>
    <w:rsid w:val="00D16F4B"/>
    <w:rsid w:val="00F6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62BAD"/>
  <w15:docId w15:val="{E85A9176-87DA-4C5C-9C37-872F0D92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79E"/>
    <w:pPr>
      <w:widowControl w:val="0"/>
      <w:jc w:val="both"/>
    </w:pPr>
  </w:style>
  <w:style w:type="paragraph" w:styleId="3">
    <w:name w:val="heading 3"/>
    <w:aliases w:val="H3,标题三,h3,level_3,PIM 3,Level 3 Head,Heading 3 - old,sect1.2.3,sect1.2.31,sect1.2.32,sect1.2.311,sect1.2.33,sect1.2.312,Bold Head,bh,L3,ISO2,3,3heading,prop3,Underrubrik2,Heading 31,Arial 12 Fett,l3,CT,Fab-3,3rd level,Heading 3 hidden,2h,第二层条,1.1.1"/>
    <w:basedOn w:val="a"/>
    <w:next w:val="a"/>
    <w:link w:val="30"/>
    <w:uiPriority w:val="9"/>
    <w:qFormat/>
    <w:rsid w:val="0047479E"/>
    <w:pPr>
      <w:autoSpaceDE w:val="0"/>
      <w:autoSpaceDN w:val="0"/>
      <w:ind w:left="282" w:hanging="962"/>
      <w:jc w:val="left"/>
      <w:outlineLvl w:val="2"/>
    </w:pPr>
    <w:rPr>
      <w:rFonts w:ascii="宋体" w:eastAsia="宋体" w:hAnsi="宋体" w:cs="宋体"/>
      <w:b/>
      <w:bCs/>
      <w:kern w:val="0"/>
      <w:sz w:val="31"/>
      <w:szCs w:val="31"/>
      <w:lang w:val="zh-CN" w:bidi="zh-CN"/>
    </w:rPr>
  </w:style>
  <w:style w:type="paragraph" w:styleId="4">
    <w:name w:val="heading 4"/>
    <w:basedOn w:val="a"/>
    <w:next w:val="a"/>
    <w:link w:val="40"/>
    <w:uiPriority w:val="9"/>
    <w:qFormat/>
    <w:rsid w:val="0047479E"/>
    <w:pPr>
      <w:autoSpaceDE w:val="0"/>
      <w:autoSpaceDN w:val="0"/>
      <w:ind w:left="838"/>
      <w:jc w:val="left"/>
      <w:outlineLvl w:val="3"/>
    </w:pPr>
    <w:rPr>
      <w:rFonts w:ascii="宋体" w:eastAsia="宋体" w:hAnsi="宋体" w:cs="宋体"/>
      <w:b/>
      <w:bCs/>
      <w:kern w:val="0"/>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7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479E"/>
    <w:rPr>
      <w:sz w:val="18"/>
      <w:szCs w:val="18"/>
    </w:rPr>
  </w:style>
  <w:style w:type="paragraph" w:styleId="a5">
    <w:name w:val="footer"/>
    <w:basedOn w:val="a"/>
    <w:link w:val="a6"/>
    <w:uiPriority w:val="99"/>
    <w:unhideWhenUsed/>
    <w:rsid w:val="0047479E"/>
    <w:pPr>
      <w:tabs>
        <w:tab w:val="center" w:pos="4153"/>
        <w:tab w:val="right" w:pos="8306"/>
      </w:tabs>
      <w:snapToGrid w:val="0"/>
      <w:jc w:val="left"/>
    </w:pPr>
    <w:rPr>
      <w:sz w:val="18"/>
      <w:szCs w:val="18"/>
    </w:rPr>
  </w:style>
  <w:style w:type="character" w:customStyle="1" w:styleId="a6">
    <w:name w:val="页脚 字符"/>
    <w:basedOn w:val="a0"/>
    <w:link w:val="a5"/>
    <w:uiPriority w:val="99"/>
    <w:rsid w:val="0047479E"/>
    <w:rPr>
      <w:sz w:val="18"/>
      <w:szCs w:val="18"/>
    </w:rPr>
  </w:style>
  <w:style w:type="character" w:customStyle="1" w:styleId="30">
    <w:name w:val="标题 3 字符"/>
    <w:aliases w:val="H3 字符,标题三 字符,h3 字符,level_3 字符,PIM 3 字符,Level 3 Head 字符,Heading 3 - old 字符,sect1.2.3 字符,sect1.2.31 字符,sect1.2.32 字符,sect1.2.311 字符,sect1.2.33 字符,sect1.2.312 字符,Bold Head 字符,bh 字符,L3 字符,ISO2 字符,3 字符,3heading 字符,prop3 字符,Underrubrik2 字符,l3 字符,CT 字符"/>
    <w:basedOn w:val="a0"/>
    <w:link w:val="3"/>
    <w:uiPriority w:val="9"/>
    <w:qFormat/>
    <w:rsid w:val="0047479E"/>
    <w:rPr>
      <w:rFonts w:ascii="宋体" w:eastAsia="宋体" w:hAnsi="宋体" w:cs="宋体"/>
      <w:b/>
      <w:bCs/>
      <w:kern w:val="0"/>
      <w:sz w:val="31"/>
      <w:szCs w:val="31"/>
      <w:lang w:val="zh-CN" w:bidi="zh-CN"/>
    </w:rPr>
  </w:style>
  <w:style w:type="character" w:customStyle="1" w:styleId="40">
    <w:name w:val="标题 4 字符"/>
    <w:basedOn w:val="a0"/>
    <w:link w:val="4"/>
    <w:uiPriority w:val="9"/>
    <w:qFormat/>
    <w:rsid w:val="0047479E"/>
    <w:rPr>
      <w:rFonts w:ascii="宋体" w:eastAsia="宋体" w:hAnsi="宋体" w:cs="宋体"/>
      <w:b/>
      <w:bCs/>
      <w:kern w:val="0"/>
      <w:sz w:val="28"/>
      <w:szCs w:val="28"/>
      <w:lang w:val="zh-CN" w:bidi="zh-CN"/>
    </w:rPr>
  </w:style>
  <w:style w:type="paragraph" w:styleId="a7">
    <w:name w:val="Body Text"/>
    <w:basedOn w:val="a"/>
    <w:link w:val="a8"/>
    <w:qFormat/>
    <w:rsid w:val="0047479E"/>
    <w:pPr>
      <w:autoSpaceDE w:val="0"/>
      <w:autoSpaceDN w:val="0"/>
      <w:ind w:left="282"/>
      <w:jc w:val="left"/>
    </w:pPr>
    <w:rPr>
      <w:rFonts w:ascii="宋体" w:eastAsia="宋体" w:hAnsi="宋体" w:cs="宋体"/>
      <w:kern w:val="0"/>
      <w:sz w:val="28"/>
      <w:szCs w:val="28"/>
      <w:lang w:val="zh-CN" w:bidi="zh-CN"/>
    </w:rPr>
  </w:style>
  <w:style w:type="character" w:customStyle="1" w:styleId="a8">
    <w:name w:val="正文文本 字符"/>
    <w:basedOn w:val="a0"/>
    <w:link w:val="a7"/>
    <w:qFormat/>
    <w:rsid w:val="0047479E"/>
    <w:rPr>
      <w:rFonts w:ascii="宋体" w:eastAsia="宋体" w:hAnsi="宋体" w:cs="宋体"/>
      <w:kern w:val="0"/>
      <w:sz w:val="28"/>
      <w:szCs w:val="28"/>
      <w:lang w:val="zh-CN" w:bidi="zh-CN"/>
    </w:rPr>
  </w:style>
  <w:style w:type="paragraph" w:styleId="a9">
    <w:name w:val="Balloon Text"/>
    <w:basedOn w:val="a"/>
    <w:link w:val="aa"/>
    <w:uiPriority w:val="99"/>
    <w:semiHidden/>
    <w:unhideWhenUsed/>
    <w:rsid w:val="0047479E"/>
    <w:rPr>
      <w:sz w:val="18"/>
      <w:szCs w:val="18"/>
    </w:rPr>
  </w:style>
  <w:style w:type="character" w:customStyle="1" w:styleId="aa">
    <w:name w:val="批注框文本 字符"/>
    <w:basedOn w:val="a0"/>
    <w:link w:val="a9"/>
    <w:uiPriority w:val="99"/>
    <w:semiHidden/>
    <w:rsid w:val="004747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明</cp:lastModifiedBy>
  <cp:revision>6</cp:revision>
  <dcterms:created xsi:type="dcterms:W3CDTF">2022-05-16T15:23:00Z</dcterms:created>
  <dcterms:modified xsi:type="dcterms:W3CDTF">2022-06-08T07:00:00Z</dcterms:modified>
</cp:coreProperties>
</file>