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746"/>
      </w:tblGrid>
      <w:tr w:rsidR="00961847" w:rsidRPr="00E62B2A" w:rsidTr="00961847">
        <w:trPr>
          <w:trHeight w:val="5250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46"/>
            </w:tblGrid>
            <w:tr w:rsidR="00961847" w:rsidRPr="00E62B2A" w:rsidTr="003A5FB9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3A5FB9" w:rsidRPr="00B14448" w:rsidRDefault="00961847" w:rsidP="00B14448">
                  <w:pPr>
                    <w:widowControl/>
                    <w:spacing w:before="100" w:beforeAutospacing="1" w:after="100" w:afterAutospacing="1" w:line="400" w:lineRule="exact"/>
                    <w:ind w:firstLineChars="200" w:firstLine="723"/>
                    <w:jc w:val="center"/>
                    <w:rPr>
                      <w:rFonts w:asciiTheme="minorEastAsia" w:hAnsiTheme="minorEastAsia" w:cs="Tahoma"/>
                      <w:b/>
                      <w:color w:val="464646"/>
                      <w:kern w:val="0"/>
                      <w:sz w:val="36"/>
                      <w:szCs w:val="30"/>
                    </w:rPr>
                  </w:pPr>
                  <w:r w:rsidRPr="00B14448">
                    <w:rPr>
                      <w:rFonts w:asciiTheme="minorEastAsia" w:hAnsiTheme="minorEastAsia" w:cs="Tahoma" w:hint="eastAsia"/>
                      <w:b/>
                      <w:color w:val="464646"/>
                      <w:kern w:val="0"/>
                      <w:sz w:val="36"/>
                      <w:szCs w:val="30"/>
                    </w:rPr>
                    <w:t>如皋市司法局201</w:t>
                  </w:r>
                  <w:r w:rsidR="00E82056" w:rsidRPr="00B14448">
                    <w:rPr>
                      <w:rFonts w:asciiTheme="minorEastAsia" w:hAnsiTheme="minorEastAsia" w:cs="Tahoma" w:hint="eastAsia"/>
                      <w:b/>
                      <w:color w:val="464646"/>
                      <w:kern w:val="0"/>
                      <w:sz w:val="36"/>
                      <w:szCs w:val="30"/>
                    </w:rPr>
                    <w:t>8</w:t>
                  </w:r>
                  <w:r w:rsidRPr="00B14448">
                    <w:rPr>
                      <w:rFonts w:asciiTheme="minorEastAsia" w:hAnsiTheme="minorEastAsia" w:cs="Tahoma" w:hint="eastAsia"/>
                      <w:b/>
                      <w:color w:val="464646"/>
                      <w:kern w:val="0"/>
                      <w:sz w:val="36"/>
                      <w:szCs w:val="30"/>
                    </w:rPr>
                    <w:t>年度政府信息公开</w:t>
                  </w:r>
                </w:p>
                <w:p w:rsidR="00961847" w:rsidRPr="00B14448" w:rsidRDefault="00961847" w:rsidP="003A6548">
                  <w:pPr>
                    <w:widowControl/>
                    <w:spacing w:before="100" w:beforeAutospacing="1" w:after="100" w:afterAutospacing="1" w:line="400" w:lineRule="exact"/>
                    <w:ind w:firstLineChars="951" w:firstLine="3437"/>
                    <w:jc w:val="left"/>
                    <w:rPr>
                      <w:rFonts w:asciiTheme="minorEastAsia" w:hAnsiTheme="minorEastAsia" w:cs="Tahoma"/>
                      <w:b/>
                      <w:color w:val="464646"/>
                      <w:kern w:val="0"/>
                      <w:sz w:val="36"/>
                      <w:szCs w:val="30"/>
                    </w:rPr>
                  </w:pPr>
                  <w:r w:rsidRPr="00B14448">
                    <w:rPr>
                      <w:rFonts w:asciiTheme="minorEastAsia" w:hAnsiTheme="minorEastAsia" w:cs="Tahoma" w:hint="eastAsia"/>
                      <w:b/>
                      <w:color w:val="464646"/>
                      <w:kern w:val="0"/>
                      <w:sz w:val="36"/>
                      <w:szCs w:val="30"/>
                    </w:rPr>
                    <w:t>工作年度报告</w:t>
                  </w:r>
                </w:p>
                <w:p w:rsidR="00961847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根据《中华人民共和国政府信息公开条例》和《如皋市政府关于</w:t>
                  </w:r>
                  <w:r w:rsidR="002F204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印发</w:t>
                  </w:r>
                  <w:r w:rsidR="00E82056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2018</w:t>
                  </w:r>
                  <w:r w:rsidR="002F204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年政务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公开工作的通知》等文件精神，结合如皋司法行政工作实际，现向社会公布如皋市司法局</w:t>
                  </w:r>
                  <w:r w:rsidR="00E82056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2018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年度政府信息公开工作年度报告。全文包括概述、主动公开政府信息情况、依申请公开政府信息办理情况以及存在的主要问题、改进措施等内容。本年报中所列数据的统计期限自</w:t>
                  </w:r>
                  <w:r w:rsidR="00E82056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2018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年1月1日起至</w:t>
                  </w:r>
                  <w:r w:rsidR="00E82056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2018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年12月31</w:t>
                  </w:r>
                  <w:r w:rsidR="00E82056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日止。本年报的电子版可以在“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如皋</w:t>
                  </w:r>
                  <w:r w:rsidR="00E82056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市人民政府政务公开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”门户网站（</w:t>
                  </w:r>
                  <w:r w:rsidR="00E82056" w:rsidRPr="00E82056"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  <w:t>http://58.221.206.209:9001/rgszwxxgk/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）下载查阅。如对本年报有任何疑问，请与市司法局政府信息公开工作领导小组联系（地址：如皋市行政中心A604，电话：0513-87655987</w:t>
                  </w:r>
                  <w:r w:rsidR="00575C54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，电子邮箱r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gsfj@163.com）。</w:t>
                  </w:r>
                </w:p>
                <w:p w:rsidR="00961847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一、概述</w:t>
                  </w:r>
                </w:p>
                <w:p w:rsidR="00E82056" w:rsidRPr="00E62B2A" w:rsidRDefault="002F2040" w:rsidP="00E82056">
                  <w:pPr>
                    <w:snapToGrid w:val="0"/>
                    <w:spacing w:line="288" w:lineRule="auto"/>
                    <w:ind w:firstLineChars="200" w:firstLine="600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一年以来，在市委、市政府的正确领导下，全市司法系统广大干部职工以</w:t>
                  </w:r>
                  <w:r w:rsidR="00E82056" w:rsidRPr="00E62B2A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党的十九大、十九届二中、三中全会精神和习近平新时代中国特色社会主义思想为指导，围绕全市打造“6.0”版如皋司法行政工作格局工作目标，以公共法律服务体系建设为统揽，主动担当，能动作为，奋力打造人民满意的服务型司法行政窗口服务格局。</w:t>
                  </w:r>
                  <w:r w:rsidR="00E82056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如皋司法局围绕服务全市大局，明确任务，依法依规做好政府信息主动公开和依申请公开工作，切实保障群众的知情权、参与权、监督权和表达权。</w:t>
                  </w:r>
                </w:p>
                <w:p w:rsidR="00961847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（一）组织领导。</w:t>
                  </w:r>
                  <w:r w:rsidR="00E82056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2018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年，市司法局紧紧围绕服务型政府建设要求，明确政府信息公开领导责任，着力健全信息公开的制度机制，调整充实政务公开工作领导小组，由党组书记、局长</w:t>
                  </w:r>
                  <w:r w:rsidR="00575C54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卢延林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任组长，分管领导</w:t>
                  </w:r>
                  <w:r w:rsidR="00575C54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陶建军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任副组长，领导小组办公室设在局政工科（行政许可科），具体负责落实政府信息公开的各项工作，政府信息公开工作纳入对各科室、处、所绩效考核的内容。</w:t>
                  </w:r>
                </w:p>
                <w:p w:rsidR="002F2040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（二）载体建设。</w:t>
                  </w:r>
                  <w:r w:rsidR="002F204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主动适应新形式，管理、维护好政务内外网门</w:t>
                  </w:r>
                  <w:r w:rsidR="002F204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lastRenderedPageBreak/>
                    <w:t>户网站，建立如皋市司法局微信公众号， 及时发布群众关心的</w:t>
                  </w:r>
                  <w:r w:rsidR="00872738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司法行政</w:t>
                  </w:r>
                  <w:r w:rsidR="002F204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信息，加强与公众的互动交流，信息推送</w:t>
                  </w:r>
                  <w:r w:rsidR="00E82056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213</w:t>
                  </w:r>
                  <w:r w:rsidR="002F204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条送达人数超过</w:t>
                  </w:r>
                  <w:r w:rsidR="00E82056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25</w:t>
                  </w:r>
                  <w:r w:rsidR="002F204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万人次，公众号答复信息</w:t>
                  </w:r>
                  <w:r w:rsidR="00E82056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五百余</w:t>
                  </w:r>
                  <w:r w:rsidR="002F204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条。规范工作流程，及时更新维护，畅通服务信息，联合相关科室推出</w:t>
                  </w:r>
                  <w:r w:rsidR="00C2468B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“江苏法网掌上公共法律服务”、</w:t>
                  </w:r>
                  <w:r w:rsidR="002F204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“以案说法”、“法律地图”、《调解面对面》等栏目，提升为民服务质效。组织</w:t>
                  </w:r>
                  <w:r w:rsidR="00C2468B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司法开放日</w:t>
                  </w:r>
                  <w:r w:rsidR="002F204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媒体见面会，主动公开工作环境，接受社会监督。</w:t>
                  </w:r>
                </w:p>
                <w:p w:rsidR="00961847" w:rsidRPr="003A5FB9" w:rsidRDefault="00961847" w:rsidP="003A5FB9">
                  <w:pPr>
                    <w:snapToGrid w:val="0"/>
                    <w:spacing w:line="400" w:lineRule="exact"/>
                    <w:ind w:firstLineChars="150" w:firstLine="450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（三）规范管理。对部分行政权力事项进行变更、新增登记，现有行政权力事项</w:t>
                  </w:r>
                  <w:r w:rsidR="00F775F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20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项，其中行政处罚</w:t>
                  </w:r>
                  <w:r w:rsidR="00F775F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5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项、</w:t>
                  </w:r>
                  <w:r w:rsidR="00F775F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行政许可4项、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行政给付</w:t>
                  </w:r>
                  <w:r w:rsidR="00F775F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2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项、行政奖励</w:t>
                  </w:r>
                  <w:r w:rsidR="00F775F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4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项、其他行政事项</w:t>
                  </w:r>
                  <w:r w:rsidR="00F775F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5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项。对每个权力事项的执法依据、服务指南、内外部流程图、廉政风险防范进行完善，对行政处罚自由裁量标准进一步细化，确保行政权力事项的合法性、完整性。在市</w:t>
                  </w:r>
                  <w:r w:rsidR="00575C54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综治</w:t>
                  </w:r>
                  <w:r w:rsidR="00F775F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中心设立司法局服务窗口，“一站式”为群众提供服务</w:t>
                  </w:r>
                  <w:r w:rsidR="00C2468B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。结合</w:t>
                  </w:r>
                  <w:r w:rsidR="00C2468B" w:rsidRPr="00E62B2A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十九大、十九届二中、三中全会精神及</w:t>
                  </w:r>
                  <w:r w:rsidR="00C2468B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学习</w:t>
                  </w:r>
                  <w:r w:rsidR="00C2468B" w:rsidRPr="00E62B2A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新时代中国特色社会主义思想</w:t>
                  </w:r>
                  <w:r w:rsidR="005A3248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及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，加强对法律服务队伍的日常教育和监管管理，严把年检注册和半年考核关，制定基层法律服务业务操作指导规程，法律服务队伍保持零违纪；推进市镇村三级公共法律服务平台建设，12348网络服务平台常态化运行，村（居）司法行政服务站基本实现全覆盖。发布法律援助墙体广告</w:t>
                  </w:r>
                  <w:r w:rsidR="00C2468B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70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幅，</w:t>
                  </w:r>
                  <w:r w:rsidR="00C2468B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2018</w:t>
                  </w:r>
                  <w:r w:rsidR="002F204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年</w:t>
                  </w:r>
                  <w:r w:rsidR="00867C0D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办理法律援助案17</w:t>
                  </w:r>
                  <w:r w:rsidR="00C2468B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78</w:t>
                  </w:r>
                  <w:r w:rsidR="00867C0D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件，办案量列</w:t>
                  </w:r>
                  <w:r w:rsidR="00C2468B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南通第一</w:t>
                  </w:r>
                  <w:r w:rsidR="00867C0D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 xml:space="preserve">。 </w:t>
                  </w:r>
                  <w:r w:rsidR="00C2468B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公共法律服务、</w:t>
                  </w:r>
                  <w:r w:rsidR="00867C0D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法律援助标准化试点建设被列为</w:t>
                  </w:r>
                  <w:r w:rsidR="00C2468B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2018</w:t>
                  </w:r>
                  <w:r w:rsidR="00867C0D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年江苏省服务业标准化试点项目</w:t>
                  </w:r>
                  <w:r w:rsidR="00C2468B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及</w:t>
                  </w:r>
                  <w:r w:rsidR="00867C0D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国家级试点项目。市公证处</w:t>
                  </w:r>
                  <w:r w:rsidR="002F204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一年</w:t>
                  </w:r>
                  <w:r w:rsidR="00867C0D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来办理各类公证</w:t>
                  </w:r>
                  <w:r w:rsidR="00C2468B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4043</w:t>
                  </w:r>
                  <w:r w:rsidR="00867C0D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件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，错证率和假证率为零。</w:t>
                  </w:r>
                  <w:r w:rsidR="00E62B2A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开展“矛盾纠纷化解突击月”专项行动、大调解宣传月主题活动，今年以来</w:t>
                  </w:r>
                  <w:r w:rsidR="00C2468B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市镇村三级调解组织排查受理调处矛盾纠纷21848</w:t>
                  </w:r>
                  <w:r w:rsidR="00E62B2A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件，</w:t>
                  </w:r>
                  <w:r w:rsidR="002F204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打造《调解面对面》品牌，今年共拍摄</w:t>
                  </w:r>
                  <w:r w:rsidR="00E62B2A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43</w:t>
                  </w:r>
                  <w:r w:rsidR="002F204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期，播出</w:t>
                  </w:r>
                  <w:r w:rsidR="00E62B2A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39</w:t>
                  </w:r>
                  <w:r w:rsidR="002F204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期。</w:t>
                  </w:r>
                </w:p>
                <w:p w:rsidR="00961847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150" w:firstLine="45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（四）学习培训。以“人人参与，全员学习，整体提高”为要求，举办系统业务培新班，组织全局人员学习《政府信息公开条例》，对经办人员进行具体操作流程培训，严格按照政府信息公开目录管理系统的操作要求，规范网上信息的发布，确保政府信息公开工作的有效进行。</w:t>
                  </w:r>
                </w:p>
                <w:p w:rsidR="00961847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250" w:firstLine="75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二、主动公开政府信息情况</w:t>
                  </w:r>
                </w:p>
                <w:p w:rsidR="00961847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lastRenderedPageBreak/>
                    <w:t>（一）主动公开政府信息的数量</w:t>
                  </w:r>
                </w:p>
                <w:p w:rsidR="00961847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本局的政府信息公开包括机构信息、公开指南、政策法规、行政许可等方面，特别是在涉及到社会关注的热点等方面，都在第一时间上网公布，极大的方便了广大人民群众。</w:t>
                  </w:r>
                  <w:r w:rsidR="00E62B2A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2018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年度，主动公开工作动态、法律法规等信息</w:t>
                  </w:r>
                  <w:r w:rsidR="00E62B2A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500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条。</w:t>
                  </w:r>
                </w:p>
                <w:p w:rsidR="00961847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（二）主动公开的途径</w:t>
                  </w:r>
                </w:p>
                <w:p w:rsidR="00961847" w:rsidRPr="003A5FB9" w:rsidRDefault="00E62B2A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包括“如皋市人民政府政务公开</w:t>
                  </w:r>
                  <w:r w:rsidR="00961847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”</w:t>
                  </w:r>
                  <w:r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专题网站</w:t>
                  </w:r>
                  <w:r w:rsidR="00961847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及政府信息、其他便民渠道公开。在通过政府信息公开平台主渠道公开信息的基础上，充分利用微博、微信、电视、报纸、以及通告栏等载体，主动公开政府信息。</w:t>
                  </w:r>
                </w:p>
                <w:p w:rsidR="00961847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三、依申请公开政府信息办理情况和不予公开政府信息情况</w:t>
                  </w:r>
                </w:p>
                <w:p w:rsidR="00961847" w:rsidRPr="003A5FB9" w:rsidRDefault="00E62B2A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2018</w:t>
                  </w:r>
                  <w:r w:rsidR="00961847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年，本局受理信息公开申请</w:t>
                  </w:r>
                  <w:r w:rsidR="005A3248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0</w:t>
                  </w:r>
                  <w:r w:rsidR="00961847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件。</w:t>
                  </w:r>
                </w:p>
                <w:p w:rsidR="00961847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四、因政府信息公开申请行政复议、提起行政诉讼和行政申诉的情况</w:t>
                  </w:r>
                </w:p>
                <w:p w:rsidR="00961847" w:rsidRPr="003A5FB9" w:rsidRDefault="005A3248" w:rsidP="003A5FB9">
                  <w:pPr>
                    <w:widowControl/>
                    <w:spacing w:before="100" w:beforeAutospacing="1" w:after="100" w:afterAutospacing="1" w:line="400" w:lineRule="exact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 xml:space="preserve"> </w:t>
                  </w:r>
                  <w:r w:rsid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 xml:space="preserve">   </w:t>
                  </w:r>
                  <w:r w:rsidR="00E62B2A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2018</w:t>
                  </w:r>
                  <w:r w:rsidR="00961847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 xml:space="preserve">年，本局因政府信息公开申请行政复议、行政诉讼和行政申诉的案件0件。　　</w:t>
                  </w:r>
                </w:p>
                <w:p w:rsidR="00961847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五、政府信息公开的收费及减免情况</w:t>
                  </w:r>
                </w:p>
                <w:p w:rsidR="00961847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本局对公民、法人和其他组织公开政府信息不收取任何费用</w:t>
                  </w:r>
                  <w:r w:rsidR="005A3248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。</w:t>
                  </w:r>
                </w:p>
                <w:p w:rsidR="00961847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六、政府信息公开工作存在的主要问题及改进措施</w:t>
                  </w:r>
                </w:p>
                <w:p w:rsidR="00961847" w:rsidRPr="003A5FB9" w:rsidRDefault="002F2040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司法局</w:t>
                  </w:r>
                  <w:r w:rsidR="00961847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认真落实政府信息公开各项工作制度，政府信息公开工作取得了明显成效，但与政府信息公开工作要求、与群众期待相比，还存在着一定差距。主要表现有：信息发布时效性有待进一步提高、公开的内容有待进一步拓宽；公开的载体有待进一步完善等。</w:t>
                  </w:r>
                  <w:r w:rsidR="005A3248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2018</w:t>
                  </w:r>
                  <w:r w:rsidR="00961847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年我局将</w:t>
                  </w:r>
                  <w:r w:rsidR="00E62B2A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借助如皋市人民政府政务公开网</w:t>
                  </w:r>
                  <w:r w:rsidR="00961847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进一步加大政府信息的公开力度，使公众充分了解司法行政工作，努力提高信息主动公开的规范性、</w:t>
                  </w:r>
                  <w:r w:rsidR="00961847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lastRenderedPageBreak/>
                    <w:t>便民性、互动性、特色性。</w:t>
                  </w:r>
                </w:p>
                <w:p w:rsidR="00961847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一是加大主动公开力度。做好</w:t>
                  </w:r>
                  <w:r w:rsidR="00E62B2A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如皋市人民政府政务公开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网</w:t>
                  </w:r>
                  <w:r w:rsidR="00E62B2A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及如皋司法局微信公众号</w:t>
                  </w: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，及时发布可向社会公开的各类信息，按规定属于主动公开的政府信息做到及时、全面主动公开。收集、整理、处理、反馈群众意见，充分发挥群众的监督作用，加强对政府信息公开真实性、有效性的监督。 二是强化整体联动。明确专人具体承办信息公开工作，强化信息公开工作责任。进一步深化信息公开的内容，积极发动全局力量，进一步建立健全信息公开审核、发布、反馈等制度，做到所公开的信息透明度高、内容涉及广，使公开的信息真正方便公众接受和利用，更好服务于社会。围绕市委、市政府重大决策部署和重点工作任务，当前经济社会发展中的热点问题，以及公众关注的本地、本部门的重点工作，制作图文并茂、内容详实的的专题报道。三是创新公开方式。在充分利用官方网站、宣传栏、报纸、电视、广播等传统公开载体的同时，积极运用信息技术手段和网络资源，创新政府信息公开的载体和形式，通过微博微信发布司法工作最新动态，为网友答题解惑，提高司法行政知晓率。</w:t>
                  </w:r>
                </w:p>
                <w:p w:rsidR="00961847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七、其他需报告的事项</w:t>
                  </w:r>
                </w:p>
                <w:p w:rsidR="00961847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我局无其他需要报告的事项。</w:t>
                  </w:r>
                </w:p>
                <w:p w:rsidR="003A5FB9" w:rsidRPr="003A5FB9" w:rsidRDefault="00961847" w:rsidP="003A5FB9">
                  <w:pPr>
                    <w:widowControl/>
                    <w:spacing w:before="100" w:beforeAutospacing="1" w:after="100" w:afterAutospacing="1"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 xml:space="preserve">                                            </w:t>
                  </w:r>
                  <w:r w:rsidR="002F204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 xml:space="preserve">              </w:t>
                  </w:r>
                  <w:r w:rsidR="00013F5F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 xml:space="preserve">   </w:t>
                  </w:r>
                </w:p>
                <w:p w:rsidR="00961847" w:rsidRPr="003A5FB9" w:rsidRDefault="005A3248" w:rsidP="003A5FB9">
                  <w:pPr>
                    <w:widowControl/>
                    <w:spacing w:before="100" w:beforeAutospacing="1" w:after="100" w:afterAutospacing="1" w:line="400" w:lineRule="exact"/>
                    <w:ind w:firstLineChars="2200" w:firstLine="6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 xml:space="preserve"> </w:t>
                  </w:r>
                  <w:r w:rsidR="00961847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如皋市司法局</w:t>
                  </w:r>
                </w:p>
                <w:p w:rsidR="00961847" w:rsidRPr="003A5FB9" w:rsidRDefault="003A5FB9" w:rsidP="003A5FB9">
                  <w:pPr>
                    <w:widowControl/>
                    <w:spacing w:before="100" w:beforeAutospacing="1" w:after="100" w:afterAutospacing="1" w:line="400" w:lineRule="exact"/>
                    <w:ind w:left="5100"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  <w:r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 xml:space="preserve">   </w:t>
                  </w:r>
                  <w:r w:rsidR="002F2040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 xml:space="preserve"> </w:t>
                  </w:r>
                  <w:r w:rsidR="00E62B2A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 xml:space="preserve"> 2019</w:t>
                  </w:r>
                  <w:r w:rsidR="00961847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年2月</w:t>
                  </w:r>
                  <w:r w:rsidR="00E62B2A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11</w:t>
                  </w:r>
                  <w:r w:rsidR="00961847" w:rsidRPr="003A5FB9">
                    <w:rPr>
                      <w:rFonts w:asciiTheme="minorEastAsia" w:hAnsiTheme="minorEastAsia" w:cs="Tahoma" w:hint="eastAsia"/>
                      <w:color w:val="464646"/>
                      <w:kern w:val="0"/>
                      <w:sz w:val="30"/>
                      <w:szCs w:val="30"/>
                    </w:rPr>
                    <w:t>日</w:t>
                  </w:r>
                </w:p>
              </w:tc>
            </w:tr>
            <w:tr w:rsidR="00961847" w:rsidRPr="00E62B2A" w:rsidTr="003A5FB9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961847" w:rsidRPr="003A5FB9" w:rsidRDefault="00961847" w:rsidP="003A5FB9">
                  <w:pPr>
                    <w:widowControl/>
                    <w:spacing w:line="400" w:lineRule="exact"/>
                    <w:ind w:firstLineChars="200" w:firstLine="600"/>
                    <w:jc w:val="left"/>
                    <w:rPr>
                      <w:rFonts w:asciiTheme="minorEastAsia" w:hAnsiTheme="minorEastAsia" w:cs="Tahoma"/>
                      <w:color w:val="464646"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 w:rsidR="00961847" w:rsidRPr="003A5FB9" w:rsidRDefault="00961847" w:rsidP="003A5FB9">
            <w:pPr>
              <w:widowControl/>
              <w:spacing w:line="400" w:lineRule="exact"/>
              <w:ind w:firstLineChars="200" w:firstLine="600"/>
              <w:jc w:val="left"/>
              <w:rPr>
                <w:rFonts w:asciiTheme="minorEastAsia" w:hAnsiTheme="minorEastAsia" w:cs="Tahoma"/>
                <w:color w:val="464646"/>
                <w:kern w:val="0"/>
                <w:sz w:val="30"/>
                <w:szCs w:val="30"/>
              </w:rPr>
            </w:pPr>
          </w:p>
        </w:tc>
      </w:tr>
    </w:tbl>
    <w:p w:rsidR="00386970" w:rsidRPr="003A5FB9" w:rsidRDefault="00386970" w:rsidP="003A5FB9">
      <w:pPr>
        <w:spacing w:line="400" w:lineRule="exact"/>
        <w:ind w:firstLineChars="200" w:firstLine="600"/>
        <w:jc w:val="left"/>
        <w:rPr>
          <w:rFonts w:asciiTheme="minorEastAsia" w:hAnsiTheme="minorEastAsia" w:cs="Tahoma"/>
          <w:color w:val="464646"/>
          <w:kern w:val="0"/>
          <w:sz w:val="30"/>
          <w:szCs w:val="30"/>
        </w:rPr>
      </w:pPr>
    </w:p>
    <w:p w:rsidR="003A6548" w:rsidRPr="003A5FB9" w:rsidRDefault="003A6548">
      <w:pPr>
        <w:spacing w:line="400" w:lineRule="exact"/>
        <w:ind w:firstLineChars="200" w:firstLine="600"/>
        <w:jc w:val="left"/>
        <w:rPr>
          <w:rFonts w:asciiTheme="minorEastAsia" w:hAnsiTheme="minorEastAsia" w:cs="Tahoma"/>
          <w:color w:val="464646"/>
          <w:kern w:val="0"/>
          <w:sz w:val="30"/>
          <w:szCs w:val="30"/>
        </w:rPr>
      </w:pPr>
    </w:p>
    <w:sectPr w:rsidR="003A6548" w:rsidRPr="003A5FB9" w:rsidSect="003A5FB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45" w:rsidRDefault="00ED2545" w:rsidP="00961847">
      <w:r>
        <w:separator/>
      </w:r>
    </w:p>
  </w:endnote>
  <w:endnote w:type="continuationSeparator" w:id="1">
    <w:p w:rsidR="00ED2545" w:rsidRDefault="00ED2545" w:rsidP="00961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45" w:rsidRDefault="00ED2545" w:rsidP="00961847">
      <w:r>
        <w:separator/>
      </w:r>
    </w:p>
  </w:footnote>
  <w:footnote w:type="continuationSeparator" w:id="1">
    <w:p w:rsidR="00ED2545" w:rsidRDefault="00ED2545" w:rsidP="00961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847"/>
    <w:rsid w:val="00013F5F"/>
    <w:rsid w:val="002F2040"/>
    <w:rsid w:val="00386970"/>
    <w:rsid w:val="003A5FB9"/>
    <w:rsid w:val="003A6548"/>
    <w:rsid w:val="004C7EA5"/>
    <w:rsid w:val="00575C54"/>
    <w:rsid w:val="005A3248"/>
    <w:rsid w:val="005E04B2"/>
    <w:rsid w:val="00797E0F"/>
    <w:rsid w:val="00845F5D"/>
    <w:rsid w:val="00867C0D"/>
    <w:rsid w:val="00872738"/>
    <w:rsid w:val="00943C41"/>
    <w:rsid w:val="00961847"/>
    <w:rsid w:val="00981F2F"/>
    <w:rsid w:val="00A96C80"/>
    <w:rsid w:val="00B14448"/>
    <w:rsid w:val="00C2468B"/>
    <w:rsid w:val="00C36307"/>
    <w:rsid w:val="00E62B2A"/>
    <w:rsid w:val="00E82056"/>
    <w:rsid w:val="00ED2545"/>
    <w:rsid w:val="00F40539"/>
    <w:rsid w:val="00F644F1"/>
    <w:rsid w:val="00F775F0"/>
    <w:rsid w:val="00FB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8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84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618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062">
          <w:marLeft w:val="0"/>
          <w:marRight w:val="0"/>
          <w:marTop w:val="0"/>
          <w:marBottom w:val="0"/>
          <w:divBdr>
            <w:top w:val="single" w:sz="6" w:space="0" w:color="DAE8F5"/>
            <w:left w:val="single" w:sz="6" w:space="0" w:color="DAE8F5"/>
            <w:bottom w:val="single" w:sz="6" w:space="11" w:color="DAE8F5"/>
            <w:right w:val="single" w:sz="6" w:space="0" w:color="DAE8F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2018-02-24T07:52:00Z</cp:lastPrinted>
  <dcterms:created xsi:type="dcterms:W3CDTF">2019-02-11T03:41:00Z</dcterms:created>
  <dcterms:modified xsi:type="dcterms:W3CDTF">2019-02-27T09:58:00Z</dcterms:modified>
</cp:coreProperties>
</file>