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150" w:line="560" w:lineRule="exact"/>
        <w:ind w:left="2497" w:leftChars="46" w:hanging="2400" w:hangingChars="600"/>
        <w:textAlignment w:val="auto"/>
        <w:outlineLvl w:val="9"/>
        <w:rPr>
          <w:rFonts w:hint="eastAsia" w:ascii="华文中宋" w:hAnsi="华文中宋" w:eastAsia="华文中宋" w:cs="宋体"/>
          <w:color w:val="333333"/>
          <w:kern w:val="0"/>
          <w:sz w:val="44"/>
          <w:szCs w:val="44"/>
        </w:rPr>
      </w:pPr>
      <w:r>
        <w:rPr>
          <w:rFonts w:hint="eastAsia" w:ascii="方正小标宋简体" w:hAnsi="宋体" w:eastAsia="方正小标宋简体" w:cs="方正小标宋简体"/>
          <w:kern w:val="2"/>
          <w:sz w:val="40"/>
          <w:szCs w:val="36"/>
          <w:lang w:eastAsia="zh-CN"/>
        </w:rPr>
        <w:t>如皋市食品小作坊登记管理品种目录（2018版）</w:t>
      </w:r>
    </w:p>
    <w:tbl>
      <w:tblPr>
        <w:tblStyle w:val="17"/>
        <w:tblW w:w="8590" w:type="dxa"/>
        <w:jc w:val="center"/>
        <w:tblCellSpacing w:w="0" w:type="dxa"/>
        <w:tblInd w:w="0" w:type="dxa"/>
        <w:tblLayout w:type="fixed"/>
        <w:tblCellMar>
          <w:top w:w="0" w:type="dxa"/>
          <w:left w:w="0" w:type="dxa"/>
          <w:bottom w:w="0" w:type="dxa"/>
          <w:right w:w="0" w:type="dxa"/>
        </w:tblCellMar>
      </w:tblPr>
      <w:tblGrid>
        <w:gridCol w:w="1343"/>
        <w:gridCol w:w="1748"/>
        <w:gridCol w:w="3289"/>
        <w:gridCol w:w="1890"/>
        <w:gridCol w:w="320"/>
      </w:tblGrid>
      <w:tr>
        <w:tblPrEx>
          <w:tblLayout w:type="fixed"/>
          <w:tblCellMar>
            <w:top w:w="0" w:type="dxa"/>
            <w:left w:w="0" w:type="dxa"/>
            <w:bottom w:w="0" w:type="dxa"/>
            <w:right w:w="0" w:type="dxa"/>
          </w:tblCellMar>
        </w:tblPrEx>
        <w:trPr>
          <w:trHeight w:val="465" w:hRule="atLeast"/>
          <w:tblHeader/>
          <w:tblCellSpacing w:w="0" w:type="dxa"/>
          <w:jc w:val="center"/>
        </w:trPr>
        <w:tc>
          <w:tcPr>
            <w:tcW w:w="1343" w:type="dxa"/>
            <w:vMerge w:val="restart"/>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 w:after="15" w:line="560" w:lineRule="exact"/>
              <w:jc w:val="both"/>
              <w:textAlignment w:val="auto"/>
              <w:outlineLvl w:val="9"/>
              <w:rPr>
                <w:rFonts w:hint="eastAsia" w:ascii="黑体" w:hAnsi="黑体" w:eastAsia="黑体" w:cs="黑体"/>
                <w:color w:val="000000"/>
                <w:kern w:val="0"/>
                <w:sz w:val="18"/>
                <w:szCs w:val="18"/>
              </w:rPr>
            </w:pPr>
            <w:r>
              <w:rPr>
                <w:rFonts w:hint="eastAsia" w:ascii="黑体" w:hAnsi="黑体" w:eastAsia="黑体" w:cs="黑体"/>
                <w:b/>
                <w:bCs/>
                <w:color w:val="000000"/>
                <w:kern w:val="0"/>
                <w:sz w:val="18"/>
                <w:szCs w:val="18"/>
              </w:rPr>
              <w:t>食品大类</w:t>
            </w:r>
          </w:p>
        </w:tc>
        <w:tc>
          <w:tcPr>
            <w:tcW w:w="1748" w:type="dxa"/>
            <w:vMerge w:val="restart"/>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 w:after="15" w:line="560" w:lineRule="exact"/>
              <w:jc w:val="both"/>
              <w:textAlignment w:val="auto"/>
              <w:outlineLvl w:val="9"/>
              <w:rPr>
                <w:rFonts w:hint="eastAsia" w:ascii="黑体" w:hAnsi="黑体" w:eastAsia="黑体" w:cs="黑体"/>
                <w:color w:val="000000"/>
                <w:kern w:val="0"/>
                <w:sz w:val="18"/>
                <w:szCs w:val="18"/>
              </w:rPr>
            </w:pPr>
            <w:r>
              <w:rPr>
                <w:rFonts w:hint="eastAsia" w:ascii="黑体" w:hAnsi="黑体" w:eastAsia="黑体" w:cs="黑体"/>
                <w:b/>
                <w:bCs/>
                <w:color w:val="000000"/>
                <w:kern w:val="0"/>
                <w:sz w:val="18"/>
                <w:szCs w:val="18"/>
              </w:rPr>
              <w:t>类别名称</w:t>
            </w:r>
          </w:p>
        </w:tc>
        <w:tc>
          <w:tcPr>
            <w:tcW w:w="3289" w:type="dxa"/>
            <w:vMerge w:val="restart"/>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 w:after="15" w:line="560" w:lineRule="exact"/>
              <w:jc w:val="both"/>
              <w:textAlignment w:val="auto"/>
              <w:outlineLvl w:val="9"/>
              <w:rPr>
                <w:rFonts w:hint="eastAsia" w:ascii="黑体" w:hAnsi="黑体" w:eastAsia="黑体" w:cs="黑体"/>
                <w:color w:val="000000"/>
                <w:kern w:val="0"/>
                <w:sz w:val="18"/>
                <w:szCs w:val="18"/>
              </w:rPr>
            </w:pPr>
            <w:r>
              <w:rPr>
                <w:rFonts w:hint="eastAsia" w:ascii="黑体" w:hAnsi="黑体" w:eastAsia="黑体" w:cs="黑体"/>
                <w:b/>
                <w:bCs/>
                <w:color w:val="000000"/>
                <w:kern w:val="0"/>
                <w:sz w:val="18"/>
                <w:szCs w:val="18"/>
              </w:rPr>
              <w:t>品种明细</w:t>
            </w:r>
          </w:p>
        </w:tc>
        <w:tc>
          <w:tcPr>
            <w:tcW w:w="1890" w:type="dxa"/>
            <w:vMerge w:val="restart"/>
            <w:tcBorders>
              <w:top w:val="single" w:color="000000" w:sz="6" w:space="0"/>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before="15" w:after="15" w:line="560" w:lineRule="exact"/>
              <w:jc w:val="both"/>
              <w:textAlignment w:val="auto"/>
              <w:outlineLvl w:val="9"/>
              <w:rPr>
                <w:rFonts w:hint="eastAsia" w:ascii="黑体" w:hAnsi="黑体" w:eastAsia="黑体" w:cs="黑体"/>
                <w:color w:val="000000"/>
                <w:kern w:val="0"/>
                <w:sz w:val="18"/>
                <w:szCs w:val="18"/>
              </w:rPr>
            </w:pPr>
            <w:r>
              <w:rPr>
                <w:rFonts w:hint="eastAsia" w:ascii="黑体" w:hAnsi="黑体" w:eastAsia="黑体" w:cs="黑体"/>
                <w:b/>
                <w:bCs/>
                <w:color w:val="000000"/>
                <w:kern w:val="0"/>
                <w:sz w:val="18"/>
                <w:szCs w:val="18"/>
              </w:rPr>
              <w:t>备注</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color w:val="000000"/>
                <w:kern w:val="0"/>
                <w:sz w:val="18"/>
                <w:szCs w:val="18"/>
              </w:rPr>
            </w:pPr>
          </w:p>
        </w:tc>
      </w:tr>
      <w:tr>
        <w:tblPrEx>
          <w:tblLayout w:type="fixed"/>
          <w:tblCellMar>
            <w:top w:w="0" w:type="dxa"/>
            <w:left w:w="0" w:type="dxa"/>
            <w:bottom w:w="0" w:type="dxa"/>
            <w:right w:w="0" w:type="dxa"/>
          </w:tblCellMar>
        </w:tblPrEx>
        <w:trPr>
          <w:trHeight w:val="315" w:hRule="atLeast"/>
          <w:tblHeader/>
          <w:tblCellSpacing w:w="0" w:type="dxa"/>
          <w:jc w:val="center"/>
        </w:trPr>
        <w:tc>
          <w:tcPr>
            <w:tcW w:w="134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color w:val="000000"/>
                <w:kern w:val="0"/>
                <w:sz w:val="18"/>
                <w:szCs w:val="18"/>
              </w:rPr>
            </w:pPr>
          </w:p>
        </w:tc>
        <w:tc>
          <w:tcPr>
            <w:tcW w:w="1748" w:type="dxa"/>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color w:val="000000"/>
                <w:kern w:val="0"/>
                <w:sz w:val="18"/>
                <w:szCs w:val="18"/>
              </w:rPr>
            </w:pPr>
          </w:p>
        </w:tc>
        <w:tc>
          <w:tcPr>
            <w:tcW w:w="3289" w:type="dxa"/>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color w:val="000000"/>
                <w:kern w:val="0"/>
                <w:sz w:val="18"/>
                <w:szCs w:val="18"/>
              </w:rPr>
            </w:pPr>
          </w:p>
        </w:tc>
        <w:tc>
          <w:tcPr>
            <w:tcW w:w="1890" w:type="dxa"/>
            <w:vMerge w:val="continue"/>
            <w:tcBorders>
              <w:top w:val="single" w:color="000000" w:sz="6" w:space="0"/>
              <w:left w:val="nil"/>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color w:val="000000"/>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color w:val="000000"/>
                <w:kern w:val="0"/>
                <w:sz w:val="18"/>
                <w:szCs w:val="18"/>
              </w:rPr>
            </w:pPr>
          </w:p>
        </w:tc>
      </w:tr>
      <w:tr>
        <w:tblPrEx>
          <w:tblLayout w:type="fixed"/>
          <w:tblCellMar>
            <w:top w:w="0" w:type="dxa"/>
            <w:left w:w="0" w:type="dxa"/>
            <w:bottom w:w="0" w:type="dxa"/>
            <w:right w:w="0" w:type="dxa"/>
          </w:tblCellMar>
        </w:tblPrEx>
        <w:trPr>
          <w:trHeight w:val="750" w:hRule="atLeast"/>
          <w:tblCellSpacing w:w="0" w:type="dxa"/>
          <w:jc w:val="center"/>
        </w:trPr>
        <w:tc>
          <w:tcPr>
            <w:tcW w:w="1343" w:type="dxa"/>
            <w:vMerge w:val="restart"/>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1、粮食加工品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1.1大米</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大米（粳米、糯米）</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生产设备应与生产许可企业功能设备一致</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690" w:hRule="atLeast"/>
          <w:tblCellSpacing w:w="0" w:type="dxa"/>
          <w:jc w:val="center"/>
        </w:trPr>
        <w:tc>
          <w:tcPr>
            <w:tcW w:w="134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1.2挂面</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普通挂面、花色挂面、手工面</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990" w:hRule="atLeast"/>
          <w:tblCellSpacing w:w="0" w:type="dxa"/>
          <w:jc w:val="center"/>
        </w:trPr>
        <w:tc>
          <w:tcPr>
            <w:tcW w:w="134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1.3谷物碾磨加工品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米粉（米线）、玉米粉、黄豆粉、红豆粉、蚕豆粉、豌豆粉、玉米碜等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840" w:hRule="atLeast"/>
          <w:tblCellSpacing w:w="0" w:type="dxa"/>
          <w:jc w:val="center"/>
        </w:trPr>
        <w:tc>
          <w:tcPr>
            <w:tcW w:w="134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1.4谷物粉类制成品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生湿面制品（含面筋）、生干面制品、米粉制品、生切面、饺子皮、馄饨皮等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840" w:hRule="atLeast"/>
          <w:tblCellSpacing w:w="0" w:type="dxa"/>
          <w:jc w:val="center"/>
        </w:trPr>
        <w:tc>
          <w:tcPr>
            <w:tcW w:w="1343" w:type="dxa"/>
            <w:vMerge w:val="continue"/>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1.5 小麦粉</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小麦粉（通用）</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包括特一粉、特二粉、标准粉、普通粉</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975" w:hRule="atLeast"/>
          <w:tblCellSpacing w:w="0" w:type="dxa"/>
          <w:jc w:val="center"/>
        </w:trPr>
        <w:tc>
          <w:tcPr>
            <w:tcW w:w="1343" w:type="dxa"/>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2、食用油、油脂及其制品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2.1食用植物油</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菜籽油、大豆油、花生油、芝麻油</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仅限半精炼</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975"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3、调味品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3.1酿造酱</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稀甜面酱、甜面酱、牛肉酱、大豆酱(黄酱)、蚕豆酱、豆瓣酱、大酱等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66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3.2调味料（半固态、固态）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香辛料粉</w:t>
            </w:r>
          </w:p>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半固态调味料（花生酱、芝麻酱、辣椒酱）、固态调味料（花椒面、香辛调味粉、辣椒粉、辣椒片）</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除酱油、食醋、味精、鸡精、酱类外的其他调味品</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885"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4、肉制品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4.1热加工熟肉制品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酱卤肉制品（含猪肉渣）、熏烧烤肉制品、预制熟肉制品、血豆腐</w:t>
            </w:r>
          </w:p>
        </w:tc>
        <w:tc>
          <w:tcPr>
            <w:tcW w:w="1890" w:type="dxa"/>
            <w:vMerge w:val="restart"/>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仅限散装或简易包装</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4.2预制调理肉制品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冷藏预制调理肉类、冷冻预制调理肉类</w:t>
            </w:r>
          </w:p>
        </w:tc>
        <w:tc>
          <w:tcPr>
            <w:tcW w:w="1890" w:type="dxa"/>
            <w:vMerge w:val="continue"/>
            <w:tcBorders>
              <w:top w:val="nil"/>
              <w:left w:val="nil"/>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55"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4.3腌腊肉制品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肉灌制品、腊肉制品</w:t>
            </w:r>
          </w:p>
        </w:tc>
        <w:tc>
          <w:tcPr>
            <w:tcW w:w="1890" w:type="dxa"/>
            <w:vMerge w:val="continue"/>
            <w:tcBorders>
              <w:top w:val="nil"/>
              <w:left w:val="nil"/>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5、酒类</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5.1黄酒</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黄酒</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5.2配制酒</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露酒、枸杞酒、枇杷酒等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5.3 啤酒</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熟啤酒、生啤酒、鲜啤酒、特种啤酒</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55"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5.4其他酒</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米酒、自酿葡萄酒、酒酿</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1343" w:type="dxa"/>
            <w:vMerge w:val="restart"/>
            <w:tcBorders>
              <w:top w:val="nil"/>
              <w:left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6、蔬菜制品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6.1酱腌菜</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腌萝卜、腌豇豆、酱渍菜、盐水渍菜、酱黄瓜、酱莴笋、糖醋大蒜、酸菜、咸菜、辣白菜、蒜泥酱等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6.2食用菌制品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干香菇、干木耳、干银耳等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6.3蔬菜干制品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刺槐花、豆角干、莲子、菱角米、鸡头米、马齿苋、茄子干、辣椒干等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包括自然干制、热风或冷冻干燥等方式生产的蔬菜制品。</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675" w:hRule="atLeast"/>
          <w:tblCellSpacing w:w="0" w:type="dxa"/>
          <w:jc w:val="center"/>
        </w:trPr>
        <w:tc>
          <w:tcPr>
            <w:tcW w:w="1343"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7、净菜</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7.1净菜</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净菜</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经混合、拼配工艺。初级农产品除外。</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8、炒货食品及坚果制品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8.1烘炒类</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炒瓜子、炒花生、炒豌豆等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55"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8.2油炸类</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油炸青豆，油炸花生米、蚕豆、琥珀、桃仁等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765"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8.3其他类</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水煮花生、糖炒花生、糖炒瓜子仁、裹衣花生、咸干花生等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65"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9、蛋制品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9.1再制蛋类</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皮蛋、咸蛋、糟蛋、卤蛋、咸蛋黄等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2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9.2热凝固蛋制品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705" w:hRule="atLeast"/>
          <w:tblCellSpacing w:w="0" w:type="dxa"/>
          <w:jc w:val="center"/>
        </w:trPr>
        <w:tc>
          <w:tcPr>
            <w:tcW w:w="1343" w:type="dxa"/>
            <w:vMerge w:val="restart"/>
            <w:tcBorders>
              <w:top w:val="nil"/>
              <w:left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10、水产品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10.1干制水产品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虾米、虾皮、干贝、鱼干、鱿鱼干、干燥裙带菜、干海带、紫菜、干海参、干鲍鱼等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非即食类</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810" w:hRule="atLeast"/>
          <w:tblCellSpacing w:w="0" w:type="dxa"/>
          <w:jc w:val="center"/>
        </w:trPr>
        <w:tc>
          <w:tcPr>
            <w:tcW w:w="1343"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10.2盐渍水产品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盐渍海带、盐渍裙带菜、盐渍海蜇皮、盐渍海蜇头、盐渍鱼等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非即食类</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55" w:hRule="atLeast"/>
          <w:tblCellSpacing w:w="0" w:type="dxa"/>
          <w:jc w:val="center"/>
        </w:trPr>
        <w:tc>
          <w:tcPr>
            <w:tcW w:w="1343"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10.3鱼糜制品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鱼丸、虾丸、墨鱼丸等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非即食类</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35" w:hRule="atLeast"/>
          <w:tblCellSpacing w:w="0" w:type="dxa"/>
          <w:jc w:val="center"/>
        </w:trPr>
        <w:tc>
          <w:tcPr>
            <w:tcW w:w="1343"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10.4水发产品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非即食类</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1343"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10.5生食水产品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醉虾、醉泥螺、醉蚶、醉螃蜞等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即食类</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35" w:hRule="atLeast"/>
          <w:tblCellSpacing w:w="0" w:type="dxa"/>
          <w:jc w:val="center"/>
        </w:trPr>
        <w:tc>
          <w:tcPr>
            <w:tcW w:w="1343" w:type="dxa"/>
            <w:vMerge w:val="continue"/>
            <w:tcBorders>
              <w:left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10.6风味熟制水产品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烤虾</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即食类</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35" w:hRule="atLeast"/>
          <w:tblCellSpacing w:w="0" w:type="dxa"/>
          <w:jc w:val="center"/>
        </w:trPr>
        <w:tc>
          <w:tcPr>
            <w:tcW w:w="1343" w:type="dxa"/>
            <w:vMerge w:val="continue"/>
            <w:tcBorders>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10.7其他水产加工品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麻虾酱</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690" w:hRule="atLeast"/>
          <w:tblCellSpacing w:w="0" w:type="dxa"/>
          <w:jc w:val="center"/>
        </w:trPr>
        <w:tc>
          <w:tcPr>
            <w:tcW w:w="1343" w:type="dxa"/>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11、淀粉及淀粉制品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11.1淀粉制品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粉丝（马铃薯淀粉、山芋粉、藕粉、葛根粉、百合粉、何首乌粉等）、粉条、粉皮</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以谷物、薯类、豆类或食用淀粉为原料制成的丝状或条状淀粉制品</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37"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12、糕点</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12.1热加工糕点</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烘烤类（含烧饼）、油炸类、蒸煮类、发酵面制品（馒头、花卷、包子、豆包、饺子、发糕、馅饼等）、油炸面制品（油条、油饼、炸糕、馓子、麻花等）、非发酵面米制品（窝头、烙饼等）、蒸煮类糕点（粽子、元宵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2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12.2冷加工糕点</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熟粉糕点、西式糕点、糕团类</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2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12.3饼干</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酥性饼干、薄脆饼干、夹心饼干、蛋圆饼干、蛋卷等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42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12.4食品馅料</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蟹黄、月饼馅料等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600"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13、蜂产品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13.1蜂蜜</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蜂蜜</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67"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13.2蜂王浆</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蜂王浆</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13.3蜂花粉</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蜂花粉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restart"/>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14、膨化食品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14.1焙烤型</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b/>
                <w:kern w:val="0"/>
                <w:sz w:val="18"/>
                <w:szCs w:val="18"/>
              </w:rPr>
            </w:pPr>
          </w:p>
        </w:tc>
      </w:tr>
      <w:tr>
        <w:tblPrEx>
          <w:tblLayout w:type="fixed"/>
          <w:tblCellMar>
            <w:top w:w="0" w:type="dxa"/>
            <w:left w:w="0" w:type="dxa"/>
            <w:bottom w:w="0" w:type="dxa"/>
            <w:right w:w="0" w:type="dxa"/>
          </w:tblCellMar>
        </w:tblPrEx>
        <w:trPr>
          <w:trHeight w:val="555"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14.2油炸型</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40" w:hRule="atLeast"/>
          <w:tblCellSpacing w:w="0" w:type="dxa"/>
          <w:jc w:val="center"/>
        </w:trPr>
        <w:tc>
          <w:tcPr>
            <w:tcW w:w="1343" w:type="dxa"/>
            <w:vMerge w:val="continue"/>
            <w:tcBorders>
              <w:top w:val="nil"/>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14.3直接挤压型</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restart"/>
            <w:tcBorders>
              <w:top w:val="nil"/>
              <w:left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15、糖果</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15.1硬质糖果</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15.2压片糖果类</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花生糖、炒米糖、芝麻糖等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18、水果制品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18.1水果干制品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葡萄干、蓝莓干</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19、速冻面米食品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19.1速冻面米食品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速冻汤圆、速冻水饺、速冻粽子等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20、膨化食品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20.1膨化食品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爆米花</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通过气流膨化工艺加工的产品</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restart"/>
            <w:tcBorders>
              <w:top w:val="single" w:color="000000" w:sz="6" w:space="0"/>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22、豆制品</w:t>
            </w: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22.1非发酵性豆制品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豆浆、豆腐、豆腐泡、熏干、豆腐脑、豆腐干、腐竹、豆腐皮、茶干、卜页、豆沙等</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570" w:hRule="atLeast"/>
          <w:tblCellSpacing w:w="0" w:type="dxa"/>
          <w:jc w:val="center"/>
        </w:trPr>
        <w:tc>
          <w:tcPr>
            <w:tcW w:w="1343" w:type="dxa"/>
            <w:vMerge w:val="continue"/>
            <w:tcBorders>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1748"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22.2发酵性豆制品</w:t>
            </w:r>
          </w:p>
        </w:tc>
        <w:tc>
          <w:tcPr>
            <w:tcW w:w="3289"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腐乳</w:t>
            </w:r>
          </w:p>
        </w:tc>
        <w:tc>
          <w:tcPr>
            <w:tcW w:w="1890" w:type="dxa"/>
            <w:tcBorders>
              <w:top w:val="nil"/>
              <w:left w:val="nil"/>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r>
        <w:tblPrEx>
          <w:tblLayout w:type="fixed"/>
          <w:tblCellMar>
            <w:top w:w="0" w:type="dxa"/>
            <w:left w:w="0" w:type="dxa"/>
            <w:bottom w:w="0" w:type="dxa"/>
            <w:right w:w="0" w:type="dxa"/>
          </w:tblCellMar>
        </w:tblPrEx>
        <w:trPr>
          <w:trHeight w:val="825" w:hRule="atLeast"/>
          <w:tblCellSpacing w:w="0" w:type="dxa"/>
          <w:jc w:val="center"/>
        </w:trPr>
        <w:tc>
          <w:tcPr>
            <w:tcW w:w="8270" w:type="dxa"/>
            <w:gridSpan w:val="4"/>
            <w:tcBorders>
              <w:top w:val="nil"/>
              <w:left w:val="single" w:color="000000" w:sz="6" w:space="0"/>
              <w:bottom w:val="single" w:color="000000" w:sz="6" w:space="0"/>
              <w:right w:val="single" w:color="000000" w:sz="6" w:space="0"/>
            </w:tcBorders>
            <w:noWrap w:val="0"/>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r>
              <w:rPr>
                <w:rFonts w:hint="eastAsia" w:ascii="仿宋" w:hAnsi="仿宋" w:eastAsia="仿宋" w:cs="仿宋"/>
                <w:kern w:val="0"/>
                <w:sz w:val="18"/>
                <w:szCs w:val="18"/>
              </w:rPr>
              <w:t>法律法规以及《产业结构调整指导目录》未禁止生产加工的其他食品</w:t>
            </w:r>
          </w:p>
        </w:tc>
        <w:tc>
          <w:tcPr>
            <w:tcW w:w="320" w:type="dxa"/>
            <w:tcBorders>
              <w:top w:val="nil"/>
              <w:left w:val="nil"/>
              <w:bottom w:val="nil"/>
              <w:right w:val="nil"/>
            </w:tcBorders>
            <w:noWrap w:val="0"/>
            <w:tcMar>
              <w:top w:w="0" w:type="dxa"/>
              <w:left w:w="150" w:type="dxa"/>
              <w:bottom w:w="0" w:type="dxa"/>
              <w:right w:w="150"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both"/>
              <w:textAlignment w:val="auto"/>
              <w:outlineLvl w:val="9"/>
              <w:rPr>
                <w:rFonts w:hint="eastAsia" w:ascii="仿宋" w:hAnsi="仿宋" w:eastAsia="仿宋" w:cs="仿宋"/>
                <w:kern w:val="0"/>
                <w:sz w:val="18"/>
                <w:szCs w:val="18"/>
              </w:rPr>
            </w:pPr>
          </w:p>
        </w:tc>
      </w:tr>
    </w:tbl>
    <w:p>
      <w:pPr>
        <w:keepNext w:val="0"/>
        <w:keepLines w:val="0"/>
        <w:pageBreakBefore w:val="0"/>
        <w:widowControl/>
        <w:numPr>
          <w:ilvl w:val="0"/>
          <w:numId w:val="0"/>
        </w:numPr>
        <w:kinsoku/>
        <w:wordWrap/>
        <w:overflowPunct/>
        <w:topLinePunct w:val="0"/>
        <w:autoSpaceDE/>
        <w:autoSpaceDN/>
        <w:bidi w:val="0"/>
        <w:adjustRightInd/>
        <w:snapToGrid/>
        <w:spacing w:before="15" w:after="15" w:line="300" w:lineRule="exact"/>
        <w:textAlignment w:val="auto"/>
        <w:outlineLvl w:val="9"/>
        <w:rPr>
          <w:rFonts w:hint="eastAsia" w:ascii="仿宋" w:hAnsi="仿宋" w:eastAsia="仿宋" w:cs="仿宋"/>
          <w:b/>
          <w:bCs/>
          <w:kern w:val="0"/>
          <w:lang w:val="en-US" w:eastAsia="zh-CN"/>
        </w:rPr>
      </w:pPr>
      <w:r>
        <w:rPr>
          <w:rFonts w:hint="eastAsia" w:ascii="仿宋" w:hAnsi="仿宋" w:eastAsia="仿宋" w:cs="仿宋"/>
          <w:b/>
          <w:bCs/>
          <w:kern w:val="0"/>
        </w:rPr>
        <w:t>备 注</w:t>
      </w:r>
      <w:r>
        <w:rPr>
          <w:rFonts w:hint="eastAsia" w:ascii="仿宋" w:hAnsi="仿宋" w:eastAsia="仿宋" w:cs="仿宋"/>
          <w:b/>
          <w:bCs/>
          <w:kern w:val="0"/>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after="15" w:line="480" w:lineRule="exact"/>
        <w:ind w:firstLine="420" w:firstLineChars="200"/>
        <w:textAlignment w:val="auto"/>
        <w:outlineLvl w:val="9"/>
        <w:rPr>
          <w:rFonts w:hint="eastAsia" w:ascii="仿宋" w:hAnsi="仿宋" w:eastAsia="仿宋" w:cs="仿宋"/>
          <w:kern w:val="0"/>
          <w:szCs w:val="21"/>
        </w:rPr>
      </w:pPr>
      <w:r>
        <w:rPr>
          <w:rFonts w:hint="eastAsia" w:ascii="仿宋" w:hAnsi="仿宋" w:eastAsia="仿宋" w:cs="仿宋"/>
          <w:kern w:val="0"/>
          <w:szCs w:val="21"/>
        </w:rPr>
        <w:t>1.食品小作坊应当依据《江苏省食品小作坊和食品摊贩管理条例》的规定取得《食品小作坊登记证》后，方可生产经营食品。</w:t>
      </w:r>
    </w:p>
    <w:p>
      <w:pPr>
        <w:keepNext w:val="0"/>
        <w:keepLines w:val="0"/>
        <w:pageBreakBefore w:val="0"/>
        <w:widowControl/>
        <w:numPr>
          <w:ilvl w:val="0"/>
          <w:numId w:val="0"/>
        </w:numPr>
        <w:kinsoku/>
        <w:wordWrap/>
        <w:overflowPunct/>
        <w:topLinePunct w:val="0"/>
        <w:autoSpaceDE/>
        <w:autoSpaceDN/>
        <w:bidi w:val="0"/>
        <w:adjustRightInd/>
        <w:snapToGrid/>
        <w:spacing w:after="15" w:line="480" w:lineRule="exact"/>
        <w:ind w:firstLine="420" w:firstLineChars="200"/>
        <w:textAlignment w:val="auto"/>
        <w:outlineLvl w:val="9"/>
        <w:rPr>
          <w:rFonts w:hint="eastAsia" w:ascii="仿宋" w:hAnsi="仿宋" w:eastAsia="仿宋" w:cs="仿宋"/>
          <w:kern w:val="0"/>
          <w:szCs w:val="21"/>
        </w:rPr>
      </w:pPr>
      <w:r>
        <w:rPr>
          <w:rFonts w:hint="eastAsia" w:ascii="仿宋" w:hAnsi="仿宋" w:eastAsia="仿宋" w:cs="仿宋"/>
          <w:kern w:val="0"/>
          <w:szCs w:val="21"/>
        </w:rPr>
        <w:t>2.单位或个人办理营业执照后方可申请食品小作坊登记管理。</w:t>
      </w:r>
    </w:p>
    <w:p>
      <w:pPr>
        <w:keepNext w:val="0"/>
        <w:keepLines w:val="0"/>
        <w:pageBreakBefore w:val="0"/>
        <w:widowControl/>
        <w:numPr>
          <w:ilvl w:val="0"/>
          <w:numId w:val="0"/>
        </w:numPr>
        <w:kinsoku/>
        <w:wordWrap/>
        <w:overflowPunct/>
        <w:topLinePunct w:val="0"/>
        <w:autoSpaceDE/>
        <w:autoSpaceDN/>
        <w:bidi w:val="0"/>
        <w:adjustRightInd/>
        <w:snapToGrid/>
        <w:spacing w:after="15" w:line="480" w:lineRule="exact"/>
        <w:ind w:firstLine="420" w:firstLineChars="200"/>
        <w:textAlignment w:val="auto"/>
        <w:outlineLvl w:val="9"/>
        <w:rPr>
          <w:rFonts w:hint="eastAsia" w:ascii="仿宋" w:hAnsi="仿宋" w:eastAsia="仿宋" w:cs="仿宋"/>
          <w:kern w:val="0"/>
          <w:szCs w:val="21"/>
        </w:rPr>
      </w:pPr>
      <w:r>
        <w:rPr>
          <w:rFonts w:hint="eastAsia" w:ascii="仿宋" w:hAnsi="仿宋" w:eastAsia="仿宋" w:cs="仿宋"/>
          <w:kern w:val="0"/>
          <w:szCs w:val="21"/>
        </w:rPr>
        <w:t>3.食品小作坊应当在登记的食品品种范围内按照相应的食品安全标准和规范从事食品生产加工活动，不得超范围。</w:t>
      </w:r>
    </w:p>
    <w:p>
      <w:pPr>
        <w:keepNext w:val="0"/>
        <w:keepLines w:val="0"/>
        <w:pageBreakBefore w:val="0"/>
        <w:widowControl/>
        <w:numPr>
          <w:ilvl w:val="0"/>
          <w:numId w:val="0"/>
        </w:numPr>
        <w:kinsoku/>
        <w:wordWrap/>
        <w:overflowPunct/>
        <w:topLinePunct w:val="0"/>
        <w:autoSpaceDE/>
        <w:autoSpaceDN/>
        <w:bidi w:val="0"/>
        <w:adjustRightInd/>
        <w:snapToGrid/>
        <w:spacing w:line="480" w:lineRule="exact"/>
        <w:ind w:firstLine="420" w:firstLineChars="200"/>
        <w:textAlignment w:val="auto"/>
        <w:outlineLvl w:val="9"/>
        <w:rPr>
          <w:rFonts w:hint="eastAsia" w:ascii="仿宋" w:hAnsi="仿宋" w:eastAsia="仿宋" w:cs="仿宋"/>
          <w:color w:val="333333"/>
          <w:kern w:val="0"/>
          <w:szCs w:val="21"/>
        </w:rPr>
      </w:pPr>
      <w:r>
        <w:rPr>
          <w:rFonts w:hint="eastAsia" w:ascii="仿宋" w:hAnsi="仿宋" w:eastAsia="仿宋" w:cs="仿宋"/>
          <w:kern w:val="0"/>
          <w:szCs w:val="21"/>
        </w:rPr>
        <w:t>4.食品小作坊不得接受食品生产企业和其他食品小作坊</w:t>
      </w:r>
      <w:r>
        <w:rPr>
          <w:rFonts w:hint="eastAsia" w:ascii="仿宋" w:hAnsi="仿宋" w:eastAsia="仿宋" w:cs="仿宋"/>
          <w:color w:val="333333"/>
          <w:kern w:val="0"/>
          <w:szCs w:val="21"/>
        </w:rPr>
        <w:t>的委托生产加工或者分装食品。</w:t>
      </w:r>
    </w:p>
    <w:p>
      <w:bookmarkStart w:id="0" w:name="_GoBack"/>
      <w:bookmarkEnd w:id="0"/>
    </w:p>
    <w:sectPr>
      <w:footerReference r:id="rId3" w:type="default"/>
      <w:pgSz w:w="11906" w:h="16838"/>
      <w:pgMar w:top="1814" w:right="1531" w:bottom="1701"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Style w:val="2"/>
                      <w:jc w:val="center"/>
                    </w:pPr>
                    <w:r>
                      <w:rPr>
                        <w:sz w:val="24"/>
                        <w:szCs w:val="24"/>
                      </w:rPr>
                      <w:t>—</w:t>
                    </w:r>
                    <w:r>
                      <w:rPr>
                        <w:rFonts w:hint="eastAsia"/>
                        <w:sz w:val="24"/>
                        <w:szCs w:val="24"/>
                        <w:lang w:val="en-US" w:eastAsia="zh-CN"/>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r>
                      <w:rPr>
                        <w:rFonts w:hint="eastAsia"/>
                        <w:sz w:val="24"/>
                        <w:szCs w:val="24"/>
                        <w:lang w:val="en-US" w:eastAsia="zh-CN"/>
                      </w:rPr>
                      <w:t xml:space="preserve"> </w:t>
                    </w:r>
                    <w:r>
                      <w:rPr>
                        <w:sz w:val="24"/>
                        <w:szCs w:val="24"/>
                      </w:rPr>
                      <w:t>—</w:t>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F01F1B"/>
    <w:rsid w:val="0268263F"/>
    <w:rsid w:val="08706B98"/>
    <w:rsid w:val="09446874"/>
    <w:rsid w:val="0C2D56C2"/>
    <w:rsid w:val="0CCA14A0"/>
    <w:rsid w:val="0F3C5CC9"/>
    <w:rsid w:val="112D5ACA"/>
    <w:rsid w:val="11BC0C5F"/>
    <w:rsid w:val="1CA333EC"/>
    <w:rsid w:val="21B574E0"/>
    <w:rsid w:val="22C048EE"/>
    <w:rsid w:val="24DB1742"/>
    <w:rsid w:val="26AF22DC"/>
    <w:rsid w:val="2C680AC9"/>
    <w:rsid w:val="3139777C"/>
    <w:rsid w:val="327B37C7"/>
    <w:rsid w:val="34877258"/>
    <w:rsid w:val="35CF7F93"/>
    <w:rsid w:val="37281674"/>
    <w:rsid w:val="396137EC"/>
    <w:rsid w:val="3A20671E"/>
    <w:rsid w:val="3BF67AFC"/>
    <w:rsid w:val="4986171D"/>
    <w:rsid w:val="4AF01F1B"/>
    <w:rsid w:val="55FF425C"/>
    <w:rsid w:val="5A54368A"/>
    <w:rsid w:val="5B605274"/>
    <w:rsid w:val="5BBB4AAD"/>
    <w:rsid w:val="63EE4CF3"/>
    <w:rsid w:val="6CC1336D"/>
    <w:rsid w:val="6D535020"/>
    <w:rsid w:val="6FF17555"/>
    <w:rsid w:val="6FFC63A1"/>
    <w:rsid w:val="704F67A8"/>
    <w:rsid w:val="7A3E3D50"/>
    <w:rsid w:val="7FBF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page number"/>
    <w:basedOn w:val="5"/>
    <w:qFormat/>
    <w:uiPriority w:val="0"/>
  </w:style>
  <w:style w:type="character" w:styleId="8">
    <w:name w:val="FollowedHyperlink"/>
    <w:basedOn w:val="5"/>
    <w:qFormat/>
    <w:uiPriority w:val="0"/>
    <w:rPr>
      <w:color w:val="000000"/>
      <w:u w:val="none"/>
    </w:rPr>
  </w:style>
  <w:style w:type="character" w:styleId="9">
    <w:name w:val="Emphasis"/>
    <w:basedOn w:val="5"/>
    <w:qFormat/>
    <w:uiPriority w:val="0"/>
  </w:style>
  <w:style w:type="character" w:styleId="10">
    <w:name w:val="HTML Definition"/>
    <w:basedOn w:val="5"/>
    <w:qFormat/>
    <w:uiPriority w:val="0"/>
  </w:style>
  <w:style w:type="character" w:styleId="11">
    <w:name w:val="HTML Variable"/>
    <w:basedOn w:val="5"/>
    <w:qFormat/>
    <w:uiPriority w:val="0"/>
  </w:style>
  <w:style w:type="character" w:styleId="12">
    <w:name w:val="Hyperlink"/>
    <w:basedOn w:val="5"/>
    <w:qFormat/>
    <w:uiPriority w:val="0"/>
    <w:rPr>
      <w:color w:val="000000"/>
      <w:u w:val="none"/>
    </w:rPr>
  </w:style>
  <w:style w:type="character" w:styleId="13">
    <w:name w:val="HTML Code"/>
    <w:basedOn w:val="5"/>
    <w:qFormat/>
    <w:uiPriority w:val="0"/>
    <w:rPr>
      <w:rFonts w:hint="default" w:ascii="Courier New" w:hAnsi="Courier New" w:eastAsia="Courier New" w:cs="Courier New"/>
      <w:sz w:val="20"/>
    </w:rPr>
  </w:style>
  <w:style w:type="character" w:styleId="14">
    <w:name w:val="HTML Cite"/>
    <w:basedOn w:val="5"/>
    <w:qFormat/>
    <w:uiPriority w:val="0"/>
  </w:style>
  <w:style w:type="character" w:styleId="15">
    <w:name w:val="HTML Keyboard"/>
    <w:basedOn w:val="5"/>
    <w:qFormat/>
    <w:uiPriority w:val="0"/>
    <w:rPr>
      <w:rFonts w:hint="default" w:ascii="Courier New" w:hAnsi="Courier New" w:eastAsia="Courier New" w:cs="Courier New"/>
      <w:sz w:val="20"/>
    </w:rPr>
  </w:style>
  <w:style w:type="character" w:styleId="16">
    <w:name w:val="HTML Sample"/>
    <w:basedOn w:val="5"/>
    <w:qFormat/>
    <w:uiPriority w:val="0"/>
    <w:rPr>
      <w:rFonts w:ascii="Courier New" w:hAnsi="Courier New" w:eastAsia="Courier New" w:cs="Courier New"/>
    </w:rPr>
  </w:style>
  <w:style w:type="table" w:styleId="18">
    <w:name w:val="Table Grid"/>
    <w:basedOn w:val="17"/>
    <w:qFormat/>
    <w:uiPriority w:val="0"/>
    <w:pPr>
      <w:widowControl w:val="0"/>
      <w:autoSpaceDE w:val="0"/>
      <w:autoSpaceDN w:val="0"/>
      <w:snapToGrid w:val="0"/>
      <w:spacing w:line="590" w:lineRule="atLeast"/>
      <w:ind w:firstLine="624"/>
      <w:jc w:val="both"/>
    </w:pPr>
    <w:rPr>
      <w:rFonts w:ascii="Times New Roman" w:hAnsi="Times New Roman" w:eastAsia="方正黑体_GBK"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9">
    <w:name w:val="hao"/>
    <w:basedOn w:val="5"/>
    <w:qFormat/>
    <w:uiPriority w:val="0"/>
  </w:style>
  <w:style w:type="paragraph" w:customStyle="1" w:styleId="20">
    <w:name w:val="线型"/>
    <w:basedOn w:val="21"/>
    <w:qFormat/>
    <w:uiPriority w:val="0"/>
    <w:pPr>
      <w:spacing w:line="240" w:lineRule="auto"/>
      <w:ind w:left="0" w:firstLine="0"/>
      <w:jc w:val="center"/>
    </w:pPr>
    <w:rPr>
      <w:sz w:val="21"/>
    </w:rPr>
  </w:style>
  <w:style w:type="paragraph" w:customStyle="1" w:styleId="21">
    <w:name w:val="抄送栏"/>
    <w:basedOn w:val="1"/>
    <w:qFormat/>
    <w:uiPriority w:val="0"/>
    <w:pPr>
      <w:adjustRightInd w:val="0"/>
      <w:snapToGrid/>
      <w:spacing w:line="454" w:lineRule="atLeast"/>
      <w:ind w:left="1310" w:right="357" w:hanging="953"/>
    </w:pPr>
  </w:style>
  <w:style w:type="paragraph" w:customStyle="1" w:styleId="22">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394</Words>
  <Characters>654</Characters>
  <Lines>0</Lines>
  <Paragraphs>0</Paragraphs>
  <TotalTime>0</TotalTime>
  <ScaleCrop>false</ScaleCrop>
  <LinksUpToDate>false</LinksUpToDate>
  <CharactersWithSpaces>671</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2018-08-27T03:20:00Z</dcterms:created>
  <dc:creator>lenovo</dc:creator>
  <cp:lastModifiedBy>lenovo</cp:lastModifiedBy>
  <dcterms:modified xsi:type="dcterms:W3CDTF">2018-12-19T01:02:21Z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