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right"/>
      </w:pPr>
      <w:r>
        <w:pict>
          <v:shape id="文本框 15" o:spid="_x0000_s1026" o:spt="202" type="#_x0000_t202" style="position:absolute;left:0pt;margin-left:77.95pt;margin-top:6.4pt;height:97.65pt;width:439.35pt;mso-position-horizontal-relative:page;mso-position-vertical-relative:margin;z-index:251656192;mso-width-relative:page;mso-height-relative:page;" filled="f" stroked="f" coordsize="21600,21600">
            <v:path/>
            <v:fill on="f" focussize="0,0"/>
            <v:stroke on="f"/>
            <v:imagedata o:title=""/>
            <o:lock v:ext="edit" aspectratio="f"/>
            <v:textbox inset="0mm,0mm,0mm,0mm">
              <w:txbxContent>
                <w:p>
                  <w:pPr>
                    <w:rPr>
                      <w:rFonts w:ascii="方正小标宋简体" w:eastAsia="方正小标宋简体"/>
                      <w:color w:val="FF0000"/>
                      <w:spacing w:val="60"/>
                      <w:w w:val="66"/>
                      <w:sz w:val="130"/>
                      <w:szCs w:val="122"/>
                    </w:rPr>
                  </w:pPr>
                  <w:r>
                    <w:rPr>
                      <w:rFonts w:hint="eastAsia" w:ascii="方正小标宋简体" w:eastAsia="方正小标宋简体"/>
                      <w:color w:val="FF0000"/>
                      <w:w w:val="55"/>
                      <w:sz w:val="130"/>
                      <w:szCs w:val="130"/>
                    </w:rPr>
                    <w:t>如皋市人民政府办公室文件</w:t>
                  </w:r>
                </w:p>
              </w:txbxContent>
            </v:textbox>
          </v:shape>
        </w:pict>
      </w:r>
    </w:p>
    <w:p>
      <w:pPr>
        <w:spacing w:line="520" w:lineRule="exact"/>
        <w:jc w:val="right"/>
      </w:pPr>
    </w:p>
    <w:p>
      <w:pPr>
        <w:spacing w:line="520" w:lineRule="exact"/>
        <w:jc w:val="right"/>
      </w:pPr>
    </w:p>
    <w:p>
      <w:pPr>
        <w:spacing w:line="520" w:lineRule="exact"/>
        <w:jc w:val="right"/>
      </w:pPr>
    </w:p>
    <w:p>
      <w:pPr>
        <w:spacing w:line="520" w:lineRule="exact"/>
        <w:jc w:val="right"/>
      </w:pPr>
    </w:p>
    <w:p>
      <w:pPr>
        <w:spacing w:line="520" w:lineRule="exact"/>
        <w:jc w:val="right"/>
      </w:pPr>
    </w:p>
    <w:p>
      <w:pPr>
        <w:spacing w:line="0" w:lineRule="atLeast"/>
        <w:ind w:firstLine="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皋政办</w:t>
      </w:r>
      <w:r>
        <w:rPr>
          <w:rFonts w:hint="eastAsia" w:ascii="Times New Roman" w:hAnsi="Times New Roman" w:eastAsia="仿宋_GB2312" w:cs="Times New Roman"/>
          <w:sz w:val="32"/>
          <w:szCs w:val="32"/>
          <w:lang w:val="en-US" w:eastAsia="zh-CN"/>
        </w:rPr>
        <w:t>规</w:t>
      </w:r>
      <w:r>
        <w:rPr>
          <w:rFonts w:hint="default"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w:t>
      </w:r>
      <w:r>
        <w:rPr>
          <w:rFonts w:hint="eastAsia" w:ascii="Times New Roman" w:hAnsi="Times New Roman" w:cs="Times New Roman"/>
          <w:sz w:val="32"/>
          <w:szCs w:val="32"/>
          <w:lang w:val="en-US" w:eastAsia="zh-CN"/>
        </w:rPr>
        <w:t>3</w:t>
      </w:r>
      <w:r>
        <w:rPr>
          <w:rFonts w:hint="default" w:ascii="Times New Roman" w:hAnsi="Times New Roman" w:eastAsia="仿宋_GB2312" w:cs="Times New Roman"/>
          <w:sz w:val="32"/>
          <w:szCs w:val="32"/>
        </w:rPr>
        <w:t>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rPr>
      </w:pPr>
      <w:r>
        <w:rPr>
          <w:rFonts w:eastAsia="方正小标宋简体"/>
          <w:sz w:val="44"/>
          <w:szCs w:val="44"/>
        </w:rPr>
        <w:pict>
          <v:line id="直线 17" o:spid="_x0000_s1027" o:spt="20" style="position:absolute;left:0pt;margin-left:74.3pt;margin-top:192.2pt;height:0pt;width:439.35pt;mso-position-horizontal-relative:page;mso-position-vertical-relative:margin;z-index:251657216;mso-width-relative:page;mso-height-relative:page;" stroked="t" coordsize="21600,21600">
            <v:path arrowok="t"/>
            <v:fill focussize="0,0"/>
            <v:stroke weight="2.25pt" color="#FF0000"/>
            <v:imagedata o:title=""/>
            <o:lock v:ext="edit"/>
          </v:line>
        </w:pic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市政府办公室</w:t>
      </w:r>
      <w:bookmarkStart w:id="2" w:name="_GoBack"/>
      <w:bookmarkEnd w:id="2"/>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关于印发《关于进一步规范国有资金投资工程建设项目招标投标监管工作的实施意见》</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的通知</w:t>
      </w:r>
    </w:p>
    <w:p>
      <w:pPr>
        <w:spacing w:line="560" w:lineRule="exact"/>
        <w:rPr>
          <w:rFonts w:hint="eastAsia"/>
          <w:b w:val="0"/>
          <w:bCs w:val="0"/>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hAnsi="仿宋_GB2312" w:cs="仿宋_GB2312"/>
          <w:b w:val="0"/>
          <w:bCs w:val="0"/>
        </w:rPr>
      </w:pPr>
      <w:r>
        <w:rPr>
          <w:rFonts w:hint="eastAsia" w:hAnsi="仿宋_GB2312" w:cs="仿宋_GB2312"/>
          <w:b w:val="0"/>
          <w:bCs w:val="0"/>
        </w:rPr>
        <w:t>各镇（区、街道）人民政府（管委会、办事处），市各有关部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hAnsi="仿宋_GB2312" w:cs="仿宋_GB2312"/>
          <w:b w:val="0"/>
          <w:bCs w:val="0"/>
        </w:rPr>
      </w:pPr>
      <w:r>
        <w:rPr>
          <w:rFonts w:hint="eastAsia" w:hAnsi="仿宋_GB2312" w:cs="仿宋_GB2312"/>
          <w:b w:val="0"/>
          <w:bCs w:val="0"/>
        </w:rPr>
        <w:t>门和单位：</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hAnsi="仿宋_GB2312" w:cs="仿宋_GB2312"/>
          <w:b w:val="0"/>
          <w:bCs w:val="0"/>
        </w:rPr>
      </w:pPr>
      <w:r>
        <w:rPr>
          <w:rFonts w:hint="eastAsia" w:hAnsi="仿宋_GB2312" w:cs="仿宋_GB2312"/>
          <w:b w:val="0"/>
          <w:bCs w:val="0"/>
        </w:rPr>
        <w:t>《关于进一步规范国有资金投资工程建设项目招标投标监管工作的实施意见》已经第</w:t>
      </w:r>
      <w:r>
        <w:rPr>
          <w:rFonts w:hint="eastAsia" w:hAnsi="仿宋_GB2312" w:cs="仿宋_GB2312"/>
          <w:b w:val="0"/>
          <w:bCs w:val="0"/>
          <w:lang w:val="en-US" w:eastAsia="zh-CN"/>
        </w:rPr>
        <w:t>十八</w:t>
      </w:r>
      <w:r>
        <w:rPr>
          <w:rFonts w:hint="eastAsia" w:hAnsi="仿宋_GB2312" w:cs="仿宋_GB2312"/>
          <w:b w:val="0"/>
          <w:bCs w:val="0"/>
        </w:rPr>
        <w:t>届市政府第</w:t>
      </w:r>
      <w:r>
        <w:rPr>
          <w:rFonts w:hint="eastAsia" w:hAnsi="仿宋_GB2312" w:cs="仿宋_GB2312"/>
          <w:b w:val="0"/>
          <w:bCs w:val="0"/>
          <w:lang w:val="en-US" w:eastAsia="zh-CN"/>
        </w:rPr>
        <w:t>五十二</w:t>
      </w:r>
      <w:r>
        <w:rPr>
          <w:rFonts w:hint="eastAsia" w:hAnsi="仿宋_GB2312" w:cs="仿宋_GB2312"/>
          <w:b w:val="0"/>
          <w:bCs w:val="0"/>
        </w:rPr>
        <w:t>次常务会议讨论通过，现印发给你们，请遵照执行。</w:t>
      </w:r>
    </w:p>
    <w:p>
      <w:pPr>
        <w:keepNext w:val="0"/>
        <w:keepLines w:val="0"/>
        <w:pageBreakBefore w:val="0"/>
        <w:widowControl w:val="0"/>
        <w:kinsoku/>
        <w:wordWrap/>
        <w:overflowPunct/>
        <w:topLinePunct w:val="0"/>
        <w:autoSpaceDE/>
        <w:autoSpaceDN/>
        <w:bidi w:val="0"/>
        <w:adjustRightInd/>
        <w:snapToGrid/>
        <w:spacing w:line="520" w:lineRule="exact"/>
        <w:ind w:right="632" w:rightChars="200"/>
        <w:jc w:val="right"/>
        <w:textAlignment w:val="auto"/>
        <w:rPr>
          <w:rFonts w:hint="eastAsia" w:hAnsi="仿宋_GB2312" w:cs="仿宋_GB2312"/>
          <w:b w:val="0"/>
          <w:bCs w:val="0"/>
        </w:rPr>
      </w:pPr>
    </w:p>
    <w:p>
      <w:pPr>
        <w:pStyle w:val="12"/>
        <w:keepNext w:val="0"/>
        <w:keepLines w:val="0"/>
        <w:pageBreakBefore w:val="0"/>
        <w:widowControl w:val="0"/>
        <w:kinsoku/>
        <w:wordWrap/>
        <w:overflowPunct/>
        <w:topLinePunct w:val="0"/>
        <w:autoSpaceDE/>
        <w:autoSpaceDN/>
        <w:bidi w:val="0"/>
        <w:adjustRightInd/>
        <w:snapToGrid/>
        <w:spacing w:after="0" w:line="480" w:lineRule="exact"/>
        <w:ind w:left="632"/>
        <w:textAlignment w:val="auto"/>
        <w:rPr>
          <w:rFonts w:hint="eastAsia" w:hAnsi="仿宋_GB2312" w:cs="仿宋_GB2312"/>
          <w:b w:val="0"/>
          <w:bCs w:val="0"/>
        </w:rPr>
      </w:pPr>
    </w:p>
    <w:p>
      <w:pPr>
        <w:keepNext w:val="0"/>
        <w:keepLines w:val="0"/>
        <w:pageBreakBefore w:val="0"/>
        <w:widowControl w:val="0"/>
        <w:kinsoku/>
        <w:wordWrap/>
        <w:overflowPunct/>
        <w:topLinePunct w:val="0"/>
        <w:autoSpaceDE/>
        <w:autoSpaceDN/>
        <w:bidi w:val="0"/>
        <w:adjustRightInd/>
        <w:snapToGrid/>
        <w:spacing w:line="480" w:lineRule="exact"/>
        <w:ind w:right="632" w:rightChars="200"/>
        <w:jc w:val="center"/>
        <w:textAlignment w:val="auto"/>
        <w:rPr>
          <w:rFonts w:hint="default" w:ascii="Times New Roman" w:hAnsi="Times New Roman" w:cs="Times New Roman"/>
          <w:b w:val="0"/>
          <w:bCs w:val="0"/>
        </w:rPr>
      </w:pPr>
      <w:r>
        <w:rPr>
          <w:rFonts w:hint="eastAsia" w:hAnsi="仿宋_GB2312" w:cs="仿宋_GB2312"/>
          <w:b w:val="0"/>
          <w:bCs w:val="0"/>
        </w:rPr>
        <w:t xml:space="preserve">                      </w:t>
      </w:r>
      <w:r>
        <w:rPr>
          <w:rFonts w:hint="default" w:ascii="Times New Roman" w:hAnsi="Times New Roman" w:cs="Times New Roman"/>
          <w:b w:val="0"/>
          <w:bCs w:val="0"/>
        </w:rPr>
        <w:t xml:space="preserve"> 如皋市人民政府办公室</w:t>
      </w:r>
    </w:p>
    <w:p>
      <w:pPr>
        <w:keepNext w:val="0"/>
        <w:keepLines w:val="0"/>
        <w:pageBreakBefore w:val="0"/>
        <w:widowControl w:val="0"/>
        <w:kinsoku/>
        <w:wordWrap/>
        <w:overflowPunct/>
        <w:topLinePunct w:val="0"/>
        <w:autoSpaceDE/>
        <w:autoSpaceDN/>
        <w:bidi w:val="0"/>
        <w:adjustRightInd/>
        <w:snapToGrid/>
        <w:spacing w:line="480" w:lineRule="exact"/>
        <w:ind w:right="632" w:rightChars="200"/>
        <w:jc w:val="center"/>
        <w:textAlignment w:val="auto"/>
        <w:rPr>
          <w:rFonts w:hint="default" w:ascii="Times New Roman" w:hAnsi="Times New Roman" w:cs="Times New Roman"/>
          <w:b w:val="0"/>
          <w:bCs w:val="0"/>
        </w:rPr>
      </w:pPr>
      <w:r>
        <w:rPr>
          <w:rFonts w:hint="default" w:ascii="Times New Roman" w:hAnsi="Times New Roman" w:cs="Times New Roman"/>
          <w:b w:val="0"/>
          <w:bCs w:val="0"/>
        </w:rPr>
        <w:t xml:space="preserve">                       2025年7月1日</w:t>
      </w:r>
    </w:p>
    <w:p>
      <w:pPr>
        <w:keepNext w:val="0"/>
        <w:keepLines w:val="0"/>
        <w:pageBreakBefore w:val="0"/>
        <w:widowControl/>
        <w:kinsoku/>
        <w:wordWrap/>
        <w:overflowPunct/>
        <w:topLinePunct w:val="0"/>
        <w:autoSpaceDE/>
        <w:autoSpaceDN/>
        <w:bidi w:val="0"/>
        <w:adjustRightInd/>
        <w:snapToGrid/>
        <w:spacing w:line="480" w:lineRule="exact"/>
        <w:jc w:val="both"/>
        <w:textAlignment w:val="auto"/>
        <w:rPr>
          <w:rFonts w:hint="eastAsia" w:hAnsi="仿宋_GB2312" w:cs="仿宋_GB2312"/>
          <w:b w:val="0"/>
          <w:bCs w:val="0"/>
          <w:lang w:eastAsia="zh-CN"/>
        </w:rPr>
      </w:pPr>
    </w:p>
    <w:p>
      <w:pPr>
        <w:keepNext w:val="0"/>
        <w:keepLines w:val="0"/>
        <w:pageBreakBefore w:val="0"/>
        <w:widowControl/>
        <w:kinsoku/>
        <w:wordWrap/>
        <w:overflowPunct/>
        <w:topLinePunct w:val="0"/>
        <w:autoSpaceDE/>
        <w:autoSpaceDN/>
        <w:bidi w:val="0"/>
        <w:adjustRightInd/>
        <w:snapToGrid/>
        <w:spacing w:line="480" w:lineRule="exact"/>
        <w:ind w:firstLine="632" w:firstLineChars="200"/>
        <w:jc w:val="both"/>
        <w:textAlignment w:val="auto"/>
        <w:rPr>
          <w:rFonts w:hint="eastAsia" w:hAnsi="仿宋_GB2312" w:cs="仿宋_GB2312"/>
          <w:b w:val="0"/>
          <w:bCs w:val="0"/>
          <w:lang w:eastAsia="zh-CN"/>
        </w:rPr>
      </w:pPr>
    </w:p>
    <w:p>
      <w:pPr>
        <w:keepNext w:val="0"/>
        <w:keepLines w:val="0"/>
        <w:pageBreakBefore w:val="0"/>
        <w:widowControl/>
        <w:kinsoku/>
        <w:wordWrap/>
        <w:overflowPunct/>
        <w:topLinePunct w:val="0"/>
        <w:autoSpaceDE/>
        <w:autoSpaceDN/>
        <w:bidi w:val="0"/>
        <w:adjustRightInd/>
        <w:snapToGrid/>
        <w:spacing w:line="480" w:lineRule="exact"/>
        <w:ind w:firstLine="632" w:firstLineChars="200"/>
        <w:jc w:val="both"/>
        <w:textAlignment w:val="auto"/>
        <w:rPr>
          <w:rFonts w:hint="eastAsia" w:hAnsi="仿宋_GB2312" w:cs="仿宋_GB2312"/>
          <w:b w:val="0"/>
          <w:bCs w:val="0"/>
        </w:rPr>
      </w:pPr>
      <w:r>
        <w:rPr>
          <w:rFonts w:hint="eastAsia" w:hAnsi="仿宋_GB2312" w:cs="仿宋_GB2312"/>
          <w:b w:val="0"/>
          <w:bCs w:val="0"/>
          <w:lang w:eastAsia="zh-CN"/>
        </w:rPr>
        <w:t>（</w:t>
      </w:r>
      <w:r>
        <w:rPr>
          <w:rFonts w:hint="eastAsia" w:hAnsi="仿宋_GB2312" w:cs="仿宋_GB2312"/>
          <w:b w:val="0"/>
          <w:bCs w:val="0"/>
          <w:lang w:val="en-US" w:eastAsia="zh-CN"/>
        </w:rPr>
        <w:t>此件公开发布</w:t>
      </w:r>
      <w:r>
        <w:rPr>
          <w:rFonts w:hint="eastAsia" w:hAnsi="仿宋_GB2312" w:cs="仿宋_GB2312"/>
          <w:b w:val="0"/>
          <w:bCs w:val="0"/>
          <w:lang w:eastAsia="zh-CN"/>
        </w:rPr>
        <w:t>）</w:t>
      </w:r>
      <w:r>
        <w:rPr>
          <w:rFonts w:hint="eastAsia" w:hAnsi="仿宋_GB2312" w:cs="仿宋_GB2312"/>
          <w:b w:val="0"/>
          <w:bCs w:val="0"/>
        </w:rPr>
        <w:br w:type="page"/>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000000"/>
          <w:kern w:val="0"/>
          <w:sz w:val="44"/>
          <w:szCs w:val="44"/>
        </w:rPr>
      </w:pPr>
      <w:r>
        <w:rPr>
          <w:rFonts w:hint="eastAsia" w:ascii="方正小标宋简体" w:hAnsi="方正小标宋简体" w:eastAsia="方正小标宋简体" w:cs="方正小标宋简体"/>
          <w:b w:val="0"/>
          <w:bCs w:val="0"/>
          <w:sz w:val="44"/>
          <w:szCs w:val="44"/>
        </w:rPr>
        <w:t>关于进一步规范国有资金投资工程建设项目招标投标监管工作的实施意见</w:t>
      </w:r>
    </w:p>
    <w:p>
      <w:pPr>
        <w:keepNext w:val="0"/>
        <w:keepLines w:val="0"/>
        <w:pageBreakBefore w:val="0"/>
        <w:kinsoku/>
        <w:wordWrap/>
        <w:overflowPunct/>
        <w:topLinePunct w:val="0"/>
        <w:autoSpaceDE/>
        <w:autoSpaceDN/>
        <w:bidi w:val="0"/>
        <w:adjustRightInd/>
        <w:snapToGrid/>
        <w:spacing w:line="600" w:lineRule="exact"/>
        <w:ind w:firstLine="632" w:firstLineChars="200"/>
        <w:textAlignment w:val="auto"/>
        <w:rPr>
          <w:rFonts w:hint="eastAsia"/>
          <w:b w:val="0"/>
          <w:bCs w:val="0"/>
        </w:rPr>
      </w:pPr>
    </w:p>
    <w:p>
      <w:pPr>
        <w:spacing w:line="560" w:lineRule="exact"/>
        <w:ind w:firstLine="632" w:firstLineChars="200"/>
        <w:jc w:val="left"/>
        <w:rPr>
          <w:rFonts w:ascii="Times New Roman"/>
          <w:b w:val="0"/>
          <w:bCs w:val="0"/>
        </w:rPr>
      </w:pPr>
      <w:r>
        <w:rPr>
          <w:rFonts w:hint="eastAsia" w:ascii="黑体" w:hAnsi="黑体" w:eastAsia="黑体" w:cs="黑体"/>
          <w:b w:val="0"/>
          <w:bCs w:val="0"/>
        </w:rPr>
        <w:t>第一条</w:t>
      </w:r>
      <w:r>
        <w:rPr>
          <w:rFonts w:ascii="Times New Roman"/>
          <w:b w:val="0"/>
          <w:bCs w:val="0"/>
        </w:rPr>
        <w:t xml:space="preserve"> 为了</w:t>
      </w:r>
      <w:r>
        <w:rPr>
          <w:rFonts w:hint="eastAsia" w:ascii="Times New Roman"/>
          <w:b w:val="0"/>
          <w:bCs w:val="0"/>
        </w:rPr>
        <w:t>进一步</w:t>
      </w:r>
      <w:r>
        <w:rPr>
          <w:rFonts w:ascii="Times New Roman"/>
          <w:b w:val="0"/>
          <w:bCs w:val="0"/>
        </w:rPr>
        <w:t>规范国有资金投资工程建设项目招标投标活动，保护国家利益、社会公共利益和招标投标活动当事人的合法权益，根据</w:t>
      </w:r>
      <w:r>
        <w:rPr>
          <w:b w:val="0"/>
          <w:bCs w:val="0"/>
        </w:rPr>
        <w:fldChar w:fldCharType="begin"/>
      </w:r>
      <w:r>
        <w:rPr>
          <w:b w:val="0"/>
          <w:bCs w:val="0"/>
        </w:rPr>
        <w:instrText xml:space="preserve"> HYPERLINK "https://ydzk.chineselaw.com/zxt/statuteDetail/detailPage/b008ab4e8610d99caaa097bd9a5e3445?fgid=b008ab4e8610d99caaa097bd9a5e3445" \h </w:instrText>
      </w:r>
      <w:r>
        <w:rPr>
          <w:b w:val="0"/>
          <w:bCs w:val="0"/>
        </w:rPr>
        <w:fldChar w:fldCharType="separate"/>
      </w:r>
      <w:r>
        <w:rPr>
          <w:rFonts w:ascii="Times New Roman"/>
          <w:b w:val="0"/>
          <w:bCs w:val="0"/>
        </w:rPr>
        <w:t>《中华人民共和国招标投标法》</w:t>
      </w:r>
      <w:r>
        <w:rPr>
          <w:rFonts w:ascii="Times New Roman"/>
          <w:b w:val="0"/>
          <w:bCs w:val="0"/>
        </w:rPr>
        <w:fldChar w:fldCharType="end"/>
      </w:r>
      <w:r>
        <w:rPr>
          <w:rFonts w:ascii="Times New Roman"/>
          <w:b w:val="0"/>
          <w:bCs w:val="0"/>
        </w:rPr>
        <w:t>《江苏省招标投标条例》等</w:t>
      </w:r>
      <w:r>
        <w:rPr>
          <w:rFonts w:hint="eastAsia" w:ascii="Times New Roman"/>
          <w:b w:val="0"/>
          <w:bCs w:val="0"/>
        </w:rPr>
        <w:t>法律、法规、规章以及相关政策规定，</w:t>
      </w:r>
      <w:r>
        <w:rPr>
          <w:rFonts w:ascii="Times New Roman"/>
          <w:b w:val="0"/>
          <w:bCs w:val="0"/>
        </w:rPr>
        <w:t>结合</w:t>
      </w:r>
      <w:r>
        <w:rPr>
          <w:rFonts w:hint="eastAsia" w:ascii="Times New Roman"/>
          <w:b w:val="0"/>
          <w:bCs w:val="0"/>
        </w:rPr>
        <w:t>本市</w:t>
      </w:r>
      <w:r>
        <w:rPr>
          <w:rFonts w:ascii="Times New Roman"/>
          <w:b w:val="0"/>
          <w:bCs w:val="0"/>
        </w:rPr>
        <w:t>实际，制定本</w:t>
      </w:r>
      <w:r>
        <w:rPr>
          <w:rFonts w:hint="eastAsia" w:ascii="Times New Roman"/>
          <w:b w:val="0"/>
          <w:bCs w:val="0"/>
        </w:rPr>
        <w:t>意见</w:t>
      </w:r>
      <w:r>
        <w:rPr>
          <w:rFonts w:ascii="Times New Roman"/>
          <w:b w:val="0"/>
          <w:bCs w:val="0"/>
        </w:rPr>
        <w:t>。</w:t>
      </w:r>
    </w:p>
    <w:p>
      <w:pPr>
        <w:spacing w:line="560" w:lineRule="exact"/>
        <w:ind w:firstLine="632" w:firstLineChars="200"/>
        <w:rPr>
          <w:rFonts w:ascii="Times New Roman"/>
          <w:b w:val="0"/>
          <w:bCs w:val="0"/>
        </w:rPr>
      </w:pPr>
      <w:r>
        <w:rPr>
          <w:rFonts w:hint="eastAsia" w:ascii="黑体" w:hAnsi="黑体" w:eastAsia="黑体" w:cs="黑体"/>
          <w:b w:val="0"/>
          <w:bCs w:val="0"/>
        </w:rPr>
        <w:t>第二条</w:t>
      </w:r>
      <w:r>
        <w:rPr>
          <w:rFonts w:ascii="Times New Roman"/>
          <w:b w:val="0"/>
          <w:bCs w:val="0"/>
        </w:rPr>
        <w:t xml:space="preserve"> </w:t>
      </w:r>
      <w:r>
        <w:rPr>
          <w:rFonts w:hint="eastAsia" w:ascii="Times New Roman"/>
          <w:b w:val="0"/>
          <w:bCs w:val="0"/>
        </w:rPr>
        <w:t>本市</w:t>
      </w:r>
      <w:r>
        <w:rPr>
          <w:rFonts w:ascii="Times New Roman"/>
          <w:b w:val="0"/>
          <w:bCs w:val="0"/>
        </w:rPr>
        <w:t>行政区域内国有资金占控股或者主导地位的工程建设项目，符合依法必须招标的范围和规模标准的，其招标投标活动适用本</w:t>
      </w:r>
      <w:r>
        <w:rPr>
          <w:rFonts w:hint="eastAsia" w:ascii="Times New Roman"/>
          <w:b w:val="0"/>
          <w:bCs w:val="0"/>
        </w:rPr>
        <w:t>意见</w:t>
      </w:r>
      <w:r>
        <w:rPr>
          <w:rFonts w:ascii="Times New Roman"/>
          <w:b w:val="0"/>
          <w:bCs w:val="0"/>
        </w:rPr>
        <w:t>。</w:t>
      </w:r>
    </w:p>
    <w:p>
      <w:pPr>
        <w:spacing w:line="560" w:lineRule="exact"/>
        <w:ind w:firstLine="640"/>
        <w:rPr>
          <w:rFonts w:ascii="Times New Roman"/>
          <w:b w:val="0"/>
          <w:bCs w:val="0"/>
          <w:kern w:val="0"/>
        </w:rPr>
      </w:pPr>
      <w:r>
        <w:rPr>
          <w:rFonts w:hint="eastAsia" w:ascii="黑体" w:hAnsi="黑体" w:eastAsia="黑体" w:cs="黑体"/>
          <w:b w:val="0"/>
          <w:bCs w:val="0"/>
        </w:rPr>
        <w:t>第三条</w:t>
      </w:r>
      <w:r>
        <w:rPr>
          <w:rFonts w:hint="eastAsia" w:ascii="Times New Roman"/>
          <w:b w:val="0"/>
          <w:bCs w:val="0"/>
        </w:rPr>
        <w:t xml:space="preserve"> 市数据局</w:t>
      </w:r>
      <w:r>
        <w:rPr>
          <w:rFonts w:ascii="Times New Roman"/>
          <w:b w:val="0"/>
          <w:bCs w:val="0"/>
        </w:rPr>
        <w:t>负责监督、检查市级机关各部门、镇（区、街道）和企事业单位贯彻执行公共资源交易相关法律、法规、政策的情况；负责全市工程建设</w:t>
      </w:r>
      <w:r>
        <w:rPr>
          <w:rFonts w:hint="eastAsia" w:ascii="Times New Roman"/>
          <w:b w:val="0"/>
          <w:bCs w:val="0"/>
        </w:rPr>
        <w:t>项目</w:t>
      </w:r>
      <w:r>
        <w:rPr>
          <w:rFonts w:ascii="Times New Roman"/>
          <w:b w:val="0"/>
          <w:bCs w:val="0"/>
        </w:rPr>
        <w:t>招标投标的监督管理。</w:t>
      </w:r>
    </w:p>
    <w:p>
      <w:pPr>
        <w:spacing w:line="560" w:lineRule="exact"/>
        <w:ind w:firstLine="632" w:firstLineChars="200"/>
        <w:rPr>
          <w:rFonts w:ascii="Times New Roman"/>
          <w:b w:val="0"/>
          <w:bCs w:val="0"/>
        </w:rPr>
      </w:pPr>
      <w:r>
        <w:rPr>
          <w:rFonts w:ascii="Times New Roman"/>
          <w:b w:val="0"/>
          <w:bCs w:val="0"/>
        </w:rPr>
        <w:t>市</w:t>
      </w:r>
      <w:r>
        <w:rPr>
          <w:rFonts w:hint="eastAsia" w:ascii="Times New Roman"/>
          <w:b w:val="0"/>
          <w:bCs w:val="0"/>
        </w:rPr>
        <w:t>发展和改革委员会</w:t>
      </w:r>
      <w:r>
        <w:rPr>
          <w:rFonts w:ascii="Times New Roman"/>
          <w:b w:val="0"/>
          <w:bCs w:val="0"/>
        </w:rPr>
        <w:t>负责指导工程建设领域信用体系建设，推动行业主管部门引导招标人运用信用评价结果，强化守信激励和失信惩戒。</w:t>
      </w:r>
    </w:p>
    <w:p>
      <w:pPr>
        <w:spacing w:line="560" w:lineRule="exact"/>
        <w:ind w:firstLine="632" w:firstLineChars="200"/>
        <w:rPr>
          <w:rFonts w:ascii="Times New Roman"/>
          <w:b w:val="0"/>
          <w:bCs w:val="0"/>
        </w:rPr>
      </w:pPr>
      <w:r>
        <w:rPr>
          <w:rFonts w:ascii="Times New Roman"/>
          <w:b w:val="0"/>
          <w:bCs w:val="0"/>
        </w:rPr>
        <w:t>市财政局负责根据年度财政预算和政府债务规模，对政府投资项目加强整体控制。</w:t>
      </w:r>
    </w:p>
    <w:p>
      <w:pPr>
        <w:spacing w:line="560" w:lineRule="exact"/>
        <w:ind w:firstLine="632" w:firstLineChars="200"/>
        <w:jc w:val="left"/>
        <w:rPr>
          <w:rFonts w:ascii="Times New Roman"/>
          <w:b w:val="0"/>
          <w:bCs w:val="0"/>
        </w:rPr>
      </w:pPr>
      <w:r>
        <w:rPr>
          <w:rFonts w:ascii="Times New Roman"/>
          <w:b w:val="0"/>
          <w:bCs w:val="0"/>
        </w:rPr>
        <w:t>市</w:t>
      </w:r>
      <w:r>
        <w:rPr>
          <w:rFonts w:hint="eastAsia" w:ascii="Times New Roman"/>
          <w:b w:val="0"/>
          <w:bCs w:val="0"/>
        </w:rPr>
        <w:t>住房和城乡建设局</w:t>
      </w:r>
      <w:r>
        <w:rPr>
          <w:rFonts w:ascii="Times New Roman"/>
          <w:b w:val="0"/>
          <w:bCs w:val="0"/>
        </w:rPr>
        <w:t>负责房屋建筑和市政基础设施工程建设项目的</w:t>
      </w:r>
      <w:r>
        <w:rPr>
          <w:rFonts w:hint="eastAsia" w:ascii="Times New Roman"/>
          <w:b w:val="0"/>
          <w:bCs w:val="0"/>
        </w:rPr>
        <w:t>行业</w:t>
      </w:r>
      <w:r>
        <w:rPr>
          <w:rFonts w:ascii="Times New Roman"/>
          <w:b w:val="0"/>
          <w:bCs w:val="0"/>
        </w:rPr>
        <w:t>监管，健全</w:t>
      </w:r>
      <w:r>
        <w:rPr>
          <w:rFonts w:hint="eastAsia" w:ascii="Times New Roman"/>
          <w:b w:val="0"/>
          <w:bCs w:val="0"/>
        </w:rPr>
        <w:t>本行业</w:t>
      </w:r>
      <w:r>
        <w:rPr>
          <w:rFonts w:ascii="Times New Roman"/>
          <w:b w:val="0"/>
          <w:bCs w:val="0"/>
        </w:rPr>
        <w:t>信用评级评价办法。</w:t>
      </w:r>
    </w:p>
    <w:p>
      <w:pPr>
        <w:spacing w:line="560" w:lineRule="exact"/>
        <w:ind w:firstLine="632" w:firstLineChars="200"/>
        <w:jc w:val="left"/>
        <w:rPr>
          <w:rFonts w:ascii="Times New Roman"/>
          <w:b w:val="0"/>
          <w:bCs w:val="0"/>
        </w:rPr>
      </w:pPr>
      <w:r>
        <w:rPr>
          <w:rFonts w:ascii="Times New Roman"/>
          <w:b w:val="0"/>
          <w:bCs w:val="0"/>
        </w:rPr>
        <w:t>市城市管理</w:t>
      </w:r>
      <w:r>
        <w:rPr>
          <w:rFonts w:hint="eastAsia" w:ascii="Times New Roman"/>
          <w:b w:val="0"/>
          <w:bCs w:val="0"/>
        </w:rPr>
        <w:t>局</w:t>
      </w:r>
      <w:r>
        <w:rPr>
          <w:rFonts w:ascii="Times New Roman"/>
          <w:b w:val="0"/>
          <w:bCs w:val="0"/>
        </w:rPr>
        <w:t>（综合行政执法</w:t>
      </w:r>
      <w:r>
        <w:rPr>
          <w:rFonts w:hint="eastAsia" w:ascii="Times New Roman"/>
          <w:b w:val="0"/>
          <w:bCs w:val="0"/>
        </w:rPr>
        <w:t>局</w:t>
      </w:r>
      <w:r>
        <w:rPr>
          <w:rFonts w:ascii="Times New Roman"/>
          <w:b w:val="0"/>
          <w:bCs w:val="0"/>
        </w:rPr>
        <w:t>）负责对违反</w:t>
      </w:r>
      <w:r>
        <w:rPr>
          <w:rFonts w:hint="eastAsia" w:ascii="Times New Roman"/>
          <w:b w:val="0"/>
          <w:bCs w:val="0"/>
        </w:rPr>
        <w:t>建筑法、</w:t>
      </w:r>
      <w:r>
        <w:rPr>
          <w:rFonts w:ascii="Times New Roman"/>
          <w:b w:val="0"/>
          <w:bCs w:val="0"/>
        </w:rPr>
        <w:t>招标投标法等法律法规行为的查处。</w:t>
      </w:r>
    </w:p>
    <w:p>
      <w:pPr>
        <w:spacing w:line="560" w:lineRule="exact"/>
        <w:ind w:firstLine="632" w:firstLineChars="200"/>
        <w:jc w:val="left"/>
        <w:rPr>
          <w:rFonts w:ascii="Times New Roman"/>
          <w:b w:val="0"/>
          <w:bCs w:val="0"/>
        </w:rPr>
      </w:pPr>
      <w:r>
        <w:rPr>
          <w:rFonts w:ascii="Times New Roman"/>
          <w:b w:val="0"/>
          <w:bCs w:val="0"/>
        </w:rPr>
        <w:t>市交通</w:t>
      </w:r>
      <w:r>
        <w:rPr>
          <w:rFonts w:hint="eastAsia" w:ascii="Times New Roman"/>
          <w:b w:val="0"/>
          <w:bCs w:val="0"/>
        </w:rPr>
        <w:t>运输</w:t>
      </w:r>
      <w:r>
        <w:rPr>
          <w:rFonts w:ascii="Times New Roman"/>
          <w:b w:val="0"/>
          <w:bCs w:val="0"/>
        </w:rPr>
        <w:t>局负责</w:t>
      </w:r>
      <w:r>
        <w:rPr>
          <w:rFonts w:hint="eastAsia" w:ascii="Times New Roman"/>
          <w:b w:val="0"/>
          <w:bCs w:val="0"/>
        </w:rPr>
        <w:t>本行业内</w:t>
      </w:r>
      <w:r>
        <w:rPr>
          <w:rFonts w:ascii="Times New Roman"/>
          <w:b w:val="0"/>
          <w:bCs w:val="0"/>
        </w:rPr>
        <w:t>工程招标投标法律法规和政策的贯彻与落实，加强本行业招标投标</w:t>
      </w:r>
      <w:r>
        <w:rPr>
          <w:rFonts w:hint="eastAsia" w:ascii="Times New Roman"/>
          <w:b w:val="0"/>
          <w:bCs w:val="0"/>
        </w:rPr>
        <w:t>管理</w:t>
      </w:r>
      <w:r>
        <w:rPr>
          <w:rFonts w:ascii="Times New Roman"/>
          <w:b w:val="0"/>
          <w:bCs w:val="0"/>
        </w:rPr>
        <w:t>。</w:t>
      </w:r>
    </w:p>
    <w:p>
      <w:pPr>
        <w:spacing w:line="560" w:lineRule="exact"/>
        <w:ind w:firstLine="632" w:firstLineChars="200"/>
        <w:jc w:val="left"/>
        <w:rPr>
          <w:rFonts w:ascii="Times New Roman"/>
          <w:b w:val="0"/>
          <w:bCs w:val="0"/>
        </w:rPr>
      </w:pPr>
      <w:r>
        <w:rPr>
          <w:rFonts w:ascii="Times New Roman"/>
          <w:b w:val="0"/>
          <w:bCs w:val="0"/>
        </w:rPr>
        <w:t>市水务局负责</w:t>
      </w:r>
      <w:bookmarkStart w:id="0" w:name="OLE_LINK5"/>
      <w:bookmarkStart w:id="1" w:name="OLE_LINK6"/>
      <w:r>
        <w:rPr>
          <w:rFonts w:hint="eastAsia" w:ascii="Times New Roman"/>
          <w:b w:val="0"/>
          <w:bCs w:val="0"/>
        </w:rPr>
        <w:t>本行业内</w:t>
      </w:r>
      <w:r>
        <w:rPr>
          <w:rFonts w:ascii="Times New Roman"/>
          <w:b w:val="0"/>
          <w:bCs w:val="0"/>
        </w:rPr>
        <w:t>工程招标投标法律法规和政策的贯彻与落实，加强本行业招标投标</w:t>
      </w:r>
      <w:r>
        <w:rPr>
          <w:rFonts w:hint="eastAsia" w:ascii="Times New Roman"/>
          <w:b w:val="0"/>
          <w:bCs w:val="0"/>
        </w:rPr>
        <w:t>管理</w:t>
      </w:r>
      <w:r>
        <w:rPr>
          <w:rFonts w:ascii="Times New Roman"/>
          <w:b w:val="0"/>
          <w:bCs w:val="0"/>
        </w:rPr>
        <w:t>。</w:t>
      </w:r>
      <w:bookmarkEnd w:id="0"/>
      <w:bookmarkEnd w:id="1"/>
    </w:p>
    <w:p>
      <w:pPr>
        <w:spacing w:line="560" w:lineRule="exact"/>
        <w:ind w:firstLine="632" w:firstLineChars="200"/>
        <w:jc w:val="left"/>
        <w:rPr>
          <w:rFonts w:ascii="Times New Roman"/>
          <w:b w:val="0"/>
          <w:bCs w:val="0"/>
        </w:rPr>
      </w:pPr>
      <w:r>
        <w:rPr>
          <w:rFonts w:ascii="Times New Roman"/>
          <w:b w:val="0"/>
          <w:bCs w:val="0"/>
        </w:rPr>
        <w:t>市农业农村局负责</w:t>
      </w:r>
      <w:r>
        <w:rPr>
          <w:rFonts w:hint="eastAsia" w:ascii="Times New Roman"/>
          <w:b w:val="0"/>
          <w:bCs w:val="0"/>
        </w:rPr>
        <w:t>本行业内</w:t>
      </w:r>
      <w:r>
        <w:rPr>
          <w:rFonts w:ascii="Times New Roman"/>
          <w:b w:val="0"/>
          <w:bCs w:val="0"/>
        </w:rPr>
        <w:t>工程招标投标法律法规和政策的贯彻与落实，加强本行业招标投标</w:t>
      </w:r>
      <w:r>
        <w:rPr>
          <w:rFonts w:hint="eastAsia" w:ascii="Times New Roman"/>
          <w:b w:val="0"/>
          <w:bCs w:val="0"/>
        </w:rPr>
        <w:t>管理</w:t>
      </w:r>
      <w:r>
        <w:rPr>
          <w:rFonts w:ascii="Times New Roman"/>
          <w:b w:val="0"/>
          <w:bCs w:val="0"/>
        </w:rPr>
        <w:t>。</w:t>
      </w:r>
    </w:p>
    <w:p>
      <w:pPr>
        <w:spacing w:line="560" w:lineRule="exact"/>
        <w:ind w:firstLine="632" w:firstLineChars="200"/>
        <w:jc w:val="left"/>
        <w:rPr>
          <w:rFonts w:ascii="Times New Roman"/>
          <w:b w:val="0"/>
          <w:bCs w:val="0"/>
        </w:rPr>
      </w:pPr>
      <w:r>
        <w:rPr>
          <w:rFonts w:ascii="Times New Roman"/>
          <w:b w:val="0"/>
          <w:bCs w:val="0"/>
        </w:rPr>
        <w:t>市审计局负责</w:t>
      </w:r>
      <w:r>
        <w:rPr>
          <w:rFonts w:ascii="Times New Roman" w:hAnsi="仿宋_GB2312"/>
          <w:b w:val="0"/>
          <w:bCs w:val="0"/>
        </w:rPr>
        <w:t>政府投资项目的审计工作</w:t>
      </w:r>
      <w:r>
        <w:rPr>
          <w:rFonts w:ascii="Times New Roman"/>
          <w:b w:val="0"/>
          <w:bCs w:val="0"/>
        </w:rPr>
        <w:t>和国有资金使用情况的审计监督。</w:t>
      </w:r>
    </w:p>
    <w:p>
      <w:pPr>
        <w:spacing w:line="560" w:lineRule="exact"/>
        <w:ind w:firstLine="632" w:firstLineChars="200"/>
        <w:rPr>
          <w:rFonts w:ascii="Times New Roman"/>
          <w:b w:val="0"/>
          <w:bCs w:val="0"/>
        </w:rPr>
      </w:pPr>
      <w:r>
        <w:rPr>
          <w:rFonts w:ascii="Times New Roman"/>
          <w:b w:val="0"/>
          <w:bCs w:val="0"/>
        </w:rPr>
        <w:t>市政府国有资产监督管理办公室负责</w:t>
      </w:r>
      <w:r>
        <w:rPr>
          <w:rFonts w:hint="eastAsia" w:ascii="Times New Roman"/>
          <w:b w:val="0"/>
          <w:bCs w:val="0"/>
        </w:rPr>
        <w:t>市属</w:t>
      </w:r>
      <w:r>
        <w:rPr>
          <w:rFonts w:ascii="Times New Roman"/>
          <w:b w:val="0"/>
          <w:bCs w:val="0"/>
        </w:rPr>
        <w:t>国有企业工程建设项目招标（采购）内控制度</w:t>
      </w:r>
      <w:r>
        <w:rPr>
          <w:rFonts w:hint="eastAsia" w:ascii="Times New Roman"/>
          <w:b w:val="0"/>
          <w:bCs w:val="0"/>
        </w:rPr>
        <w:t>建设</w:t>
      </w:r>
      <w:r>
        <w:rPr>
          <w:rFonts w:ascii="Times New Roman"/>
          <w:b w:val="0"/>
          <w:bCs w:val="0"/>
        </w:rPr>
        <w:t>和执行情况的指导与督查。</w:t>
      </w:r>
    </w:p>
    <w:p>
      <w:pPr>
        <w:spacing w:line="560" w:lineRule="exact"/>
        <w:ind w:firstLine="632" w:firstLineChars="200"/>
        <w:rPr>
          <w:rFonts w:ascii="Times New Roman"/>
          <w:b w:val="0"/>
          <w:bCs w:val="0"/>
        </w:rPr>
      </w:pPr>
      <w:r>
        <w:rPr>
          <w:rFonts w:ascii="Times New Roman"/>
          <w:b w:val="0"/>
          <w:bCs w:val="0"/>
        </w:rPr>
        <w:t>市级机关其他部门按照</w:t>
      </w:r>
      <w:r>
        <w:rPr>
          <w:rFonts w:hint="eastAsia" w:ascii="Times New Roman"/>
          <w:b w:val="0"/>
          <w:bCs w:val="0"/>
        </w:rPr>
        <w:t>部门职责依法依规履职。</w:t>
      </w:r>
    </w:p>
    <w:p>
      <w:pPr>
        <w:spacing w:line="560" w:lineRule="exact"/>
        <w:ind w:firstLine="632" w:firstLineChars="200"/>
        <w:rPr>
          <w:rFonts w:ascii="Times New Roman"/>
          <w:b w:val="0"/>
          <w:bCs w:val="0"/>
        </w:rPr>
      </w:pPr>
      <w:r>
        <w:rPr>
          <w:rFonts w:hint="eastAsia" w:ascii="黑体" w:hAnsi="黑体" w:eastAsia="黑体" w:cs="黑体"/>
          <w:b w:val="0"/>
          <w:bCs w:val="0"/>
        </w:rPr>
        <w:t>第四条</w:t>
      </w:r>
      <w:r>
        <w:rPr>
          <w:rFonts w:hint="eastAsia" w:ascii="Times New Roman"/>
          <w:b w:val="0"/>
          <w:bCs w:val="0"/>
        </w:rPr>
        <w:t xml:space="preserve"> </w:t>
      </w:r>
      <w:r>
        <w:rPr>
          <w:rFonts w:ascii="Times New Roman"/>
          <w:b w:val="0"/>
          <w:bCs w:val="0"/>
        </w:rPr>
        <w:t>招标人对招标过程和结果负总责</w:t>
      </w:r>
      <w:r>
        <w:rPr>
          <w:rFonts w:hint="eastAsia" w:ascii="Times New Roman"/>
          <w:b w:val="0"/>
          <w:bCs w:val="0"/>
        </w:rPr>
        <w:t>，确保公开信息的</w:t>
      </w:r>
      <w:r>
        <w:rPr>
          <w:rFonts w:ascii="Times New Roman"/>
          <w:b w:val="0"/>
          <w:bCs w:val="0"/>
        </w:rPr>
        <w:t>完整性和准确性。招标人应建立健全招标事项合法合规性审查、公平竞争审查、集体决策等内部控制制度，</w:t>
      </w:r>
      <w:r>
        <w:rPr>
          <w:rFonts w:hint="eastAsia" w:ascii="Times New Roman"/>
          <w:b w:val="0"/>
          <w:bCs w:val="0"/>
        </w:rPr>
        <w:t>严格执行强制招标和招标计划提前发布制度，</w:t>
      </w:r>
      <w:r>
        <w:rPr>
          <w:rFonts w:ascii="Times New Roman"/>
          <w:b w:val="0"/>
          <w:bCs w:val="0"/>
        </w:rPr>
        <w:t>规范使用国家、省有关部门编制的标准文本，</w:t>
      </w:r>
      <w:r>
        <w:rPr>
          <w:rFonts w:hint="eastAsia" w:ascii="Times New Roman"/>
          <w:b w:val="0"/>
          <w:bCs w:val="0"/>
        </w:rPr>
        <w:t>健全全过程记录制度</w:t>
      </w:r>
      <w:r>
        <w:rPr>
          <w:rFonts w:ascii="Times New Roman"/>
          <w:b w:val="0"/>
          <w:bCs w:val="0"/>
        </w:rPr>
        <w:t>。</w:t>
      </w:r>
    </w:p>
    <w:p>
      <w:pPr>
        <w:spacing w:line="560" w:lineRule="exact"/>
        <w:ind w:firstLine="632" w:firstLineChars="200"/>
        <w:rPr>
          <w:rFonts w:ascii="Times New Roman"/>
          <w:b w:val="0"/>
          <w:bCs w:val="0"/>
        </w:rPr>
      </w:pPr>
      <w:r>
        <w:rPr>
          <w:rFonts w:hint="eastAsia" w:ascii="黑体" w:hAnsi="黑体" w:eastAsia="黑体" w:cs="黑体"/>
          <w:b w:val="0"/>
          <w:bCs w:val="0"/>
        </w:rPr>
        <w:t>第五条</w:t>
      </w:r>
      <w:r>
        <w:rPr>
          <w:rFonts w:hint="eastAsia" w:ascii="Times New Roman"/>
          <w:b w:val="0"/>
          <w:bCs w:val="0"/>
        </w:rPr>
        <w:t xml:space="preserve"> 依法必须招标的工程建设项目，应当</w:t>
      </w:r>
      <w:r>
        <w:rPr>
          <w:rFonts w:ascii="Times New Roman"/>
          <w:b w:val="0"/>
          <w:bCs w:val="0"/>
        </w:rPr>
        <w:t>公开招标</w:t>
      </w:r>
      <w:r>
        <w:rPr>
          <w:rFonts w:hint="eastAsia" w:ascii="Times New Roman"/>
          <w:b w:val="0"/>
          <w:bCs w:val="0"/>
        </w:rPr>
        <w:t>，一般采用</w:t>
      </w:r>
      <w:r>
        <w:rPr>
          <w:rFonts w:ascii="Times New Roman"/>
          <w:b w:val="0"/>
          <w:bCs w:val="0"/>
        </w:rPr>
        <w:t>资格后</w:t>
      </w:r>
      <w:r>
        <w:rPr>
          <w:rFonts w:hint="eastAsia" w:ascii="Times New Roman"/>
          <w:b w:val="0"/>
          <w:bCs w:val="0"/>
        </w:rPr>
        <w:t>审方式。国有资金投资1000万元及以上的工程建设项目，国有资金投资400万元及以上且拟采用不招标、邀请招标等方式发包的工程建设项目以及国有资金投资且拟采取资格预审、EPC工程总承包、评定分离等方式招标的工程建设项目，由招标人履行决策程序，报请招标人的市政府分管领导同意，提交市国有资金投资工程建设项目资源交易管理工作专班（以下简称“工作专班”）讨论后</w:t>
      </w:r>
      <w:r>
        <w:rPr>
          <w:rFonts w:ascii="Times New Roman"/>
          <w:b w:val="0"/>
          <w:bCs w:val="0"/>
        </w:rPr>
        <w:t>实施。</w:t>
      </w:r>
    </w:p>
    <w:p>
      <w:pPr>
        <w:spacing w:line="560" w:lineRule="exact"/>
        <w:ind w:firstLine="632" w:firstLineChars="200"/>
        <w:rPr>
          <w:rFonts w:ascii="Times New Roman"/>
          <w:b w:val="0"/>
          <w:bCs w:val="0"/>
        </w:rPr>
      </w:pPr>
      <w:r>
        <w:rPr>
          <w:rFonts w:hint="eastAsia" w:ascii="Times New Roman"/>
          <w:b w:val="0"/>
          <w:bCs w:val="0"/>
        </w:rPr>
        <w:t>工作专班由市纪委监委、市政府办公室、市发展</w:t>
      </w:r>
      <w:r>
        <w:rPr>
          <w:rFonts w:hint="eastAsia" w:ascii="Times New Roman"/>
          <w:b w:val="0"/>
          <w:bCs w:val="0"/>
          <w:lang w:val="en-US" w:eastAsia="zh-CN"/>
        </w:rPr>
        <w:t>和</w:t>
      </w:r>
      <w:r>
        <w:rPr>
          <w:rFonts w:hint="eastAsia" w:ascii="Times New Roman"/>
          <w:b w:val="0"/>
          <w:bCs w:val="0"/>
        </w:rPr>
        <w:t>改革委员会、市公安局、市司法局、市财政局、市住房和城乡建设局、市城市管理局、市交通运输局、市水务局、市农业农村局、市审计局、市政府国有资产监督管理办公室、市数据局、市城市建设管理中心等部门和单位的分管负责人组成，负责全市国有资金投资工程建设项目招标投标活动中重大事项的统筹协调和决策部署，指导监督有关行政管理部门对国有资金投资工程建设项目进行全过程监管。</w:t>
      </w:r>
    </w:p>
    <w:p>
      <w:pPr>
        <w:spacing w:line="560" w:lineRule="exact"/>
        <w:ind w:firstLine="632" w:firstLineChars="200"/>
        <w:rPr>
          <w:rFonts w:ascii="FZFSK--GBK1-0" w:hAnsi="FZFSK--GBK1-0"/>
          <w:b w:val="0"/>
          <w:bCs w:val="0"/>
          <w:color w:val="000000"/>
        </w:rPr>
      </w:pPr>
      <w:r>
        <w:rPr>
          <w:rFonts w:hint="eastAsia" w:ascii="黑体" w:hAnsi="黑体" w:eastAsia="黑体" w:cs="黑体"/>
          <w:b w:val="0"/>
          <w:bCs w:val="0"/>
        </w:rPr>
        <w:t>第六条</w:t>
      </w:r>
      <w:r>
        <w:rPr>
          <w:rFonts w:hint="eastAsia" w:ascii="Times New Roman"/>
          <w:b w:val="0"/>
          <w:bCs w:val="0"/>
        </w:rPr>
        <w:t xml:space="preserve"> 评标前，</w:t>
      </w:r>
      <w:r>
        <w:rPr>
          <w:rFonts w:ascii="FZFSK--GBK1-0" w:hAnsi="FZFSK--GBK1-0"/>
          <w:b w:val="0"/>
          <w:bCs w:val="0"/>
          <w:color w:val="000000"/>
        </w:rPr>
        <w:t>招标人</w:t>
      </w:r>
      <w:r>
        <w:rPr>
          <w:rFonts w:hint="eastAsia" w:ascii="FZFSK--GBK1-0" w:hAnsi="FZFSK--GBK1-0"/>
          <w:b w:val="0"/>
          <w:bCs w:val="0"/>
          <w:color w:val="000000"/>
        </w:rPr>
        <w:t>应当</w:t>
      </w:r>
      <w:r>
        <w:rPr>
          <w:rFonts w:ascii="FZFSK--GBK1-0" w:hAnsi="FZFSK--GBK1-0"/>
          <w:b w:val="0"/>
          <w:bCs w:val="0"/>
          <w:color w:val="000000"/>
        </w:rPr>
        <w:t>组织开展评标准备工作</w:t>
      </w:r>
      <w:r>
        <w:rPr>
          <w:rFonts w:hint="eastAsia" w:ascii="FZFSK--GBK1-0" w:hAnsi="FZFSK--GBK1-0"/>
          <w:b w:val="0"/>
          <w:bCs w:val="0"/>
          <w:color w:val="000000"/>
        </w:rPr>
        <w:t>。</w:t>
      </w:r>
      <w:r>
        <w:rPr>
          <w:rFonts w:hint="eastAsia" w:ascii="Times New Roman"/>
          <w:b w:val="0"/>
          <w:bCs w:val="0"/>
        </w:rPr>
        <w:t>采用同样的标准对所有投标文件开展全面审查，但不得对投标文件作出评价。评标委员会应当对招标人提供的相关信息进行复核，发现错误或者遗漏的，应当进行补正。</w:t>
      </w:r>
    </w:p>
    <w:p>
      <w:pPr>
        <w:spacing w:line="560" w:lineRule="exact"/>
        <w:ind w:firstLine="632" w:firstLineChars="200"/>
        <w:rPr>
          <w:rFonts w:ascii="Times New Roman"/>
          <w:b w:val="0"/>
          <w:bCs w:val="0"/>
        </w:rPr>
      </w:pPr>
      <w:r>
        <w:rPr>
          <w:rFonts w:hint="eastAsia" w:ascii="黑体" w:hAnsi="黑体" w:eastAsia="黑体" w:cs="黑体"/>
          <w:b w:val="0"/>
          <w:bCs w:val="0"/>
        </w:rPr>
        <w:t>第七条</w:t>
      </w:r>
      <w:r>
        <w:rPr>
          <w:rFonts w:hint="eastAsia" w:ascii="Times New Roman"/>
          <w:b w:val="0"/>
          <w:bCs w:val="0"/>
        </w:rPr>
        <w:t xml:space="preserve"> </w:t>
      </w:r>
      <w:r>
        <w:rPr>
          <w:rFonts w:hint="eastAsia" w:ascii="FZFSK--GBK1-0" w:hAnsi="FZFSK--GBK1-0"/>
          <w:b w:val="0"/>
          <w:bCs w:val="0"/>
          <w:color w:val="000000"/>
        </w:rPr>
        <w:t>鼓励招标人在工程建设招标投标活动中应用信用评价结果，营造守信激励、失信惩戒的诚信市场环境。</w:t>
      </w:r>
    </w:p>
    <w:p>
      <w:pPr>
        <w:spacing w:line="560" w:lineRule="exact"/>
        <w:ind w:firstLine="632" w:firstLineChars="200"/>
        <w:rPr>
          <w:rFonts w:ascii="Times New Roman"/>
          <w:b w:val="0"/>
          <w:bCs w:val="0"/>
        </w:rPr>
      </w:pPr>
      <w:r>
        <w:rPr>
          <w:rFonts w:hint="eastAsia" w:ascii="黑体" w:hAnsi="黑体" w:eastAsia="黑体" w:cs="黑体"/>
          <w:b w:val="0"/>
          <w:bCs w:val="0"/>
        </w:rPr>
        <w:t>第八条</w:t>
      </w:r>
      <w:r>
        <w:rPr>
          <w:rFonts w:hint="eastAsia" w:ascii="Times New Roman"/>
          <w:b w:val="0"/>
          <w:bCs w:val="0"/>
        </w:rPr>
        <w:t xml:space="preserve"> </w:t>
      </w:r>
      <w:r>
        <w:rPr>
          <w:rFonts w:ascii="FZFSK--GBK1-0" w:hAnsi="FZFSK--GBK1-0"/>
          <w:b w:val="0"/>
          <w:bCs w:val="0"/>
          <w:color w:val="000000"/>
        </w:rPr>
        <w:t>招标人根据</w:t>
      </w:r>
      <w:r>
        <w:rPr>
          <w:rFonts w:hint="eastAsia" w:ascii="FZFSK--GBK1-0" w:hAnsi="FZFSK--GBK1-0"/>
          <w:b w:val="0"/>
          <w:bCs w:val="0"/>
          <w:color w:val="000000"/>
        </w:rPr>
        <w:t>项目</w:t>
      </w:r>
      <w:r>
        <w:rPr>
          <w:rFonts w:ascii="FZFSK--GBK1-0" w:hAnsi="FZFSK--GBK1-0"/>
          <w:b w:val="0"/>
          <w:bCs w:val="0"/>
          <w:color w:val="000000"/>
        </w:rPr>
        <w:t>规模和特点依法组建评标委员会。招标人选派或委托代表参与评标或资格审查的，代表人员的数量和资格应当符合相关规定。</w:t>
      </w:r>
      <w:r>
        <w:rPr>
          <w:rFonts w:hint="eastAsia" w:ascii="FZFSK--GBK1-0" w:hAnsi="FZFSK--GBK1-0"/>
          <w:b w:val="0"/>
          <w:bCs w:val="0"/>
          <w:color w:val="000000"/>
        </w:rPr>
        <w:t>符合</w:t>
      </w:r>
      <w:r>
        <w:rPr>
          <w:rFonts w:ascii="FZFSK--GBK1-0" w:hAnsi="FZFSK--GBK1-0"/>
          <w:b w:val="0"/>
          <w:bCs w:val="0"/>
          <w:color w:val="000000"/>
        </w:rPr>
        <w:t>招标人可以自行邀请评标专</w:t>
      </w:r>
      <w:r>
        <w:rPr>
          <w:rFonts w:ascii="Times New Roman"/>
          <w:b w:val="0"/>
          <w:bCs w:val="0"/>
        </w:rPr>
        <w:t>家</w:t>
      </w:r>
      <w:r>
        <w:rPr>
          <w:rFonts w:hint="eastAsia" w:ascii="Times New Roman"/>
          <w:b w:val="0"/>
          <w:bCs w:val="0"/>
        </w:rPr>
        <w:t>情形的</w:t>
      </w:r>
      <w:r>
        <w:rPr>
          <w:rFonts w:ascii="Times New Roman"/>
          <w:b w:val="0"/>
          <w:bCs w:val="0"/>
        </w:rPr>
        <w:t>，应当</w:t>
      </w:r>
      <w:r>
        <w:rPr>
          <w:rFonts w:hint="eastAsia" w:ascii="Times New Roman"/>
          <w:b w:val="0"/>
          <w:bCs w:val="0"/>
        </w:rPr>
        <w:t>事先</w:t>
      </w:r>
      <w:r>
        <w:rPr>
          <w:rFonts w:ascii="Times New Roman"/>
          <w:b w:val="0"/>
          <w:bCs w:val="0"/>
        </w:rPr>
        <w:t>向招标投标监督部门报告</w:t>
      </w:r>
      <w:r>
        <w:rPr>
          <w:rFonts w:hint="eastAsia" w:ascii="Times New Roman"/>
          <w:b w:val="0"/>
          <w:bCs w:val="0"/>
        </w:rPr>
        <w:t>。</w:t>
      </w:r>
    </w:p>
    <w:p>
      <w:pPr>
        <w:spacing w:line="560" w:lineRule="exact"/>
        <w:ind w:firstLine="632" w:firstLineChars="200"/>
        <w:rPr>
          <w:rFonts w:ascii="Times New Roman"/>
          <w:b w:val="0"/>
          <w:bCs w:val="0"/>
        </w:rPr>
      </w:pPr>
      <w:r>
        <w:rPr>
          <w:rFonts w:hint="eastAsia" w:ascii="黑体" w:hAnsi="黑体" w:eastAsia="黑体" w:cs="黑体"/>
          <w:b w:val="0"/>
          <w:bCs w:val="0"/>
        </w:rPr>
        <w:t>第九条</w:t>
      </w:r>
      <w:r>
        <w:rPr>
          <w:rFonts w:hint="eastAsia" w:ascii="Times New Roman"/>
          <w:b w:val="0"/>
          <w:bCs w:val="0"/>
        </w:rPr>
        <w:t xml:space="preserve"> </w:t>
      </w:r>
      <w:r>
        <w:rPr>
          <w:rFonts w:ascii="Times New Roman"/>
          <w:b w:val="0"/>
          <w:bCs w:val="0"/>
        </w:rPr>
        <w:t>采用评定分离方式的，招标人应根据有关规定于招标前组建监督小组，监督小组对</w:t>
      </w:r>
      <w:r>
        <w:rPr>
          <w:rFonts w:hint="eastAsia" w:ascii="Times New Roman"/>
          <w:b w:val="0"/>
          <w:bCs w:val="0"/>
        </w:rPr>
        <w:t>招标投标</w:t>
      </w:r>
      <w:r>
        <w:rPr>
          <w:rFonts w:ascii="Times New Roman"/>
          <w:b w:val="0"/>
          <w:bCs w:val="0"/>
        </w:rPr>
        <w:t>活动全过程进行监督，有权就定标委员会违反定标规则的行为进行质询，确保定标过程公平、公正。</w:t>
      </w:r>
    </w:p>
    <w:p>
      <w:pPr>
        <w:spacing w:line="560" w:lineRule="exact"/>
        <w:ind w:firstLine="632" w:firstLineChars="200"/>
        <w:rPr>
          <w:rFonts w:ascii="Times New Roman"/>
          <w:b w:val="0"/>
          <w:bCs w:val="0"/>
        </w:rPr>
      </w:pPr>
      <w:r>
        <w:rPr>
          <w:rFonts w:hint="eastAsia" w:ascii="黑体" w:hAnsi="黑体" w:eastAsia="黑体" w:cs="黑体"/>
          <w:b w:val="0"/>
          <w:bCs w:val="0"/>
        </w:rPr>
        <w:t>第十条</w:t>
      </w:r>
      <w:r>
        <w:rPr>
          <w:rFonts w:hint="eastAsia" w:ascii="Times New Roman"/>
          <w:b w:val="0"/>
          <w:bCs w:val="0"/>
        </w:rPr>
        <w:t xml:space="preserve"> 招标人应当在中标候选人公示前认真审查评标委员会提交的书面评标报告，发现存在涉嫌串通投标、弄虚作假等违法行为或者评标委员会未按照招标文件规定评审的，应当向招标投标行政监督部门报告。</w:t>
      </w:r>
    </w:p>
    <w:p>
      <w:pPr>
        <w:spacing w:line="560" w:lineRule="exact"/>
        <w:ind w:firstLine="632" w:firstLineChars="200"/>
        <w:rPr>
          <w:rFonts w:ascii="Times New Roman"/>
          <w:b w:val="0"/>
          <w:bCs w:val="0"/>
        </w:rPr>
      </w:pPr>
      <w:r>
        <w:rPr>
          <w:rFonts w:hint="eastAsia" w:ascii="黑体" w:hAnsi="黑体" w:eastAsia="黑体" w:cs="黑体"/>
          <w:b w:val="0"/>
          <w:bCs w:val="0"/>
        </w:rPr>
        <w:t>第十一条</w:t>
      </w:r>
      <w:r>
        <w:rPr>
          <w:rFonts w:hint="eastAsia" w:ascii="Times New Roman"/>
          <w:b w:val="0"/>
          <w:bCs w:val="0"/>
        </w:rPr>
        <w:t xml:space="preserve"> </w:t>
      </w:r>
      <w:r>
        <w:rPr>
          <w:rFonts w:ascii="Times New Roman"/>
          <w:b w:val="0"/>
          <w:bCs w:val="0"/>
        </w:rPr>
        <w:t>招标人应当高度重视合同履约管理，健全管理机制，落实管理责任。依法必须招标项目的招标人应当按照《公共资源交易领域基层政务公开标准指引》要求，及时主动公开合同订立信息，并积极推进合同履行及变更信息公开。</w:t>
      </w:r>
    </w:p>
    <w:p>
      <w:pPr>
        <w:spacing w:line="560" w:lineRule="exact"/>
        <w:ind w:firstLine="632" w:firstLineChars="200"/>
        <w:rPr>
          <w:rFonts w:ascii="Times New Roman"/>
          <w:b w:val="0"/>
          <w:bCs w:val="0"/>
          <w:highlight w:val="yellow"/>
        </w:rPr>
      </w:pPr>
      <w:r>
        <w:rPr>
          <w:rFonts w:hint="eastAsia" w:ascii="黑体" w:hAnsi="黑体" w:eastAsia="黑体" w:cs="黑体"/>
          <w:b w:val="0"/>
          <w:bCs w:val="0"/>
        </w:rPr>
        <w:t>第十二条</w:t>
      </w:r>
      <w:r>
        <w:rPr>
          <w:rFonts w:hint="eastAsia" w:ascii="Times New Roman"/>
          <w:b w:val="0"/>
          <w:bCs w:val="0"/>
        </w:rPr>
        <w:t xml:space="preserve"> 招标人应当按照有关规定及时收集、整理、归档招标投标和合同履行过程中产生的各种文件资料和信息数据，并采取有效措施确保档案的完整和安全，不得篡改、损毁、伪造或者擅自销毁。</w:t>
      </w:r>
    </w:p>
    <w:p>
      <w:pPr>
        <w:spacing w:line="560" w:lineRule="exact"/>
        <w:ind w:firstLine="632" w:firstLineChars="200"/>
        <w:rPr>
          <w:rFonts w:ascii="Times New Roman"/>
          <w:b w:val="0"/>
          <w:bCs w:val="0"/>
        </w:rPr>
      </w:pPr>
      <w:r>
        <w:rPr>
          <w:rFonts w:hint="eastAsia" w:ascii="黑体" w:hAnsi="黑体" w:eastAsia="黑体" w:cs="黑体"/>
          <w:b w:val="0"/>
          <w:bCs w:val="0"/>
        </w:rPr>
        <w:t>第十三条</w:t>
      </w:r>
      <w:r>
        <w:rPr>
          <w:rFonts w:hint="eastAsia" w:ascii="Times New Roman"/>
          <w:b w:val="0"/>
          <w:bCs w:val="0"/>
        </w:rPr>
        <w:t xml:space="preserve"> 建立综合监管与行业监管相结合的协同机制，强化招标投标市场与履约现场联动，建立健全建筑市场、质量安全、工程造价、招标投标、竣工验收、审计结算等相关机构联动机制。完善事前事中事后全链条立体化监管。</w:t>
      </w:r>
    </w:p>
    <w:p>
      <w:pPr>
        <w:spacing w:line="560" w:lineRule="exact"/>
        <w:ind w:firstLine="632" w:firstLineChars="200"/>
        <w:rPr>
          <w:rFonts w:ascii="Times New Roman"/>
          <w:b w:val="0"/>
          <w:bCs w:val="0"/>
        </w:rPr>
      </w:pPr>
      <w:r>
        <w:rPr>
          <w:rFonts w:hint="eastAsia" w:ascii="黑体" w:hAnsi="黑体" w:eastAsia="黑体" w:cs="黑体"/>
          <w:b w:val="0"/>
          <w:bCs w:val="0"/>
        </w:rPr>
        <w:t>第十四条</w:t>
      </w:r>
      <w:r>
        <w:rPr>
          <w:rFonts w:hint="eastAsia" w:ascii="Times New Roman"/>
          <w:b w:val="0"/>
          <w:bCs w:val="0"/>
          <w:color w:val="000000"/>
          <w:kern w:val="0"/>
        </w:rPr>
        <w:t xml:space="preserve"> </w:t>
      </w:r>
      <w:r>
        <w:rPr>
          <w:rFonts w:ascii="Times New Roman"/>
          <w:b w:val="0"/>
          <w:bCs w:val="0"/>
          <w:color w:val="000000"/>
          <w:kern w:val="0"/>
        </w:rPr>
        <w:t>建设单位</w:t>
      </w:r>
      <w:r>
        <w:rPr>
          <w:rFonts w:hint="eastAsia" w:ascii="Times New Roman"/>
          <w:b w:val="0"/>
          <w:bCs w:val="0"/>
          <w:color w:val="000000"/>
          <w:kern w:val="0"/>
        </w:rPr>
        <w:t>要加强对</w:t>
      </w:r>
      <w:r>
        <w:rPr>
          <w:rFonts w:ascii="Times New Roman"/>
          <w:b w:val="0"/>
          <w:bCs w:val="0"/>
          <w:color w:val="000000"/>
          <w:kern w:val="0"/>
        </w:rPr>
        <w:t>项目</w:t>
      </w:r>
      <w:r>
        <w:rPr>
          <w:rFonts w:hint="eastAsia" w:ascii="Times New Roman"/>
          <w:b w:val="0"/>
          <w:bCs w:val="0"/>
          <w:color w:val="000000"/>
          <w:kern w:val="0"/>
        </w:rPr>
        <w:t>建设全流程</w:t>
      </w:r>
      <w:r>
        <w:rPr>
          <w:rFonts w:ascii="Times New Roman"/>
          <w:b w:val="0"/>
          <w:bCs w:val="0"/>
          <w:color w:val="000000"/>
          <w:kern w:val="0"/>
        </w:rPr>
        <w:t>管理</w:t>
      </w:r>
      <w:r>
        <w:rPr>
          <w:rFonts w:hint="eastAsia" w:ascii="Times New Roman"/>
          <w:b w:val="0"/>
          <w:bCs w:val="0"/>
          <w:color w:val="000000"/>
          <w:kern w:val="0"/>
        </w:rPr>
        <w:t>，</w:t>
      </w:r>
      <w:r>
        <w:rPr>
          <w:rFonts w:ascii="Times New Roman"/>
          <w:b w:val="0"/>
          <w:bCs w:val="0"/>
          <w:color w:val="000000"/>
          <w:kern w:val="0"/>
        </w:rPr>
        <w:t>建立健全</w:t>
      </w:r>
      <w:r>
        <w:rPr>
          <w:rFonts w:hint="eastAsia" w:ascii="Times New Roman"/>
          <w:b w:val="0"/>
          <w:bCs w:val="0"/>
          <w:color w:val="000000"/>
          <w:kern w:val="0"/>
        </w:rPr>
        <w:t>合同</w:t>
      </w:r>
      <w:r>
        <w:rPr>
          <w:rFonts w:ascii="Times New Roman"/>
          <w:b w:val="0"/>
          <w:bCs w:val="0"/>
          <w:color w:val="000000"/>
          <w:kern w:val="0"/>
        </w:rPr>
        <w:t>变更、现场签证、认质认价</w:t>
      </w:r>
      <w:r>
        <w:rPr>
          <w:rFonts w:hint="eastAsia" w:ascii="Times New Roman"/>
          <w:b w:val="0"/>
          <w:bCs w:val="0"/>
          <w:color w:val="000000"/>
          <w:kern w:val="0"/>
        </w:rPr>
        <w:t>等</w:t>
      </w:r>
      <w:r>
        <w:rPr>
          <w:rFonts w:ascii="Times New Roman"/>
          <w:b w:val="0"/>
          <w:bCs w:val="0"/>
          <w:color w:val="000000"/>
          <w:kern w:val="0"/>
        </w:rPr>
        <w:t>管理机制。建立完善考核管理机制，严格选派项目负责人，加强工程的质量、进度、造价等全过程管理，对施工现场进行日常监督、检查、考勤，</w:t>
      </w:r>
      <w:r>
        <w:rPr>
          <w:rFonts w:ascii="Times New Roman"/>
          <w:b w:val="0"/>
          <w:bCs w:val="0"/>
        </w:rPr>
        <w:t>积极开展对参建单位的履约评价。</w:t>
      </w:r>
    </w:p>
    <w:p>
      <w:pPr>
        <w:spacing w:line="560" w:lineRule="exact"/>
        <w:ind w:firstLine="631"/>
        <w:rPr>
          <w:rFonts w:eastAsia="方正仿宋_GBK"/>
          <w:b w:val="0"/>
          <w:bCs w:val="0"/>
          <w:color w:val="000000"/>
        </w:rPr>
      </w:pPr>
      <w:r>
        <w:rPr>
          <w:rFonts w:hint="eastAsia" w:ascii="黑体" w:hAnsi="黑体" w:eastAsia="黑体" w:cs="黑体"/>
          <w:b w:val="0"/>
          <w:bCs w:val="0"/>
        </w:rPr>
        <w:t>第十五条</w:t>
      </w:r>
      <w:r>
        <w:rPr>
          <w:rFonts w:hint="eastAsia" w:ascii="Times New Roman"/>
          <w:b w:val="0"/>
          <w:bCs w:val="0"/>
          <w:color w:val="000000"/>
          <w:kern w:val="0"/>
        </w:rPr>
        <w:t xml:space="preserve"> 招标投标行政监督部门要加强对招标人主体责任落实情况的监督检查。重点检查项目核准、审批手续是否齐全，招标方式和范围是否符合项目特征和法规要求，最高投标限价、资格条件、评标办法是否合法合规，是否存在违背市场公平竞争情形。招标投标活动中发现存在违法违规行为的，应暂停或重新组织招标。</w:t>
      </w:r>
    </w:p>
    <w:p>
      <w:pPr>
        <w:spacing w:line="560" w:lineRule="exact"/>
        <w:ind w:firstLine="631"/>
        <w:rPr>
          <w:rFonts w:ascii="Times New Roman"/>
          <w:b w:val="0"/>
          <w:bCs w:val="0"/>
          <w:color w:val="000000"/>
          <w:kern w:val="0"/>
        </w:rPr>
      </w:pPr>
      <w:r>
        <w:rPr>
          <w:rFonts w:hint="eastAsia" w:ascii="黑体" w:hAnsi="黑体" w:eastAsia="黑体" w:cs="黑体"/>
          <w:b w:val="0"/>
          <w:bCs w:val="0"/>
        </w:rPr>
        <w:t>第十六条</w:t>
      </w:r>
      <w:r>
        <w:rPr>
          <w:rFonts w:hint="eastAsia" w:ascii="Times New Roman"/>
          <w:b w:val="0"/>
          <w:bCs w:val="0"/>
          <w:color w:val="000000"/>
          <w:kern w:val="0"/>
        </w:rPr>
        <w:t xml:space="preserve"> </w:t>
      </w:r>
      <w:r>
        <w:rPr>
          <w:rFonts w:hint="eastAsia" w:ascii="Times New Roman"/>
          <w:b w:val="0"/>
          <w:bCs w:val="0"/>
        </w:rPr>
        <w:t>招标投标行政监督部门</w:t>
      </w:r>
      <w:r>
        <w:rPr>
          <w:rFonts w:ascii="Times New Roman"/>
          <w:b w:val="0"/>
          <w:bCs w:val="0"/>
          <w:color w:val="000000"/>
          <w:kern w:val="0"/>
        </w:rPr>
        <w:t>对</w:t>
      </w:r>
      <w:r>
        <w:rPr>
          <w:rFonts w:hint="eastAsia" w:ascii="Times New Roman"/>
          <w:b w:val="0"/>
          <w:bCs w:val="0"/>
          <w:color w:val="000000"/>
          <w:kern w:val="0"/>
        </w:rPr>
        <w:t>存在《南通市工程建设项目招标投标活动负面清单》所列情形的</w:t>
      </w:r>
      <w:r>
        <w:rPr>
          <w:rFonts w:ascii="Times New Roman"/>
          <w:b w:val="0"/>
          <w:bCs w:val="0"/>
          <w:color w:val="000000"/>
          <w:kern w:val="0"/>
        </w:rPr>
        <w:t>招标</w:t>
      </w:r>
      <w:r>
        <w:rPr>
          <w:rFonts w:hint="eastAsia" w:ascii="Times New Roman"/>
          <w:b w:val="0"/>
          <w:bCs w:val="0"/>
          <w:color w:val="000000"/>
          <w:kern w:val="0"/>
        </w:rPr>
        <w:t>人，视情约谈、提出监督意见。行业监管部门加强对项目合同订立、履行及变更的行政监督，强化信用管理，及时依法查处违法违规行为。监察机关依法对与招标投标活动有关的监察对象实施监察。</w:t>
      </w:r>
    </w:p>
    <w:p>
      <w:pPr>
        <w:spacing w:line="560" w:lineRule="exact"/>
        <w:ind w:firstLine="632" w:firstLineChars="200"/>
        <w:rPr>
          <w:b w:val="0"/>
          <w:bCs w:val="0"/>
        </w:rPr>
      </w:pPr>
      <w:r>
        <w:rPr>
          <w:rFonts w:hint="eastAsia" w:ascii="黑体" w:hAnsi="黑体" w:eastAsia="黑体" w:cs="黑体"/>
          <w:b w:val="0"/>
          <w:bCs w:val="0"/>
        </w:rPr>
        <w:t>第十七条</w:t>
      </w:r>
      <w:r>
        <w:rPr>
          <w:rFonts w:hint="eastAsia" w:ascii="Times New Roman"/>
          <w:b w:val="0"/>
          <w:bCs w:val="0"/>
        </w:rPr>
        <w:t xml:space="preserve"> 完善建设工程招标投标全流程智慧监管分析平台功能，畅通招标投标行政监督部门、纪检监察机关、司法机关、审计机关等监督监管通道，建立开放协同的监管网络。</w:t>
      </w:r>
    </w:p>
    <w:p>
      <w:pPr>
        <w:spacing w:line="560" w:lineRule="exact"/>
        <w:ind w:firstLine="632" w:firstLineChars="200"/>
        <w:rPr>
          <w:rFonts w:ascii="Times New Roman"/>
          <w:b w:val="0"/>
          <w:bCs w:val="0"/>
        </w:rPr>
      </w:pPr>
      <w:r>
        <w:rPr>
          <w:rFonts w:hint="eastAsia" w:ascii="黑体" w:hAnsi="黑体" w:eastAsia="黑体" w:cs="黑体"/>
          <w:b w:val="0"/>
          <w:bCs w:val="0"/>
        </w:rPr>
        <w:t>第十八条</w:t>
      </w:r>
      <w:r>
        <w:rPr>
          <w:rFonts w:hint="eastAsia" w:ascii="Times New Roman"/>
          <w:b w:val="0"/>
          <w:bCs w:val="0"/>
        </w:rPr>
        <w:t xml:space="preserve"> 对违反本实施意见的各类主体，由有关部门依法依规追究责任。</w:t>
      </w:r>
    </w:p>
    <w:p>
      <w:pPr>
        <w:spacing w:line="560" w:lineRule="exact"/>
        <w:ind w:firstLine="632" w:firstLineChars="200"/>
        <w:rPr>
          <w:rFonts w:ascii="Times New Roman"/>
          <w:b w:val="0"/>
          <w:bCs w:val="0"/>
          <w:color w:val="000000"/>
          <w:kern w:val="0"/>
        </w:rPr>
      </w:pPr>
      <w:r>
        <w:rPr>
          <w:rFonts w:hint="eastAsia" w:ascii="黑体" w:hAnsi="黑体" w:eastAsia="黑体" w:cs="黑体"/>
          <w:b w:val="0"/>
          <w:bCs w:val="0"/>
        </w:rPr>
        <w:t>第十九条</w:t>
      </w:r>
      <w:r>
        <w:rPr>
          <w:rFonts w:ascii="Times New Roman"/>
          <w:b w:val="0"/>
          <w:bCs w:val="0"/>
          <w:color w:val="000000"/>
          <w:kern w:val="0"/>
        </w:rPr>
        <w:t xml:space="preserve"> 本实施意见自202</w:t>
      </w:r>
      <w:r>
        <w:rPr>
          <w:rFonts w:hint="eastAsia" w:ascii="Times New Roman"/>
          <w:b w:val="0"/>
          <w:bCs w:val="0"/>
          <w:color w:val="000000"/>
          <w:kern w:val="0"/>
        </w:rPr>
        <w:t>5</w:t>
      </w:r>
      <w:r>
        <w:rPr>
          <w:rFonts w:ascii="Times New Roman"/>
          <w:b w:val="0"/>
          <w:bCs w:val="0"/>
          <w:color w:val="000000"/>
          <w:kern w:val="0"/>
        </w:rPr>
        <w:t>年</w:t>
      </w:r>
      <w:r>
        <w:rPr>
          <w:rFonts w:hint="eastAsia" w:ascii="Times New Roman"/>
          <w:b w:val="0"/>
          <w:bCs w:val="0"/>
          <w:color w:val="000000"/>
          <w:kern w:val="0"/>
        </w:rPr>
        <w:t>8</w:t>
      </w:r>
      <w:r>
        <w:rPr>
          <w:rFonts w:ascii="Times New Roman"/>
          <w:b w:val="0"/>
          <w:bCs w:val="0"/>
          <w:color w:val="000000"/>
          <w:kern w:val="0"/>
        </w:rPr>
        <w:t>月1日起施行，有效期至20</w:t>
      </w:r>
      <w:r>
        <w:rPr>
          <w:rFonts w:hint="eastAsia" w:ascii="Times New Roman"/>
          <w:b w:val="0"/>
          <w:bCs w:val="0"/>
          <w:color w:val="000000"/>
          <w:kern w:val="0"/>
        </w:rPr>
        <w:t>30</w:t>
      </w:r>
      <w:r>
        <w:rPr>
          <w:rFonts w:ascii="Times New Roman"/>
          <w:b w:val="0"/>
          <w:bCs w:val="0"/>
          <w:color w:val="000000"/>
          <w:kern w:val="0"/>
        </w:rPr>
        <w:t>年</w:t>
      </w:r>
      <w:r>
        <w:rPr>
          <w:rFonts w:hint="eastAsia" w:ascii="Times New Roman"/>
          <w:b w:val="0"/>
          <w:bCs w:val="0"/>
          <w:color w:val="000000"/>
          <w:kern w:val="0"/>
        </w:rPr>
        <w:t>7</w:t>
      </w:r>
      <w:r>
        <w:rPr>
          <w:rFonts w:ascii="Times New Roman"/>
          <w:b w:val="0"/>
          <w:bCs w:val="0"/>
          <w:color w:val="000000"/>
          <w:kern w:val="0"/>
        </w:rPr>
        <w:t>月</w:t>
      </w:r>
      <w:r>
        <w:rPr>
          <w:rFonts w:hint="eastAsia" w:ascii="Times New Roman"/>
          <w:b w:val="0"/>
          <w:bCs w:val="0"/>
          <w:color w:val="000000"/>
          <w:kern w:val="0"/>
        </w:rPr>
        <w:t>31</w:t>
      </w:r>
      <w:r>
        <w:rPr>
          <w:rFonts w:ascii="Times New Roman"/>
          <w:b w:val="0"/>
          <w:bCs w:val="0"/>
          <w:color w:val="000000"/>
          <w:kern w:val="0"/>
        </w:rPr>
        <w:t>日，本市相关规定与本意见不符的，按本意见执行。</w:t>
      </w:r>
    </w:p>
    <w:p>
      <w:pPr>
        <w:spacing w:after="120" w:line="560" w:lineRule="exact"/>
        <w:ind w:firstLine="631"/>
        <w:rPr>
          <w:rFonts w:ascii="Times New Roman"/>
          <w:b w:val="0"/>
          <w:bCs w:val="0"/>
          <w:color w:val="000000"/>
          <w:kern w:val="0"/>
        </w:rPr>
      </w:pPr>
    </w:p>
    <w:p>
      <w:pPr>
        <w:widowControl/>
        <w:spacing w:line="560" w:lineRule="exact"/>
        <w:jc w:val="center"/>
        <w:rPr>
          <w:rFonts w:hint="eastAsia" w:ascii="Times New Roman"/>
          <w:b w:val="0"/>
          <w:bCs w:val="0"/>
        </w:rPr>
      </w:pPr>
    </w:p>
    <w:p>
      <w:pPr>
        <w:pStyle w:val="12"/>
        <w:ind w:left="632"/>
        <w:rPr>
          <w:rFonts w:hint="eastAsia" w:ascii="Times New Roman" w:eastAsia="宋体"/>
          <w:b w:val="0"/>
          <w:bCs w:val="0"/>
        </w:rPr>
      </w:pPr>
    </w:p>
    <w:p>
      <w:pPr>
        <w:pStyle w:val="12"/>
        <w:ind w:left="632"/>
        <w:rPr>
          <w:rFonts w:hint="eastAsia" w:ascii="Times New Roman" w:eastAsia="宋体"/>
          <w:b w:val="0"/>
          <w:bCs w:val="0"/>
        </w:rPr>
      </w:pPr>
    </w:p>
    <w:p>
      <w:pPr>
        <w:pStyle w:val="12"/>
        <w:ind w:left="632"/>
        <w:rPr>
          <w:rFonts w:hint="eastAsia" w:ascii="Times New Roman" w:eastAsia="宋体"/>
          <w:b w:val="0"/>
          <w:bCs w:val="0"/>
        </w:rPr>
      </w:pPr>
    </w:p>
    <w:p>
      <w:pPr>
        <w:pStyle w:val="12"/>
        <w:ind w:left="632"/>
        <w:rPr>
          <w:rFonts w:ascii="Times New Roman" w:eastAsia="宋体"/>
          <w:b w:val="0"/>
          <w:bCs w:val="0"/>
        </w:rPr>
      </w:pPr>
    </w:p>
    <w:p>
      <w:pPr>
        <w:pStyle w:val="6"/>
        <w:rPr>
          <w:rFonts w:ascii="Times New Roman" w:eastAsia="仿宋_GB2312"/>
          <w:b w:val="0"/>
          <w:bCs w:val="0"/>
          <w:sz w:val="28"/>
          <w:szCs w:val="28"/>
        </w:rPr>
      </w:pPr>
    </w:p>
    <w:p>
      <w:pPr>
        <w:pStyle w:val="6"/>
        <w:rPr>
          <w:rFonts w:ascii="Times New Roman" w:eastAsia="仿宋_GB2312"/>
          <w:b w:val="0"/>
          <w:bCs w:val="0"/>
          <w:sz w:val="28"/>
          <w:szCs w:val="28"/>
        </w:rPr>
      </w:pPr>
    </w:p>
    <w:p>
      <w:pPr>
        <w:widowControl/>
        <w:overflowPunct w:val="0"/>
        <w:autoSpaceDE w:val="0"/>
        <w:autoSpaceDN w:val="0"/>
        <w:adjustRightInd w:val="0"/>
        <w:spacing w:line="500" w:lineRule="exact"/>
        <w:ind w:firstLine="316" w:firstLineChars="100"/>
        <w:rPr>
          <w:rFonts w:ascii="Times New Roman"/>
          <w:b w:val="0"/>
          <w:bCs w:val="0"/>
          <w:color w:val="000000"/>
          <w:sz w:val="28"/>
          <w:szCs w:val="28"/>
        </w:rPr>
      </w:pPr>
      <w:r>
        <w:rPr>
          <w:rFonts w:ascii="Times New Roman"/>
          <w:b w:val="0"/>
          <w:bCs w:val="0"/>
        </w:rPr>
        <w:pict>
          <v:line id="直接连接符 5" o:spid="_x0000_s1028" o:spt="20" style="position:absolute;left:0pt;margin-left:-4.95pt;margin-top:4.5pt;height:0pt;width:425.25pt;z-index:251658240;mso-width-relative:page;mso-height-relative:page;" coordsize="21600,21600" o:gfxdata="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LriFDWAAAACAEAAA8AAAAA&#10;AAAAAQAgAAAAIgAAAGRycy9kb3ducmV2LnhtbFBLAQIUABQAAAAIAIdO4kBeBPIn3QEAAKUDAAAO&#10;AAAAAAAAAAEAIAAAACUBAABkcnMvZTJvRG9jLnhtbFBLBQYAAAAABgAGAFkBAAB0BQAAAAA=&#10;">
            <v:path arrowok="t"/>
            <v:fill focussize="0,0"/>
            <v:stroke weight="1.5pt"/>
            <v:imagedata o:title=""/>
            <o:lock v:ext="edit"/>
          </v:line>
        </w:pict>
      </w:r>
      <w:r>
        <w:rPr>
          <w:rFonts w:ascii="Times New Roman"/>
          <w:b w:val="0"/>
          <w:bCs w:val="0"/>
          <w:color w:val="000000"/>
          <w:sz w:val="28"/>
          <w:szCs w:val="28"/>
        </w:rPr>
        <w:t>抄送：</w:t>
      </w:r>
      <w:r>
        <w:rPr>
          <w:rFonts w:ascii="Times New Roman"/>
          <w:b w:val="0"/>
          <w:bCs w:val="0"/>
          <w:color w:val="000000"/>
          <w:spacing w:val="-8"/>
          <w:sz w:val="28"/>
          <w:szCs w:val="28"/>
        </w:rPr>
        <w:t>市委办公室，市人大常委会办公室，市政协办公室。</w:t>
      </w:r>
    </w:p>
    <w:p>
      <w:pPr>
        <w:widowControl/>
        <w:overflowPunct w:val="0"/>
        <w:autoSpaceDE w:val="0"/>
        <w:autoSpaceDN w:val="0"/>
        <w:adjustRightInd w:val="0"/>
        <w:spacing w:line="560" w:lineRule="exact"/>
        <w:ind w:firstLine="316" w:firstLineChars="100"/>
        <w:rPr>
          <w:rFonts w:hint="eastAsia" w:ascii="Times New Roman" w:eastAsia="方正仿宋_GBK"/>
          <w:b w:val="0"/>
          <w:bCs w:val="0"/>
          <w:color w:val="000000"/>
        </w:rPr>
      </w:pPr>
      <w:r>
        <w:rPr>
          <w:rFonts w:ascii="Times New Roman"/>
          <w:b w:val="0"/>
          <w:bCs w:val="0"/>
        </w:rPr>
        <w:pict>
          <v:line id="直接连接符 6" o:spid="_x0000_s1029" o:spt="20" style="position:absolute;left:0pt;margin-left:-5pt;margin-top:5.15pt;height:0pt;width:425.25pt;z-index:251659264;mso-width-relative:page;mso-height-relative:page;" coordsize="21600,21600" o:gfxdata="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Et1xLUAAAABQEAAA8AAAAA&#10;AAAAAQAgAAAAIgAAAGRycy9kb3ducmV2LnhtbFBLAQIUABQAAAAIAIdO4kBpytF/3wEAAKQDAAAO&#10;AAAAAAAAAAEAIAAAACMBAABkcnMvZTJvRG9jLnhtbFBLBQYAAAAABgAGAFkBAAB0BQAAAAA=&#10;">
            <v:path arrowok="t"/>
            <v:fill focussize="0,0"/>
            <v:stroke/>
            <v:imagedata o:title=""/>
            <o:lock v:ext="edit"/>
          </v:line>
        </w:pict>
      </w:r>
      <w:r>
        <w:rPr>
          <w:rFonts w:ascii="Times New Roman"/>
          <w:b w:val="0"/>
          <w:bCs w:val="0"/>
        </w:rPr>
        <w:pict>
          <v:line id="直接连接符 8" o:spid="_x0000_s1030" o:spt="20" style="position:absolute;left:0pt;margin-left:-4.95pt;margin-top:31.6pt;height:0pt;width:425.25pt;z-index:251658240;mso-width-relative:page;mso-height-relative:page;" coordsize="21600,21600" o:gfxdata="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MX5OXVAAAACAEAAA8AAAAA&#10;AAAAAQAgAAAAIgAAAGRycy9kb3ducmV2LnhtbFBLAQIUABQAAAAIAIdO4kDN+q763gEAAKUDAAAO&#10;AAAAAAAAAAEAIAAAACQBAABkcnMvZTJvRG9jLnhtbFBLBQYAAAAABgAGAFkBAAB0BQAAAAA=&#10;">
            <v:path arrowok="t"/>
            <v:fill focussize="0,0"/>
            <v:stroke weight="1.5pt"/>
            <v:imagedata o:title=""/>
            <o:lock v:ext="edit"/>
          </v:line>
        </w:pict>
      </w:r>
      <w:r>
        <w:rPr>
          <w:rFonts w:ascii="Times New Roman"/>
          <w:b w:val="0"/>
          <w:bCs w:val="0"/>
          <w:color w:val="000000"/>
          <w:sz w:val="28"/>
          <w:szCs w:val="28"/>
        </w:rPr>
        <w:t xml:space="preserve">如皋市人民政府办公室                  </w:t>
      </w:r>
      <w:r>
        <w:rPr>
          <w:rFonts w:hint="eastAsia" w:ascii="Times New Roman"/>
          <w:b w:val="0"/>
          <w:bCs w:val="0"/>
          <w:color w:val="000000"/>
          <w:sz w:val="28"/>
          <w:szCs w:val="28"/>
        </w:rPr>
        <w:t xml:space="preserve">  </w:t>
      </w:r>
      <w:r>
        <w:rPr>
          <w:rFonts w:ascii="Times New Roman"/>
          <w:b w:val="0"/>
          <w:bCs w:val="0"/>
          <w:color w:val="000000"/>
          <w:sz w:val="28"/>
          <w:szCs w:val="28"/>
        </w:rPr>
        <w:t>202</w:t>
      </w:r>
      <w:r>
        <w:rPr>
          <w:rFonts w:hint="eastAsia" w:ascii="Times New Roman"/>
          <w:b w:val="0"/>
          <w:bCs w:val="0"/>
          <w:color w:val="000000"/>
          <w:sz w:val="28"/>
          <w:szCs w:val="28"/>
          <w:lang w:val="en-US" w:eastAsia="zh-CN"/>
        </w:rPr>
        <w:t>5</w:t>
      </w:r>
      <w:r>
        <w:rPr>
          <w:rFonts w:ascii="Times New Roman"/>
          <w:b w:val="0"/>
          <w:bCs w:val="0"/>
          <w:color w:val="000000"/>
          <w:sz w:val="28"/>
          <w:szCs w:val="28"/>
        </w:rPr>
        <w:t>年</w:t>
      </w:r>
      <w:r>
        <w:rPr>
          <w:rFonts w:hint="eastAsia" w:ascii="Times New Roman"/>
          <w:b w:val="0"/>
          <w:bCs w:val="0"/>
          <w:color w:val="000000"/>
          <w:sz w:val="28"/>
          <w:szCs w:val="28"/>
          <w:lang w:val="en-US" w:eastAsia="zh-CN"/>
        </w:rPr>
        <w:t>7</w:t>
      </w:r>
      <w:r>
        <w:rPr>
          <w:rFonts w:ascii="Times New Roman"/>
          <w:b w:val="0"/>
          <w:bCs w:val="0"/>
          <w:color w:val="000000"/>
          <w:sz w:val="28"/>
          <w:szCs w:val="28"/>
        </w:rPr>
        <w:t>月</w:t>
      </w:r>
      <w:r>
        <w:rPr>
          <w:rFonts w:hint="eastAsia" w:ascii="Times New Roman"/>
          <w:b w:val="0"/>
          <w:bCs w:val="0"/>
          <w:color w:val="000000"/>
          <w:sz w:val="28"/>
          <w:szCs w:val="28"/>
          <w:lang w:val="en-US" w:eastAsia="zh-CN"/>
        </w:rPr>
        <w:t>1</w:t>
      </w:r>
      <w:r>
        <w:rPr>
          <w:rFonts w:ascii="Times New Roman"/>
          <w:b w:val="0"/>
          <w:bCs w:val="0"/>
          <w:color w:val="000000"/>
          <w:sz w:val="28"/>
          <w:szCs w:val="28"/>
        </w:rPr>
        <w:t>日印发</w:t>
      </w:r>
    </w:p>
    <w:sectPr>
      <w:footerReference r:id="rId3" w:type="default"/>
      <w:pgSz w:w="11906" w:h="16838"/>
      <w:pgMar w:top="1587" w:right="1644" w:bottom="1474" w:left="1644" w:header="851" w:footer="907" w:gutter="0"/>
      <w:pgNumType w:fmt="decimal"/>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6E03D4-2D4C-460C-B3BF-63223C4D6A99}"/>
  </w:font>
  <w:font w:name="Arial">
    <w:panose1 w:val="020B0604020202020204"/>
    <w:charset w:val="01"/>
    <w:family w:val="swiss"/>
    <w:pitch w:val="default"/>
    <w:sig w:usb0="E0002EFF" w:usb1="C000785B" w:usb2="00000009" w:usb3="00000000" w:csb0="400001FF" w:csb1="FFFF0000"/>
    <w:embedRegular r:id="rId2" w:fontKey="{DB410887-7F9B-4FDB-9474-11C96969998C}"/>
  </w:font>
  <w:font w:name="黑体">
    <w:panose1 w:val="02010609060101010101"/>
    <w:charset w:val="86"/>
    <w:family w:val="auto"/>
    <w:pitch w:val="default"/>
    <w:sig w:usb0="800002BF" w:usb1="38CF7CFA" w:usb2="00000016" w:usb3="00000000" w:csb0="00040001" w:csb1="00000000"/>
    <w:embedRegular r:id="rId3" w:fontKey="{63924FAC-AD81-43D9-939F-B846BE3C47CA}"/>
  </w:font>
  <w:font w:name="Courier New">
    <w:panose1 w:val="02070309020205020404"/>
    <w:charset w:val="01"/>
    <w:family w:val="modern"/>
    <w:pitch w:val="default"/>
    <w:sig w:usb0="E0002EFF" w:usb1="C0007843" w:usb2="00000009" w:usb3="00000000" w:csb0="400001FF" w:csb1="FFFF0000"/>
    <w:embedRegular r:id="rId4" w:fontKey="{BFEE4921-07DB-47B6-B5C9-63B4782E501D}"/>
  </w:font>
  <w:font w:name="Symbol">
    <w:panose1 w:val="05050102010706020507"/>
    <w:charset w:val="02"/>
    <w:family w:val="roman"/>
    <w:pitch w:val="default"/>
    <w:sig w:usb0="00000000" w:usb1="00000000" w:usb2="00000000" w:usb3="00000000" w:csb0="80000000" w:csb1="00000000"/>
    <w:embedRegular r:id="rId5" w:fontKey="{97201B2A-D119-42F8-B237-AA8C5ABBC0F4}"/>
  </w:font>
  <w:font w:name="Calibri">
    <w:panose1 w:val="020F0502020204030204"/>
    <w:charset w:val="00"/>
    <w:family w:val="swiss"/>
    <w:pitch w:val="default"/>
    <w:sig w:usb0="E4002EFF" w:usb1="C000247B" w:usb2="00000009" w:usb3="00000000" w:csb0="200001FF" w:csb1="00000000"/>
    <w:embedRegular r:id="rId6" w:fontKey="{6C3965B9-9DD8-4512-BDD9-E7DF1B0BBF1C}"/>
  </w:font>
  <w:font w:name="仿宋_GB2312">
    <w:panose1 w:val="02010609030101010101"/>
    <w:charset w:val="86"/>
    <w:family w:val="modern"/>
    <w:pitch w:val="default"/>
    <w:sig w:usb0="00000001" w:usb1="080E0000" w:usb2="00000000" w:usb3="00000000" w:csb0="00040000" w:csb1="00000000"/>
    <w:embedRegular r:id="rId7" w:fontKey="{D7B0071F-5C4E-4F09-8061-FE1B44B55222}"/>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8" w:fontKey="{3EF99590-BC53-436B-A46C-BCA60136D00F}"/>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embedRegular r:id="rId9" w:fontKey="{BF41D287-2A7D-4A98-923F-3042963F015E}"/>
  </w:font>
  <w:font w:name="FZFSK--GBK1-0">
    <w:altName w:val="Times New Roman"/>
    <w:panose1 w:val="00000000000000000000"/>
    <w:charset w:val="00"/>
    <w:family w:val="roman"/>
    <w:pitch w:val="default"/>
    <w:sig w:usb0="00000000" w:usb1="00000000" w:usb2="00000000" w:usb3="00000000" w:csb0="00040001" w:csb1="00000000"/>
  </w:font>
  <w:font w:name="方正仿宋_GBK">
    <w:altName w:val="微软雅黑"/>
    <w:panose1 w:val="00000000000000000000"/>
    <w:charset w:val="86"/>
    <w:family w:val="script"/>
    <w:pitch w:val="default"/>
    <w:sig w:usb0="00000000" w:usb1="00000000" w:usb2="00000000" w:usb3="00000000" w:csb0="00040000" w:csb1="00000000"/>
    <w:embedRegular r:id="rId10" w:fontKey="{3E00CD91-B61D-4E84-B9D0-8F2474B9FD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left="640" w:leftChars="200" w:right="640" w:rightChars="200"/>
      <w:jc w:val="left"/>
      <w:rPr>
        <w:rFonts w:ascii="宋体" w:hAnsi="宋体" w:cs="宋体"/>
        <w:sz w:val="28"/>
        <w:szCs w:val="28"/>
      </w:rPr>
    </w:pPr>
    <w:r>
      <w:rPr>
        <w:sz w:val="28"/>
      </w:rPr>
      <w:pict>
        <v:shape id="_x0000_s2053" o:spid="_x0000_s2053" o:spt="202" type="#_x0000_t202" style="position:absolute;left:0pt;margin-top:3.95pt;height:20.85pt;width:115.9pt;mso-position-horizontal:outside;mso-position-horizontal-relative:margin;z-index:251658240;mso-width-relative:page;mso-height-relative:page;" filled="f" stroked="f" coordsize="21600,21600">
          <v:path/>
          <v:fill on="f" focussize="0,0"/>
          <v:stroke on="f"/>
          <v:imagedata o:title=""/>
          <o:lock v:ext="edit" aspectratio="f"/>
          <v:textbox inset="0mm,0mm,0mm,0mm">
            <w:txbxContent>
              <w:p>
                <w:pPr>
                  <w:snapToGrid w:val="0"/>
                  <w:ind w:left="640" w:leftChars="200" w:right="640" w:rightChars="200"/>
                  <w:jc w:val="left"/>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w:r>
  </w:p>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cumentProtection w:enforcement="0"/>
  <w:defaultTabStop w:val="420"/>
  <w:drawingGridHorizontalSpacing w:val="158"/>
  <w:drawingGridVerticalSpacing w:val="579"/>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EzNzg5ZThlMDVjNGNmNTAxZDg5ZTAyNDk2NzkxMjkifQ=="/>
  </w:docVars>
  <w:rsids>
    <w:rsidRoot w:val="00172A27"/>
    <w:rsid w:val="00001006"/>
    <w:rsid w:val="0002038B"/>
    <w:rsid w:val="0002552F"/>
    <w:rsid w:val="0003288C"/>
    <w:rsid w:val="0005759F"/>
    <w:rsid w:val="0007080C"/>
    <w:rsid w:val="000840BA"/>
    <w:rsid w:val="0009258D"/>
    <w:rsid w:val="00093FD1"/>
    <w:rsid w:val="000954E1"/>
    <w:rsid w:val="000A26DB"/>
    <w:rsid w:val="000A423B"/>
    <w:rsid w:val="000B08CA"/>
    <w:rsid w:val="000B5B15"/>
    <w:rsid w:val="000B5CA8"/>
    <w:rsid w:val="000C51A4"/>
    <w:rsid w:val="000C7BD8"/>
    <w:rsid w:val="000D11EB"/>
    <w:rsid w:val="000D4260"/>
    <w:rsid w:val="000D4460"/>
    <w:rsid w:val="00103C01"/>
    <w:rsid w:val="00116F12"/>
    <w:rsid w:val="00147A81"/>
    <w:rsid w:val="00152CA7"/>
    <w:rsid w:val="00154017"/>
    <w:rsid w:val="001555E8"/>
    <w:rsid w:val="001660DB"/>
    <w:rsid w:val="00166AA2"/>
    <w:rsid w:val="00195AA0"/>
    <w:rsid w:val="001B448A"/>
    <w:rsid w:val="001B50B9"/>
    <w:rsid w:val="001C19B4"/>
    <w:rsid w:val="001C5075"/>
    <w:rsid w:val="001D7F26"/>
    <w:rsid w:val="001F067E"/>
    <w:rsid w:val="001F2250"/>
    <w:rsid w:val="001F5B62"/>
    <w:rsid w:val="002059DE"/>
    <w:rsid w:val="002156B2"/>
    <w:rsid w:val="002170E8"/>
    <w:rsid w:val="002476D0"/>
    <w:rsid w:val="00254374"/>
    <w:rsid w:val="002560C0"/>
    <w:rsid w:val="002611B2"/>
    <w:rsid w:val="00262F43"/>
    <w:rsid w:val="00263892"/>
    <w:rsid w:val="00264D15"/>
    <w:rsid w:val="00284DC0"/>
    <w:rsid w:val="002922A3"/>
    <w:rsid w:val="00293571"/>
    <w:rsid w:val="002A675F"/>
    <w:rsid w:val="002B6B7E"/>
    <w:rsid w:val="002C5FBA"/>
    <w:rsid w:val="002C630D"/>
    <w:rsid w:val="002D5162"/>
    <w:rsid w:val="002E4CB8"/>
    <w:rsid w:val="002E50FC"/>
    <w:rsid w:val="002E6B93"/>
    <w:rsid w:val="002F01E6"/>
    <w:rsid w:val="002F1702"/>
    <w:rsid w:val="002F55F5"/>
    <w:rsid w:val="002F60B5"/>
    <w:rsid w:val="003002A5"/>
    <w:rsid w:val="00300C05"/>
    <w:rsid w:val="003105F2"/>
    <w:rsid w:val="00310C76"/>
    <w:rsid w:val="00311937"/>
    <w:rsid w:val="003153E7"/>
    <w:rsid w:val="00317FF5"/>
    <w:rsid w:val="003241D5"/>
    <w:rsid w:val="003308B0"/>
    <w:rsid w:val="003344FA"/>
    <w:rsid w:val="00341B9F"/>
    <w:rsid w:val="00346B6D"/>
    <w:rsid w:val="0035452B"/>
    <w:rsid w:val="00363804"/>
    <w:rsid w:val="00370426"/>
    <w:rsid w:val="00373BF6"/>
    <w:rsid w:val="00373C28"/>
    <w:rsid w:val="00381062"/>
    <w:rsid w:val="00385F12"/>
    <w:rsid w:val="00385FFC"/>
    <w:rsid w:val="00396AB1"/>
    <w:rsid w:val="003A0D45"/>
    <w:rsid w:val="003A13C2"/>
    <w:rsid w:val="003B4141"/>
    <w:rsid w:val="003D2619"/>
    <w:rsid w:val="003D3C76"/>
    <w:rsid w:val="003E7B15"/>
    <w:rsid w:val="003F1C83"/>
    <w:rsid w:val="00420BA0"/>
    <w:rsid w:val="00424C53"/>
    <w:rsid w:val="0042612F"/>
    <w:rsid w:val="004357B1"/>
    <w:rsid w:val="004415A6"/>
    <w:rsid w:val="004415E3"/>
    <w:rsid w:val="004439D3"/>
    <w:rsid w:val="004501E2"/>
    <w:rsid w:val="00466D1A"/>
    <w:rsid w:val="004670D2"/>
    <w:rsid w:val="00473F8B"/>
    <w:rsid w:val="0047461D"/>
    <w:rsid w:val="00484EBA"/>
    <w:rsid w:val="0049267B"/>
    <w:rsid w:val="004A5348"/>
    <w:rsid w:val="004B21A2"/>
    <w:rsid w:val="004C1AD0"/>
    <w:rsid w:val="004C4FD4"/>
    <w:rsid w:val="004C64BA"/>
    <w:rsid w:val="004C6A2D"/>
    <w:rsid w:val="004D154F"/>
    <w:rsid w:val="004E0A44"/>
    <w:rsid w:val="004E102C"/>
    <w:rsid w:val="004F6C81"/>
    <w:rsid w:val="005050BF"/>
    <w:rsid w:val="00511220"/>
    <w:rsid w:val="00515907"/>
    <w:rsid w:val="00523806"/>
    <w:rsid w:val="00541E23"/>
    <w:rsid w:val="00550FB9"/>
    <w:rsid w:val="0055162C"/>
    <w:rsid w:val="005670D0"/>
    <w:rsid w:val="00575C4C"/>
    <w:rsid w:val="0058212F"/>
    <w:rsid w:val="00582141"/>
    <w:rsid w:val="00583A37"/>
    <w:rsid w:val="0058693F"/>
    <w:rsid w:val="005B01DD"/>
    <w:rsid w:val="005B333B"/>
    <w:rsid w:val="005B4DB5"/>
    <w:rsid w:val="005C3AA9"/>
    <w:rsid w:val="005C61DF"/>
    <w:rsid w:val="005C6F21"/>
    <w:rsid w:val="005D00F4"/>
    <w:rsid w:val="005D238E"/>
    <w:rsid w:val="005D7EF2"/>
    <w:rsid w:val="005F186C"/>
    <w:rsid w:val="005F3AF3"/>
    <w:rsid w:val="00602359"/>
    <w:rsid w:val="006118AD"/>
    <w:rsid w:val="006430E7"/>
    <w:rsid w:val="006459CF"/>
    <w:rsid w:val="00671B27"/>
    <w:rsid w:val="00681C6C"/>
    <w:rsid w:val="00692AC9"/>
    <w:rsid w:val="006946CC"/>
    <w:rsid w:val="006B0CA5"/>
    <w:rsid w:val="006B4809"/>
    <w:rsid w:val="006B4AAB"/>
    <w:rsid w:val="006C0394"/>
    <w:rsid w:val="006C1176"/>
    <w:rsid w:val="006D0FCF"/>
    <w:rsid w:val="006E0650"/>
    <w:rsid w:val="006E09C4"/>
    <w:rsid w:val="006E1199"/>
    <w:rsid w:val="006E4C7B"/>
    <w:rsid w:val="007070FC"/>
    <w:rsid w:val="00716A6A"/>
    <w:rsid w:val="00723CD7"/>
    <w:rsid w:val="007372D6"/>
    <w:rsid w:val="00737A09"/>
    <w:rsid w:val="00757B7C"/>
    <w:rsid w:val="007678FA"/>
    <w:rsid w:val="0077441D"/>
    <w:rsid w:val="00775557"/>
    <w:rsid w:val="007813B7"/>
    <w:rsid w:val="007A2678"/>
    <w:rsid w:val="007B2B3D"/>
    <w:rsid w:val="007B414C"/>
    <w:rsid w:val="007B4AED"/>
    <w:rsid w:val="007C212B"/>
    <w:rsid w:val="007D0E07"/>
    <w:rsid w:val="007D2CB3"/>
    <w:rsid w:val="007F4205"/>
    <w:rsid w:val="007F7EE6"/>
    <w:rsid w:val="00801C16"/>
    <w:rsid w:val="008100BE"/>
    <w:rsid w:val="00812592"/>
    <w:rsid w:val="0081381B"/>
    <w:rsid w:val="00821B02"/>
    <w:rsid w:val="00822B1E"/>
    <w:rsid w:val="00831AD8"/>
    <w:rsid w:val="0083568D"/>
    <w:rsid w:val="00846040"/>
    <w:rsid w:val="008475A0"/>
    <w:rsid w:val="008525BC"/>
    <w:rsid w:val="00854D6C"/>
    <w:rsid w:val="00856108"/>
    <w:rsid w:val="0086417C"/>
    <w:rsid w:val="00864DF7"/>
    <w:rsid w:val="00866DF4"/>
    <w:rsid w:val="008736EC"/>
    <w:rsid w:val="00880671"/>
    <w:rsid w:val="00880C25"/>
    <w:rsid w:val="008B14D6"/>
    <w:rsid w:val="008B4EA8"/>
    <w:rsid w:val="008B6DBC"/>
    <w:rsid w:val="008C62EF"/>
    <w:rsid w:val="008C771E"/>
    <w:rsid w:val="008D0564"/>
    <w:rsid w:val="008F0511"/>
    <w:rsid w:val="00903D96"/>
    <w:rsid w:val="009047C1"/>
    <w:rsid w:val="00930023"/>
    <w:rsid w:val="00942D46"/>
    <w:rsid w:val="009577FE"/>
    <w:rsid w:val="0096286A"/>
    <w:rsid w:val="00964CDC"/>
    <w:rsid w:val="00971CAC"/>
    <w:rsid w:val="00981BAC"/>
    <w:rsid w:val="009853DB"/>
    <w:rsid w:val="009867DB"/>
    <w:rsid w:val="009A5DFC"/>
    <w:rsid w:val="009A5F0A"/>
    <w:rsid w:val="009B31E7"/>
    <w:rsid w:val="009C17EF"/>
    <w:rsid w:val="009D0095"/>
    <w:rsid w:val="009D1466"/>
    <w:rsid w:val="009E0953"/>
    <w:rsid w:val="009E6BC0"/>
    <w:rsid w:val="009E74CE"/>
    <w:rsid w:val="009E7935"/>
    <w:rsid w:val="009F18FA"/>
    <w:rsid w:val="009F47FF"/>
    <w:rsid w:val="009F65C0"/>
    <w:rsid w:val="00A13CB4"/>
    <w:rsid w:val="00A3542A"/>
    <w:rsid w:val="00A4014E"/>
    <w:rsid w:val="00A41590"/>
    <w:rsid w:val="00A4635C"/>
    <w:rsid w:val="00A47D48"/>
    <w:rsid w:val="00A70C78"/>
    <w:rsid w:val="00A7374F"/>
    <w:rsid w:val="00A7610D"/>
    <w:rsid w:val="00A83AF9"/>
    <w:rsid w:val="00A923BA"/>
    <w:rsid w:val="00A96270"/>
    <w:rsid w:val="00AA6C4B"/>
    <w:rsid w:val="00AA72A9"/>
    <w:rsid w:val="00AA7962"/>
    <w:rsid w:val="00AD5E32"/>
    <w:rsid w:val="00AD773F"/>
    <w:rsid w:val="00AE2DD5"/>
    <w:rsid w:val="00AE5E70"/>
    <w:rsid w:val="00AE7009"/>
    <w:rsid w:val="00AF26BC"/>
    <w:rsid w:val="00B02143"/>
    <w:rsid w:val="00B11412"/>
    <w:rsid w:val="00B114B4"/>
    <w:rsid w:val="00B12986"/>
    <w:rsid w:val="00B12AEA"/>
    <w:rsid w:val="00B31160"/>
    <w:rsid w:val="00B43596"/>
    <w:rsid w:val="00B7223A"/>
    <w:rsid w:val="00B80671"/>
    <w:rsid w:val="00B933E5"/>
    <w:rsid w:val="00BA399C"/>
    <w:rsid w:val="00BB6DD3"/>
    <w:rsid w:val="00BC569A"/>
    <w:rsid w:val="00BD6310"/>
    <w:rsid w:val="00BE1BEF"/>
    <w:rsid w:val="00BF0071"/>
    <w:rsid w:val="00BF2870"/>
    <w:rsid w:val="00BF3F46"/>
    <w:rsid w:val="00BF5EF8"/>
    <w:rsid w:val="00BF690C"/>
    <w:rsid w:val="00C14C78"/>
    <w:rsid w:val="00C23345"/>
    <w:rsid w:val="00C35763"/>
    <w:rsid w:val="00C44FAC"/>
    <w:rsid w:val="00C57379"/>
    <w:rsid w:val="00C675CF"/>
    <w:rsid w:val="00C67714"/>
    <w:rsid w:val="00C71F18"/>
    <w:rsid w:val="00C8130C"/>
    <w:rsid w:val="00C95193"/>
    <w:rsid w:val="00C953A0"/>
    <w:rsid w:val="00CA3AA3"/>
    <w:rsid w:val="00CB1A41"/>
    <w:rsid w:val="00CB1EA6"/>
    <w:rsid w:val="00CB695F"/>
    <w:rsid w:val="00CB7881"/>
    <w:rsid w:val="00CC0E1F"/>
    <w:rsid w:val="00CC32D2"/>
    <w:rsid w:val="00CE4C8D"/>
    <w:rsid w:val="00CE6B2C"/>
    <w:rsid w:val="00CF0D9F"/>
    <w:rsid w:val="00CF32ED"/>
    <w:rsid w:val="00D01908"/>
    <w:rsid w:val="00D169D5"/>
    <w:rsid w:val="00D211C8"/>
    <w:rsid w:val="00D22DF4"/>
    <w:rsid w:val="00D274B0"/>
    <w:rsid w:val="00D4480B"/>
    <w:rsid w:val="00D465D3"/>
    <w:rsid w:val="00D54F88"/>
    <w:rsid w:val="00D57330"/>
    <w:rsid w:val="00D66964"/>
    <w:rsid w:val="00D768DA"/>
    <w:rsid w:val="00D847EA"/>
    <w:rsid w:val="00D84C7C"/>
    <w:rsid w:val="00D91AA2"/>
    <w:rsid w:val="00D9760D"/>
    <w:rsid w:val="00D97E00"/>
    <w:rsid w:val="00DA28C6"/>
    <w:rsid w:val="00DC0A27"/>
    <w:rsid w:val="00DE303C"/>
    <w:rsid w:val="00DF55AF"/>
    <w:rsid w:val="00DF61E5"/>
    <w:rsid w:val="00E057F4"/>
    <w:rsid w:val="00E05DA1"/>
    <w:rsid w:val="00E10488"/>
    <w:rsid w:val="00E13A98"/>
    <w:rsid w:val="00E20B21"/>
    <w:rsid w:val="00E35B86"/>
    <w:rsid w:val="00E35C0E"/>
    <w:rsid w:val="00E4172A"/>
    <w:rsid w:val="00E53B22"/>
    <w:rsid w:val="00E60094"/>
    <w:rsid w:val="00E64EC9"/>
    <w:rsid w:val="00E71B00"/>
    <w:rsid w:val="00E72431"/>
    <w:rsid w:val="00E838F1"/>
    <w:rsid w:val="00EA26F7"/>
    <w:rsid w:val="00EB6E5F"/>
    <w:rsid w:val="00EB76B5"/>
    <w:rsid w:val="00ED2486"/>
    <w:rsid w:val="00EE321C"/>
    <w:rsid w:val="00EE410B"/>
    <w:rsid w:val="00EE4A7C"/>
    <w:rsid w:val="00EF0B20"/>
    <w:rsid w:val="00EF35D2"/>
    <w:rsid w:val="00EF673E"/>
    <w:rsid w:val="00EF7903"/>
    <w:rsid w:val="00F0514F"/>
    <w:rsid w:val="00F12B3A"/>
    <w:rsid w:val="00F209DC"/>
    <w:rsid w:val="00F2340D"/>
    <w:rsid w:val="00F378F2"/>
    <w:rsid w:val="00F45787"/>
    <w:rsid w:val="00F479A8"/>
    <w:rsid w:val="00F64CA4"/>
    <w:rsid w:val="00F75DA4"/>
    <w:rsid w:val="00F80399"/>
    <w:rsid w:val="00FA209C"/>
    <w:rsid w:val="00FA3468"/>
    <w:rsid w:val="00FA487A"/>
    <w:rsid w:val="00FA6BE8"/>
    <w:rsid w:val="00FB6D59"/>
    <w:rsid w:val="00FC4700"/>
    <w:rsid w:val="00FD1199"/>
    <w:rsid w:val="00FE3D7F"/>
    <w:rsid w:val="00FE547D"/>
    <w:rsid w:val="00FE6F50"/>
    <w:rsid w:val="00FF21B0"/>
    <w:rsid w:val="00FF6C3A"/>
    <w:rsid w:val="01346480"/>
    <w:rsid w:val="01793904"/>
    <w:rsid w:val="01C769D5"/>
    <w:rsid w:val="01DE1D75"/>
    <w:rsid w:val="01F36736"/>
    <w:rsid w:val="022B77B2"/>
    <w:rsid w:val="02493A81"/>
    <w:rsid w:val="027C7A6E"/>
    <w:rsid w:val="02A27B4A"/>
    <w:rsid w:val="02A60182"/>
    <w:rsid w:val="02BD6F34"/>
    <w:rsid w:val="03677D28"/>
    <w:rsid w:val="037E3993"/>
    <w:rsid w:val="0387286B"/>
    <w:rsid w:val="03A618B5"/>
    <w:rsid w:val="03C154F3"/>
    <w:rsid w:val="04514988"/>
    <w:rsid w:val="0454368D"/>
    <w:rsid w:val="04B6508F"/>
    <w:rsid w:val="04B76C7D"/>
    <w:rsid w:val="05AE0A47"/>
    <w:rsid w:val="06047C6A"/>
    <w:rsid w:val="06337A2E"/>
    <w:rsid w:val="06590FFF"/>
    <w:rsid w:val="0706294F"/>
    <w:rsid w:val="079C2EF3"/>
    <w:rsid w:val="07DB2472"/>
    <w:rsid w:val="07E466DC"/>
    <w:rsid w:val="07E62981"/>
    <w:rsid w:val="082A7EA7"/>
    <w:rsid w:val="0879131D"/>
    <w:rsid w:val="088F46D9"/>
    <w:rsid w:val="093969AB"/>
    <w:rsid w:val="09595BBA"/>
    <w:rsid w:val="099A320D"/>
    <w:rsid w:val="09D249E7"/>
    <w:rsid w:val="0ABA486E"/>
    <w:rsid w:val="0ACD609D"/>
    <w:rsid w:val="0AF6372F"/>
    <w:rsid w:val="0AFB1864"/>
    <w:rsid w:val="0B077F8D"/>
    <w:rsid w:val="0B3C50D3"/>
    <w:rsid w:val="0B751CDF"/>
    <w:rsid w:val="0B883EE5"/>
    <w:rsid w:val="0BD25054"/>
    <w:rsid w:val="0C0D5705"/>
    <w:rsid w:val="0C192E39"/>
    <w:rsid w:val="0C8E3D84"/>
    <w:rsid w:val="0D22010D"/>
    <w:rsid w:val="0D3B2676"/>
    <w:rsid w:val="0D402C42"/>
    <w:rsid w:val="0D49304D"/>
    <w:rsid w:val="0DE83DF5"/>
    <w:rsid w:val="0E2026BD"/>
    <w:rsid w:val="0E6B27DA"/>
    <w:rsid w:val="0ED77FA3"/>
    <w:rsid w:val="0F0A225E"/>
    <w:rsid w:val="0F3B3A8E"/>
    <w:rsid w:val="0F716998"/>
    <w:rsid w:val="0FA87BA6"/>
    <w:rsid w:val="10146D9D"/>
    <w:rsid w:val="109D581A"/>
    <w:rsid w:val="10BC7EA7"/>
    <w:rsid w:val="10D42504"/>
    <w:rsid w:val="111E54AB"/>
    <w:rsid w:val="113B77CC"/>
    <w:rsid w:val="11573DC3"/>
    <w:rsid w:val="11641903"/>
    <w:rsid w:val="11AD4364"/>
    <w:rsid w:val="11F46EDA"/>
    <w:rsid w:val="12617D42"/>
    <w:rsid w:val="128628C5"/>
    <w:rsid w:val="13267C5D"/>
    <w:rsid w:val="135A35D8"/>
    <w:rsid w:val="139A5F2F"/>
    <w:rsid w:val="147D0B69"/>
    <w:rsid w:val="14C84443"/>
    <w:rsid w:val="14C8585D"/>
    <w:rsid w:val="14E26366"/>
    <w:rsid w:val="15026683"/>
    <w:rsid w:val="1505440F"/>
    <w:rsid w:val="15CC5542"/>
    <w:rsid w:val="15F00B4D"/>
    <w:rsid w:val="164231DF"/>
    <w:rsid w:val="169132F5"/>
    <w:rsid w:val="16E94842"/>
    <w:rsid w:val="1715500A"/>
    <w:rsid w:val="175266DD"/>
    <w:rsid w:val="17657BB7"/>
    <w:rsid w:val="17665203"/>
    <w:rsid w:val="1798764D"/>
    <w:rsid w:val="17AF72A1"/>
    <w:rsid w:val="18EB5022"/>
    <w:rsid w:val="19056BE3"/>
    <w:rsid w:val="19676C50"/>
    <w:rsid w:val="1A282C66"/>
    <w:rsid w:val="1A3E06FD"/>
    <w:rsid w:val="1B0A5436"/>
    <w:rsid w:val="1B6875F7"/>
    <w:rsid w:val="1B766801"/>
    <w:rsid w:val="1BAF44C8"/>
    <w:rsid w:val="1BCD7012"/>
    <w:rsid w:val="1C44678A"/>
    <w:rsid w:val="1C6146F5"/>
    <w:rsid w:val="1CD800BC"/>
    <w:rsid w:val="1D3C1215"/>
    <w:rsid w:val="1D52092A"/>
    <w:rsid w:val="1D7223CD"/>
    <w:rsid w:val="1E0E115F"/>
    <w:rsid w:val="1EC41864"/>
    <w:rsid w:val="1F1D7E5C"/>
    <w:rsid w:val="1FA46793"/>
    <w:rsid w:val="1FAC189D"/>
    <w:rsid w:val="1FBF4064"/>
    <w:rsid w:val="1FC95901"/>
    <w:rsid w:val="1FEE4CA3"/>
    <w:rsid w:val="20192EFA"/>
    <w:rsid w:val="206E1CAB"/>
    <w:rsid w:val="20E31117"/>
    <w:rsid w:val="20F339F0"/>
    <w:rsid w:val="217B1992"/>
    <w:rsid w:val="21966D5A"/>
    <w:rsid w:val="21974681"/>
    <w:rsid w:val="220331B4"/>
    <w:rsid w:val="22DB7132"/>
    <w:rsid w:val="23435939"/>
    <w:rsid w:val="23474727"/>
    <w:rsid w:val="237D224F"/>
    <w:rsid w:val="23BC7030"/>
    <w:rsid w:val="240864B0"/>
    <w:rsid w:val="24334713"/>
    <w:rsid w:val="245F018B"/>
    <w:rsid w:val="24FE1344"/>
    <w:rsid w:val="2502657F"/>
    <w:rsid w:val="25307AA9"/>
    <w:rsid w:val="25837831"/>
    <w:rsid w:val="26114920"/>
    <w:rsid w:val="26814E9C"/>
    <w:rsid w:val="26A505F8"/>
    <w:rsid w:val="26AF5D85"/>
    <w:rsid w:val="26C20F85"/>
    <w:rsid w:val="27993D15"/>
    <w:rsid w:val="27BF3767"/>
    <w:rsid w:val="28385F34"/>
    <w:rsid w:val="28564FC7"/>
    <w:rsid w:val="28945C65"/>
    <w:rsid w:val="28B33E58"/>
    <w:rsid w:val="29105CB1"/>
    <w:rsid w:val="291D52E2"/>
    <w:rsid w:val="2960772A"/>
    <w:rsid w:val="297519D4"/>
    <w:rsid w:val="2A6F6FA9"/>
    <w:rsid w:val="2AEE5882"/>
    <w:rsid w:val="2B0F3F67"/>
    <w:rsid w:val="2B7A12D4"/>
    <w:rsid w:val="2BF465EE"/>
    <w:rsid w:val="2C622657"/>
    <w:rsid w:val="2C6C00D0"/>
    <w:rsid w:val="2C764886"/>
    <w:rsid w:val="2C97287C"/>
    <w:rsid w:val="2CC03E70"/>
    <w:rsid w:val="2CD62FC9"/>
    <w:rsid w:val="2CD91B24"/>
    <w:rsid w:val="2CF36069"/>
    <w:rsid w:val="2D0247A6"/>
    <w:rsid w:val="2D146426"/>
    <w:rsid w:val="2D5B722E"/>
    <w:rsid w:val="2D607D76"/>
    <w:rsid w:val="2DBE0891"/>
    <w:rsid w:val="2DE22A64"/>
    <w:rsid w:val="2DE97B0C"/>
    <w:rsid w:val="2E520A8D"/>
    <w:rsid w:val="2E654D4B"/>
    <w:rsid w:val="2E685ED9"/>
    <w:rsid w:val="2EA65D1C"/>
    <w:rsid w:val="2EBA44FB"/>
    <w:rsid w:val="2EE56944"/>
    <w:rsid w:val="2F2001DD"/>
    <w:rsid w:val="2FA876D4"/>
    <w:rsid w:val="2FD85BC6"/>
    <w:rsid w:val="307320F5"/>
    <w:rsid w:val="30A31860"/>
    <w:rsid w:val="315E2E39"/>
    <w:rsid w:val="31851B54"/>
    <w:rsid w:val="318A49A8"/>
    <w:rsid w:val="31E653CC"/>
    <w:rsid w:val="32623B0D"/>
    <w:rsid w:val="32710BF1"/>
    <w:rsid w:val="32E07CF2"/>
    <w:rsid w:val="32FF1CB0"/>
    <w:rsid w:val="333B58C8"/>
    <w:rsid w:val="334374BD"/>
    <w:rsid w:val="33500C05"/>
    <w:rsid w:val="33507AFD"/>
    <w:rsid w:val="335E1F6D"/>
    <w:rsid w:val="33840537"/>
    <w:rsid w:val="33B35457"/>
    <w:rsid w:val="33C01EFF"/>
    <w:rsid w:val="33E04AAA"/>
    <w:rsid w:val="33FB305E"/>
    <w:rsid w:val="35FE7572"/>
    <w:rsid w:val="361F77C4"/>
    <w:rsid w:val="37283D08"/>
    <w:rsid w:val="376915C7"/>
    <w:rsid w:val="37B404CE"/>
    <w:rsid w:val="37C9242B"/>
    <w:rsid w:val="37D8388B"/>
    <w:rsid w:val="381909CF"/>
    <w:rsid w:val="38436447"/>
    <w:rsid w:val="385C528A"/>
    <w:rsid w:val="38AD166C"/>
    <w:rsid w:val="38E415DA"/>
    <w:rsid w:val="39133C63"/>
    <w:rsid w:val="396112ED"/>
    <w:rsid w:val="396E0075"/>
    <w:rsid w:val="39C00D91"/>
    <w:rsid w:val="39CA0616"/>
    <w:rsid w:val="3A012348"/>
    <w:rsid w:val="3A1C2064"/>
    <w:rsid w:val="3A4379F7"/>
    <w:rsid w:val="3A6B3427"/>
    <w:rsid w:val="3A83209C"/>
    <w:rsid w:val="3AA773B7"/>
    <w:rsid w:val="3C596469"/>
    <w:rsid w:val="3C8F2A44"/>
    <w:rsid w:val="3C960578"/>
    <w:rsid w:val="3CF45A47"/>
    <w:rsid w:val="3CF96A3D"/>
    <w:rsid w:val="3D4E0256"/>
    <w:rsid w:val="3DBD32EF"/>
    <w:rsid w:val="3ED67A81"/>
    <w:rsid w:val="3F700882"/>
    <w:rsid w:val="3F926CA7"/>
    <w:rsid w:val="3FA84D74"/>
    <w:rsid w:val="3FC55236"/>
    <w:rsid w:val="409D4FCA"/>
    <w:rsid w:val="4109140E"/>
    <w:rsid w:val="410F7392"/>
    <w:rsid w:val="41D75944"/>
    <w:rsid w:val="41F527DE"/>
    <w:rsid w:val="420057BA"/>
    <w:rsid w:val="42315938"/>
    <w:rsid w:val="4254391E"/>
    <w:rsid w:val="42A21A36"/>
    <w:rsid w:val="433F5FCF"/>
    <w:rsid w:val="434D17FA"/>
    <w:rsid w:val="4350647F"/>
    <w:rsid w:val="436756B2"/>
    <w:rsid w:val="436A6424"/>
    <w:rsid w:val="44532C51"/>
    <w:rsid w:val="446C5BDF"/>
    <w:rsid w:val="447918FB"/>
    <w:rsid w:val="4564399D"/>
    <w:rsid w:val="45702390"/>
    <w:rsid w:val="45707B23"/>
    <w:rsid w:val="45DB751E"/>
    <w:rsid w:val="46375CCE"/>
    <w:rsid w:val="46B84F30"/>
    <w:rsid w:val="47DC25E5"/>
    <w:rsid w:val="4814737A"/>
    <w:rsid w:val="482C26D9"/>
    <w:rsid w:val="48392B14"/>
    <w:rsid w:val="490C64C2"/>
    <w:rsid w:val="4972111A"/>
    <w:rsid w:val="49A20C03"/>
    <w:rsid w:val="49AB2409"/>
    <w:rsid w:val="49C549B4"/>
    <w:rsid w:val="49DF588E"/>
    <w:rsid w:val="4A284ED5"/>
    <w:rsid w:val="4AA54209"/>
    <w:rsid w:val="4AD00ED4"/>
    <w:rsid w:val="4B2672DE"/>
    <w:rsid w:val="4B8401DA"/>
    <w:rsid w:val="4B9E0991"/>
    <w:rsid w:val="4BA00F8C"/>
    <w:rsid w:val="4BC3630E"/>
    <w:rsid w:val="4BE70B6B"/>
    <w:rsid w:val="4C0C3D1E"/>
    <w:rsid w:val="4C380B72"/>
    <w:rsid w:val="4CA7022C"/>
    <w:rsid w:val="4CE46028"/>
    <w:rsid w:val="4D334978"/>
    <w:rsid w:val="4D781B9E"/>
    <w:rsid w:val="4DC54B87"/>
    <w:rsid w:val="4DE654A7"/>
    <w:rsid w:val="4DFC3AAD"/>
    <w:rsid w:val="4E6F32BD"/>
    <w:rsid w:val="4E9456AE"/>
    <w:rsid w:val="4EB17152"/>
    <w:rsid w:val="4ED25A15"/>
    <w:rsid w:val="4EEE3954"/>
    <w:rsid w:val="4F05047D"/>
    <w:rsid w:val="4F0B4609"/>
    <w:rsid w:val="4F757C44"/>
    <w:rsid w:val="4F964940"/>
    <w:rsid w:val="4F9A05BE"/>
    <w:rsid w:val="4FC60FF6"/>
    <w:rsid w:val="4FCC0CB3"/>
    <w:rsid w:val="502E7EB9"/>
    <w:rsid w:val="504263C3"/>
    <w:rsid w:val="509F0344"/>
    <w:rsid w:val="50AD5467"/>
    <w:rsid w:val="50B67A0C"/>
    <w:rsid w:val="512B6EBA"/>
    <w:rsid w:val="5144085B"/>
    <w:rsid w:val="51452060"/>
    <w:rsid w:val="51C15D80"/>
    <w:rsid w:val="51DC5168"/>
    <w:rsid w:val="51F0381F"/>
    <w:rsid w:val="521E0228"/>
    <w:rsid w:val="52B10E04"/>
    <w:rsid w:val="52F356CC"/>
    <w:rsid w:val="530253AE"/>
    <w:rsid w:val="5305101F"/>
    <w:rsid w:val="53630A12"/>
    <w:rsid w:val="53644F86"/>
    <w:rsid w:val="53741A83"/>
    <w:rsid w:val="53BB2993"/>
    <w:rsid w:val="53BD6D98"/>
    <w:rsid w:val="53E15948"/>
    <w:rsid w:val="54416448"/>
    <w:rsid w:val="54915F8D"/>
    <w:rsid w:val="54932D23"/>
    <w:rsid w:val="556C02C1"/>
    <w:rsid w:val="564231F4"/>
    <w:rsid w:val="56FF1E71"/>
    <w:rsid w:val="57025417"/>
    <w:rsid w:val="570B2413"/>
    <w:rsid w:val="5716771E"/>
    <w:rsid w:val="57336CF0"/>
    <w:rsid w:val="57ED2C14"/>
    <w:rsid w:val="58313FEA"/>
    <w:rsid w:val="58423916"/>
    <w:rsid w:val="585B6592"/>
    <w:rsid w:val="585F7BAE"/>
    <w:rsid w:val="58994FD4"/>
    <w:rsid w:val="59161E46"/>
    <w:rsid w:val="59912F74"/>
    <w:rsid w:val="59E50438"/>
    <w:rsid w:val="5A31043D"/>
    <w:rsid w:val="5A503EC2"/>
    <w:rsid w:val="5AAA75CD"/>
    <w:rsid w:val="5AAB5D27"/>
    <w:rsid w:val="5ABE590B"/>
    <w:rsid w:val="5B106DFA"/>
    <w:rsid w:val="5B391F11"/>
    <w:rsid w:val="5B7457F4"/>
    <w:rsid w:val="5BE4566E"/>
    <w:rsid w:val="5C2718D6"/>
    <w:rsid w:val="5C393D8C"/>
    <w:rsid w:val="5C9D3BA5"/>
    <w:rsid w:val="5D062DA0"/>
    <w:rsid w:val="5D4649E6"/>
    <w:rsid w:val="5D711A19"/>
    <w:rsid w:val="5D891A2D"/>
    <w:rsid w:val="5E1A0FA6"/>
    <w:rsid w:val="5E860C53"/>
    <w:rsid w:val="5ED833FE"/>
    <w:rsid w:val="5F1855F1"/>
    <w:rsid w:val="5F1A5115"/>
    <w:rsid w:val="5F5072F2"/>
    <w:rsid w:val="5F746E0D"/>
    <w:rsid w:val="5FC05F3E"/>
    <w:rsid w:val="5FEA007E"/>
    <w:rsid w:val="60131E6B"/>
    <w:rsid w:val="601F2832"/>
    <w:rsid w:val="60383903"/>
    <w:rsid w:val="606768F0"/>
    <w:rsid w:val="60B259E3"/>
    <w:rsid w:val="60D267BC"/>
    <w:rsid w:val="610474F9"/>
    <w:rsid w:val="613F0CC8"/>
    <w:rsid w:val="62261ECB"/>
    <w:rsid w:val="625E7B1B"/>
    <w:rsid w:val="62AB1A4B"/>
    <w:rsid w:val="62CA0B37"/>
    <w:rsid w:val="63142B40"/>
    <w:rsid w:val="63210111"/>
    <w:rsid w:val="63587E85"/>
    <w:rsid w:val="64246A0E"/>
    <w:rsid w:val="643747D1"/>
    <w:rsid w:val="64A36C2D"/>
    <w:rsid w:val="64ED7199"/>
    <w:rsid w:val="64FC1CAA"/>
    <w:rsid w:val="65023AC0"/>
    <w:rsid w:val="652C4467"/>
    <w:rsid w:val="653E0397"/>
    <w:rsid w:val="657415D4"/>
    <w:rsid w:val="658E5206"/>
    <w:rsid w:val="65CB0860"/>
    <w:rsid w:val="66253A7D"/>
    <w:rsid w:val="664B2728"/>
    <w:rsid w:val="66CD3B79"/>
    <w:rsid w:val="672C6173"/>
    <w:rsid w:val="6818501E"/>
    <w:rsid w:val="68363AC8"/>
    <w:rsid w:val="68C2412A"/>
    <w:rsid w:val="69102CE8"/>
    <w:rsid w:val="69543306"/>
    <w:rsid w:val="699703BD"/>
    <w:rsid w:val="69C162C6"/>
    <w:rsid w:val="69EC1B7A"/>
    <w:rsid w:val="6A042770"/>
    <w:rsid w:val="6A572E20"/>
    <w:rsid w:val="6AAB30DE"/>
    <w:rsid w:val="6ACD04F3"/>
    <w:rsid w:val="6AE72A61"/>
    <w:rsid w:val="6B0E72AB"/>
    <w:rsid w:val="6B152992"/>
    <w:rsid w:val="6BBA2006"/>
    <w:rsid w:val="6BC513E0"/>
    <w:rsid w:val="6C447CAF"/>
    <w:rsid w:val="6C5E34E8"/>
    <w:rsid w:val="6C923D63"/>
    <w:rsid w:val="6CA02D9B"/>
    <w:rsid w:val="6D000634"/>
    <w:rsid w:val="6DB61CDF"/>
    <w:rsid w:val="6DCB647A"/>
    <w:rsid w:val="6E6C5BD2"/>
    <w:rsid w:val="6F114F71"/>
    <w:rsid w:val="6F24081D"/>
    <w:rsid w:val="6F7761AF"/>
    <w:rsid w:val="6FF7150B"/>
    <w:rsid w:val="70095F8E"/>
    <w:rsid w:val="70307176"/>
    <w:rsid w:val="70BC4B39"/>
    <w:rsid w:val="710C387E"/>
    <w:rsid w:val="719211D2"/>
    <w:rsid w:val="71BF07CD"/>
    <w:rsid w:val="72694121"/>
    <w:rsid w:val="731E0684"/>
    <w:rsid w:val="733920E0"/>
    <w:rsid w:val="73890CCA"/>
    <w:rsid w:val="738B1509"/>
    <w:rsid w:val="73A26C44"/>
    <w:rsid w:val="74022901"/>
    <w:rsid w:val="744B238D"/>
    <w:rsid w:val="74701647"/>
    <w:rsid w:val="74B73E7F"/>
    <w:rsid w:val="74E701D1"/>
    <w:rsid w:val="75130D64"/>
    <w:rsid w:val="755220F7"/>
    <w:rsid w:val="75691964"/>
    <w:rsid w:val="758E5E7C"/>
    <w:rsid w:val="763A20AA"/>
    <w:rsid w:val="768F5958"/>
    <w:rsid w:val="769C3146"/>
    <w:rsid w:val="76AF15B6"/>
    <w:rsid w:val="770F5373"/>
    <w:rsid w:val="77767D19"/>
    <w:rsid w:val="77AC2269"/>
    <w:rsid w:val="77B76C42"/>
    <w:rsid w:val="77F45299"/>
    <w:rsid w:val="786B65EB"/>
    <w:rsid w:val="78A278EA"/>
    <w:rsid w:val="78D76701"/>
    <w:rsid w:val="78DA2C4D"/>
    <w:rsid w:val="792A46BD"/>
    <w:rsid w:val="792F4F6E"/>
    <w:rsid w:val="79595CCB"/>
    <w:rsid w:val="7A065238"/>
    <w:rsid w:val="7A264A18"/>
    <w:rsid w:val="7A3D3C4A"/>
    <w:rsid w:val="7A9F4A16"/>
    <w:rsid w:val="7AAB663D"/>
    <w:rsid w:val="7AC27B3F"/>
    <w:rsid w:val="7ADC699E"/>
    <w:rsid w:val="7AE6346D"/>
    <w:rsid w:val="7B3F43C1"/>
    <w:rsid w:val="7B436112"/>
    <w:rsid w:val="7B8D2390"/>
    <w:rsid w:val="7C176207"/>
    <w:rsid w:val="7C2A4F29"/>
    <w:rsid w:val="7C3232D3"/>
    <w:rsid w:val="7C513371"/>
    <w:rsid w:val="7C6C4EA2"/>
    <w:rsid w:val="7CB5332D"/>
    <w:rsid w:val="7D36055F"/>
    <w:rsid w:val="7D634985"/>
    <w:rsid w:val="7D8A7C2A"/>
    <w:rsid w:val="7DA9430A"/>
    <w:rsid w:val="7DB602AE"/>
    <w:rsid w:val="7DBC3B06"/>
    <w:rsid w:val="7DED5EB7"/>
    <w:rsid w:val="7E2E5AE6"/>
    <w:rsid w:val="7E56524E"/>
    <w:rsid w:val="7E8135EC"/>
    <w:rsid w:val="7ED86382"/>
    <w:rsid w:val="7F0F4AA2"/>
    <w:rsid w:val="7F1C0C80"/>
    <w:rsid w:val="7F2F5C5E"/>
    <w:rsid w:val="7F8B1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Times New Roman" w:eastAsia="仿宋_GB2312" w:cs="Times New Roman"/>
      <w:kern w:val="2"/>
      <w:sz w:val="32"/>
      <w:szCs w:val="32"/>
      <w:lang w:val="en-US" w:eastAsia="zh-CN" w:bidi="ar-SA"/>
    </w:rPr>
  </w:style>
  <w:style w:type="paragraph" w:styleId="3">
    <w:name w:val="heading 1"/>
    <w:basedOn w:val="1"/>
    <w:next w:val="1"/>
    <w:qFormat/>
    <w:uiPriority w:val="0"/>
    <w:pPr>
      <w:spacing w:line="390" w:lineRule="atLeast"/>
      <w:jc w:val="left"/>
      <w:outlineLvl w:val="0"/>
    </w:pPr>
    <w:rPr>
      <w:rFonts w:ascii="微软雅黑" w:hAnsi="微软雅黑" w:eastAsia="微软雅黑"/>
      <w:b/>
      <w:bCs/>
      <w:kern w:val="44"/>
      <w:sz w:val="24"/>
    </w:rPr>
  </w:style>
  <w:style w:type="paragraph" w:styleId="4">
    <w:name w:val="heading 3"/>
    <w:basedOn w:val="1"/>
    <w:next w:val="1"/>
    <w:qFormat/>
    <w:uiPriority w:val="0"/>
    <w:pPr>
      <w:spacing w:before="100" w:beforeAutospacing="1" w:after="100" w:afterAutospacing="1"/>
      <w:jc w:val="left"/>
      <w:outlineLvl w:val="2"/>
    </w:pPr>
    <w:rPr>
      <w:rFonts w:hint="eastAsia" w:ascii="宋体" w:hAnsi="宋体" w:eastAsia="宋体"/>
      <w:b/>
      <w:bCs/>
      <w:kern w:val="0"/>
      <w:sz w:val="27"/>
      <w:szCs w:val="27"/>
    </w:rPr>
  </w:style>
  <w:style w:type="character" w:default="1" w:styleId="15">
    <w:name w:val="Default Paragraph Font"/>
    <w:qFormat/>
    <w:uiPriority w:val="0"/>
    <w:rPr>
      <w:rFonts w:ascii="Times New Roman" w:hAnsi="Times New Roman" w:eastAsia="宋体" w:cs="Times New Roman"/>
    </w:rPr>
  </w:style>
  <w:style w:type="table" w:default="1" w:styleId="13">
    <w:name w:val="Normal Table"/>
    <w:qFormat/>
    <w:uiPriority w:val="0"/>
    <w:tblPr>
      <w:tblLayout w:type="fixed"/>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rFonts w:ascii="Times New Roman" w:eastAsia="宋体"/>
      <w:sz w:val="18"/>
      <w:szCs w:val="18"/>
    </w:rPr>
  </w:style>
  <w:style w:type="paragraph" w:styleId="5">
    <w:name w:val="annotation text"/>
    <w:basedOn w:val="1"/>
    <w:qFormat/>
    <w:uiPriority w:val="0"/>
    <w:pPr>
      <w:jc w:val="left"/>
    </w:pPr>
  </w:style>
  <w:style w:type="paragraph" w:styleId="6">
    <w:name w:val="Body Text"/>
    <w:basedOn w:val="1"/>
    <w:qFormat/>
    <w:uiPriority w:val="0"/>
    <w:rPr>
      <w:rFonts w:eastAsia="宋体"/>
      <w:bCs/>
    </w:rPr>
  </w:style>
  <w:style w:type="paragraph" w:styleId="7">
    <w:name w:val="Body Text Indent"/>
    <w:basedOn w:val="1"/>
    <w:qFormat/>
    <w:uiPriority w:val="0"/>
    <w:pPr>
      <w:spacing w:after="120"/>
      <w:ind w:left="420" w:leftChars="200"/>
    </w:pPr>
  </w:style>
  <w:style w:type="paragraph" w:styleId="8">
    <w:name w:val="Date"/>
    <w:basedOn w:val="1"/>
    <w:next w:val="1"/>
    <w:qFormat/>
    <w:uiPriority w:val="0"/>
    <w:pPr>
      <w:ind w:left="100" w:leftChars="2500"/>
    </w:pPr>
    <w:rPr>
      <w:rFonts w:ascii="Times New Roman" w:eastAsia="宋体"/>
    </w:rPr>
  </w:style>
  <w:style w:type="paragraph" w:styleId="9">
    <w:name w:val="Balloon Text"/>
    <w:basedOn w:val="1"/>
    <w:link w:val="19"/>
    <w:qFormat/>
    <w:uiPriority w:val="0"/>
    <w:rPr>
      <w:sz w:val="18"/>
      <w:szCs w:val="18"/>
    </w:rPr>
  </w:style>
  <w:style w:type="paragraph" w:styleId="10">
    <w:name w:val="footer"/>
    <w:basedOn w:val="1"/>
    <w:qFormat/>
    <w:uiPriority w:val="0"/>
    <w:pPr>
      <w:tabs>
        <w:tab w:val="center" w:pos="4153"/>
        <w:tab w:val="right" w:pos="8306"/>
      </w:tabs>
      <w:snapToGrid w:val="0"/>
      <w:jc w:val="left"/>
    </w:pPr>
    <w:rPr>
      <w:rFonts w:ascii="Times New Roman" w:eastAsia="宋体"/>
      <w:sz w:val="18"/>
      <w:szCs w:val="18"/>
    </w:rPr>
  </w:style>
  <w:style w:type="paragraph" w:styleId="11">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2">
    <w:name w:val="Body Text First Indent 2"/>
    <w:basedOn w:val="7"/>
    <w:qFormat/>
    <w:uiPriority w:val="99"/>
    <w:pPr>
      <w:ind w:firstLine="42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6">
    <w:name w:val="Strong"/>
    <w:qFormat/>
    <w:uiPriority w:val="0"/>
    <w:rPr>
      <w:b/>
    </w:rPr>
  </w:style>
  <w:style w:type="character" w:styleId="17">
    <w:name w:val="page number"/>
    <w:qFormat/>
    <w:uiPriority w:val="0"/>
    <w:rPr>
      <w:rFonts w:ascii="Times New Roman" w:hAnsi="Times New Roman" w:eastAsia="宋体" w:cs="Times New Roman"/>
    </w:rPr>
  </w:style>
  <w:style w:type="character" w:styleId="18">
    <w:name w:val="Hyperlink"/>
    <w:qFormat/>
    <w:uiPriority w:val="0"/>
    <w:rPr>
      <w:color w:val="0000FF"/>
      <w:u w:val="single"/>
    </w:rPr>
  </w:style>
  <w:style w:type="character" w:customStyle="1" w:styleId="19">
    <w:name w:val="批注框文本 Char"/>
    <w:link w:val="9"/>
    <w:qFormat/>
    <w:uiPriority w:val="0"/>
    <w:rPr>
      <w:rFonts w:ascii="仿宋_GB2312" w:hAnsi="Times New Roman" w:eastAsia="仿宋_GB2312" w:cs="Times New Roman"/>
      <w:kern w:val="2"/>
      <w:sz w:val="18"/>
      <w:szCs w:val="18"/>
    </w:rPr>
  </w:style>
  <w:style w:type="paragraph" w:customStyle="1" w:styleId="20">
    <w:name w:val=" Char"/>
    <w:basedOn w:val="1"/>
    <w:qFormat/>
    <w:uiPriority w:val="0"/>
    <w:pPr>
      <w:keepNext/>
      <w:widowControl/>
      <w:tabs>
        <w:tab w:val="left" w:pos="425"/>
      </w:tabs>
      <w:autoSpaceDE w:val="0"/>
      <w:autoSpaceDN w:val="0"/>
      <w:adjustRightInd w:val="0"/>
      <w:spacing w:before="80" w:after="80"/>
      <w:ind w:hanging="425"/>
    </w:pPr>
    <w:rPr>
      <w:rFonts w:ascii="Arial" w:hAnsi="Arial" w:eastAsia="宋体" w:cs="Arial"/>
      <w:sz w:val="20"/>
      <w:szCs w:val="20"/>
    </w:rPr>
  </w:style>
  <w:style w:type="paragraph" w:customStyle="1" w:styleId="21">
    <w:name w:val="Char"/>
    <w:basedOn w:val="1"/>
    <w:qFormat/>
    <w:uiPriority w:val="0"/>
    <w:rPr>
      <w:rFonts w:ascii="Tahoma" w:hAnsi="Tahoma" w:eastAsia="宋体"/>
      <w:sz w:val="24"/>
      <w:szCs w:val="20"/>
    </w:rPr>
  </w:style>
  <w:style w:type="paragraph" w:customStyle="1" w:styleId="22">
    <w:name w:val=" Char1 Char Char Char Char Char Char"/>
    <w:basedOn w:val="1"/>
    <w:qFormat/>
    <w:uiPriority w:val="0"/>
    <w:rPr>
      <w:rFonts w:ascii="Times New Roman" w:eastAsia="宋体"/>
      <w:sz w:val="21"/>
      <w:szCs w:val="24"/>
    </w:rPr>
  </w:style>
  <w:style w:type="paragraph" w:customStyle="1" w:styleId="23">
    <w:name w:val="Char Char Char Char"/>
    <w:basedOn w:val="1"/>
    <w:qFormat/>
    <w:uiPriority w:val="0"/>
    <w:pPr>
      <w:tabs>
        <w:tab w:val="left" w:pos="360"/>
      </w:tabs>
    </w:pPr>
    <w:rPr>
      <w:rFonts w:ascii="Times New Roman" w:eastAsia="宋体"/>
      <w:sz w:val="24"/>
      <w:szCs w:val="24"/>
    </w:rPr>
  </w:style>
  <w:style w:type="paragraph" w:customStyle="1" w:styleId="24">
    <w:name w:val="标题1"/>
    <w:basedOn w:val="1"/>
    <w:next w:val="1"/>
    <w:qFormat/>
    <w:uiPriority w:val="0"/>
    <w:pPr>
      <w:tabs>
        <w:tab w:val="left" w:pos="9193"/>
        <w:tab w:val="left" w:pos="9827"/>
      </w:tabs>
      <w:autoSpaceDE w:val="0"/>
      <w:autoSpaceDN w:val="0"/>
      <w:snapToGrid w:val="0"/>
      <w:spacing w:line="640" w:lineRule="atLeast"/>
      <w:jc w:val="center"/>
    </w:pPr>
    <w:rPr>
      <w:rFonts w:ascii="Times New Roman" w:eastAsia="方正小标宋_GBK"/>
      <w:snapToGrid w:val="0"/>
      <w:kern w:val="0"/>
      <w:sz w:val="44"/>
      <w:szCs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Info spid="_x0000_s1026"/>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457</Words>
  <Characters>2607</Characters>
  <Lines>21</Lines>
  <Paragraphs>6</Paragraphs>
  <TotalTime>1</TotalTime>
  <ScaleCrop>false</ScaleCrop>
  <LinksUpToDate>false</LinksUpToDate>
  <CharactersWithSpaces>3058</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2025-07-01T02:30:00Z</dcterms:created>
  <dc:creator>User</dc:creator>
  <cp:lastModifiedBy>NTKO</cp:lastModifiedBy>
  <cp:lastPrinted>2023-02-19T06:40:00Z</cp:lastPrinted>
  <dcterms:modified xsi:type="dcterms:W3CDTF">2025-07-01T07:20:05Z</dcterms:modified>
  <dc:title>通开发管〔2013〕4号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260373276_embed</vt:lpwstr>
  </property>
  <property fmtid="{D5CDD505-2E9C-101B-9397-08002B2CF9AE}" pid="3" name="KSOProductBuildVer">
    <vt:lpwstr>2052-11.8.2.8411</vt:lpwstr>
  </property>
  <property fmtid="{D5CDD505-2E9C-101B-9397-08002B2CF9AE}" pid="4" name="ICV">
    <vt:lpwstr>F09B7EAE54884AE49A82ABD7322A43CF</vt:lpwstr>
  </property>
</Properties>
</file>