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强制减排点源清单企业及减排措施汇总表</w:t>
      </w:r>
    </w:p>
    <w:tbl>
      <w:tblPr>
        <w:tblStyle w:val="4"/>
        <w:tblW w:w="138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009"/>
        <w:gridCol w:w="1830"/>
        <w:gridCol w:w="3230"/>
        <w:gridCol w:w="2487"/>
        <w:gridCol w:w="900"/>
        <w:gridCol w:w="1516"/>
        <w:gridCol w:w="1202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tblHeader/>
          <w:jc w:val="center"/>
        </w:trPr>
        <w:tc>
          <w:tcPr>
            <w:tcW w:w="778" w:type="dxa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具体治理措施（限、停产工段、产线、时间等）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企业联系人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责任单位（镇、街道、园区或相关部门）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长江镇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江苏如皋钢铁有限公司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-12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台炼钢炉停产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程宏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15896217399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长江镇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杨海鹏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搬经镇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南通聚星铸锻有限公司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-12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月中频炉限产</w:t>
            </w:r>
            <w:r>
              <w:rPr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归惠清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13912206661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搬经镇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张兴龙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东陈镇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南通市科信水泥有限公司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-12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月水泥粉磨生产线限产</w:t>
            </w:r>
            <w:r>
              <w:rPr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卢宗仁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13806273578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东陈镇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长江镇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南通海螺水泥有限责任公司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-12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月水泥粉磨生产线限产</w:t>
            </w:r>
            <w:r>
              <w:rPr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沈恒华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15251311298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长江镇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杨海鹏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搬经镇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南通世华水泥有限公司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-12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月水泥粉磨生产线停产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唐世华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0513-87331299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搬经镇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张兴龙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搬经镇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如皋市皋翔水泥粉磨有限公司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-12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月水泥粉磨生产线限产</w:t>
            </w:r>
            <w:r>
              <w:rPr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戴荣根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13901416939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搬经镇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张兴龙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如城街道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玻璃纤维及制品制造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江苏九鼎新材料股份有限公司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台计</w:t>
            </w:r>
            <w:r>
              <w:rPr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蒸吨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小时燃煤锅炉改用生物质成型颗粒，</w:t>
            </w:r>
            <w:r>
              <w:rPr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日起池窑熔炉废气处理装置恢复正常运行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贾丛德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13338833880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如城街道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彭理英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城北街道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橡胶制造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双钱集团（江苏）轮胎有限公司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日起关停</w:t>
            </w: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蒸吨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小时燃煤锅炉，使用集中供热蒸汽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13584632431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城北街道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吴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长江镇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化工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德源（中国）高科有限公司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日起关停</w:t>
            </w: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蒸吨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小时燃煤锅炉，改用天然气锅炉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贲小磊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15996653723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长江镇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杨海鹏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长江镇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化工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江苏震宇化工有限公司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-12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月硫酸生产线限产</w:t>
            </w:r>
            <w:r>
              <w:rPr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费望东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13861860085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长江镇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杨海鹏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白蒲镇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纺织印染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如皋市泰尔特染整有限公司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日起关停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蒸吨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小时燃煤锅炉，改用天然气锅炉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戴尚荣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13706275839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白蒲镇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王亚明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长江镇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非金属矿物制品业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南通汤始建华管桩有限公司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日起关停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蒸吨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小时燃煤锅炉，改用天然气锅炉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徐建华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18949500066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长江镇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杨海鹏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城北街道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纺织印染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如皋市恒昌印染有限公司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日关停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蒸吨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小时燃煤锅炉，使用集中供热蒸汽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刘伟建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13906274631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城北街道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吴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长江镇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纺织印染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江苏海伦染整有限公司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日关停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蒸吨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小时燃煤锅炉改用生物质成型颗粒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朱寿林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15951308005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长江镇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杨海鹏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东陈镇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纺织印染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如皋市五山漂染有限责任公司</w:t>
            </w:r>
          </w:p>
        </w:tc>
        <w:tc>
          <w:tcPr>
            <w:tcW w:w="248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日关停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蒸吨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小时燃煤锅炉，改用天然气锅炉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王捷飞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13706273831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东陈镇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洁</w:t>
            </w:r>
          </w:p>
        </w:tc>
      </w:tr>
    </w:tbl>
    <w:p>
      <w:pPr>
        <w:pStyle w:val="6"/>
        <w:snapToGrid w:val="0"/>
        <w:spacing w:line="560" w:lineRule="exact"/>
        <w:ind w:right="-57"/>
        <w:jc w:val="both"/>
        <w:rPr>
          <w:rFonts w:hint="eastAsia" w:eastAsia="黑体"/>
          <w:kern w:val="0"/>
          <w:sz w:val="32"/>
          <w:szCs w:val="32"/>
          <w:lang w:val="en-US" w:eastAsia="zh-CN" w:bidi="ar-SA"/>
        </w:rPr>
      </w:pPr>
    </w:p>
    <w:p>
      <w:pPr>
        <w:pStyle w:val="6"/>
        <w:snapToGrid w:val="0"/>
        <w:spacing w:line="560" w:lineRule="exact"/>
        <w:ind w:right="-57"/>
        <w:jc w:val="center"/>
        <w:rPr>
          <w:rFonts w:hint="eastAsia" w:eastAsia="黑体"/>
          <w:kern w:val="0"/>
          <w:sz w:val="32"/>
          <w:szCs w:val="32"/>
          <w:lang w:val="en-US" w:eastAsia="zh-CN" w:bidi="ar-SA"/>
        </w:rPr>
      </w:pPr>
    </w:p>
    <w:p>
      <w:pPr>
        <w:widowControl/>
        <w:jc w:val="both"/>
        <w:rPr>
          <w:rFonts w:hint="eastAsia" w:eastAsia="黑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pStyle w:val="6"/>
        <w:snapToGrid w:val="0"/>
        <w:spacing w:line="560" w:lineRule="exact"/>
        <w:ind w:right="-57"/>
        <w:jc w:val="center"/>
        <w:rPr>
          <w:rFonts w:eastAsia="黑体"/>
          <w:kern w:val="0"/>
          <w:sz w:val="32"/>
          <w:szCs w:val="32"/>
          <w:lang w:bidi="ar-SA"/>
        </w:rPr>
      </w:pPr>
      <w:r>
        <w:rPr>
          <w:rFonts w:hint="eastAsia" w:eastAsia="黑体"/>
          <w:kern w:val="0"/>
          <w:sz w:val="32"/>
          <w:szCs w:val="32"/>
          <w:lang w:val="en-US" w:eastAsia="zh-CN" w:bidi="ar-SA"/>
        </w:rPr>
        <w:t>各部门、各镇（区、街道）强制减排细化落实方案</w:t>
      </w:r>
    </w:p>
    <w:tbl>
      <w:tblPr>
        <w:tblStyle w:val="5"/>
        <w:tblW w:w="12960" w:type="dxa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520"/>
        <w:gridCol w:w="721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85" w:type="dxa"/>
            <w:vAlign w:val="top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序号</w:t>
            </w:r>
          </w:p>
        </w:tc>
        <w:tc>
          <w:tcPr>
            <w:tcW w:w="2520" w:type="dxa"/>
            <w:vAlign w:val="top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责任部门</w:t>
            </w:r>
          </w:p>
        </w:tc>
        <w:tc>
          <w:tcPr>
            <w:tcW w:w="7215" w:type="dxa"/>
            <w:vAlign w:val="top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强制减排细化落实方案</w:t>
            </w:r>
          </w:p>
        </w:tc>
        <w:tc>
          <w:tcPr>
            <w:tcW w:w="2040" w:type="dxa"/>
            <w:vAlign w:val="top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eastAsia="zh-CN" w:bidi="ar-SA"/>
              </w:rPr>
              <w:t>住建局</w:t>
            </w:r>
          </w:p>
        </w:tc>
        <w:tc>
          <w:tcPr>
            <w:tcW w:w="7215" w:type="dxa"/>
            <w:vAlign w:val="center"/>
          </w:tcPr>
          <w:p>
            <w:pPr>
              <w:pStyle w:val="6"/>
              <w:snapToGrid w:val="0"/>
              <w:spacing w:line="240" w:lineRule="auto"/>
              <w:ind w:right="-57"/>
              <w:jc w:val="both"/>
              <w:rPr>
                <w:rFonts w:eastAsia="仿宋_GB2312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bidi="ar-SA"/>
              </w:rPr>
              <w:t>督促建筑工程落实6个100%抑尘措施，即：施工现场100%围蔽，工地砂土100%覆盖，工地路面100%硬化，施工道路100%洒水，出工地车辆100%冲洗，暂不开发场地100%绿化。工地围挡应做到应围尽围；工厂砂石等易扬尘材料应全面覆盖；工地材料堆放及加工场地应及时硬化；施工便道和供社会通行的便道，应及时洒水，保持路面无浮尘；暂不施工路段应采取绿化或覆盖的措施。晴好天气下，各施工工地、便道及周边路段洒水降尘频次为每日上午、下午各不少于2次，有夜间施工的不少于1次。建筑工地安装在线监测和视频监控，并与主管部门联网。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即时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eastAsia="zh-CN" w:bidi="ar-SA"/>
              </w:rPr>
              <w:t>环保局</w:t>
            </w:r>
          </w:p>
        </w:tc>
        <w:tc>
          <w:tcPr>
            <w:tcW w:w="7215" w:type="dxa"/>
            <w:vAlign w:val="center"/>
          </w:tcPr>
          <w:p>
            <w:pPr>
              <w:pStyle w:val="6"/>
              <w:snapToGrid w:val="0"/>
              <w:spacing w:line="240" w:lineRule="auto"/>
              <w:ind w:right="-57"/>
              <w:jc w:val="both"/>
              <w:rPr>
                <w:rFonts w:hint="eastAsia" w:hAnsi="宋体"/>
                <w:color w:val="000000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eastAsia="zh-CN" w:bidi="ar-SA"/>
              </w:rPr>
              <w:t>完成工业源减排措施清单编制；深入开展餐饮油烟治理，完成年度治理任务；开展燃煤锅炉整治回头看。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2018年11月前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eastAsia="zh-CN" w:bidi="ar-SA"/>
              </w:rPr>
              <w:t>商务局</w:t>
            </w:r>
          </w:p>
        </w:tc>
        <w:tc>
          <w:tcPr>
            <w:tcW w:w="7215" w:type="dxa"/>
            <w:vAlign w:val="center"/>
          </w:tcPr>
          <w:p>
            <w:pPr>
              <w:pStyle w:val="6"/>
              <w:snapToGrid w:val="0"/>
              <w:spacing w:line="240" w:lineRule="auto"/>
              <w:ind w:right="-57"/>
              <w:jc w:val="both"/>
              <w:rPr>
                <w:rFonts w:hint="eastAsia" w:hAnsi="宋体"/>
                <w:color w:val="000000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eastAsia="zh-CN" w:bidi="ar-SA"/>
              </w:rPr>
              <w:t>开展对加油站的油气回收设施使用情况的核查，加油站新安装油气回收装置并正常运行。开展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bidi="ar-SA"/>
              </w:rPr>
              <w:t>油气回收在线监测设备安装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eastAsia="zh-CN" w:bidi="ar-SA"/>
              </w:rPr>
              <w:t>工作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bidi="ar-SA"/>
              </w:rPr>
              <w:t>。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2018年12月前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hAnsi="宋体" w:eastAsia="宋体"/>
                <w:color w:val="000000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eastAsia="zh-CN"/>
              </w:rPr>
              <w:t>城管局</w:t>
            </w:r>
          </w:p>
        </w:tc>
        <w:tc>
          <w:tcPr>
            <w:tcW w:w="7215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hint="eastAsia" w:hAnsi="宋体"/>
                <w:color w:val="000000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对路面洒水做到一天4洒 ，时间段早上7:30前一洒，上午10:00一洒，下午1:00一洒，4:00一洒，根据气温变化，增减冲洒频次，气温达到30℃向上，时间调整为5洒，早上7:30前一洒，上午10:00一洒，下午1:00一洒，4:00一洒，晚上7:00一洒。晚上11:00后对路面进行深度冲洗。加强对餐饮油烟污染和露天烧烤的监督执法。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autoSpaceDE w:val="0"/>
              <w:autoSpaceDN w:val="0"/>
              <w:snapToGrid w:val="0"/>
              <w:spacing w:line="560" w:lineRule="exact"/>
              <w:ind w:left="0" w:leftChars="0" w:right="-57" w:rightChars="0" w:firstLine="0" w:firstLineChars="0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4月—11月上旬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/>
              </w:rPr>
              <w:t>发改委</w:t>
            </w:r>
          </w:p>
        </w:tc>
        <w:tc>
          <w:tcPr>
            <w:tcW w:w="7215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全市重点燃煤企业必须使用硫分低于0.6％、灰分低于15%的优质煤炭，达不到煤质管控要求的燃煤设施一律停用。扩大高热值煤利用规模，提高煤炭清洁高效利用水平，入炉煤热值必须达到4500大卡以上。严肃查处涉煤违规行为。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autoSpaceDE w:val="0"/>
              <w:autoSpaceDN w:val="0"/>
              <w:snapToGrid w:val="0"/>
              <w:spacing w:line="560" w:lineRule="exact"/>
              <w:ind w:left="0" w:leftChars="0" w:right="-57" w:rightChars="0" w:firstLine="0" w:firstLineChars="0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2018年11月底前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eastAsia="zh-CN"/>
              </w:rPr>
              <w:t>交通局</w:t>
            </w:r>
          </w:p>
        </w:tc>
        <w:tc>
          <w:tcPr>
            <w:tcW w:w="7215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加强交通局在建工程工地扬尘污染控制，完成15个汽车维修产业污染项目治理。发展新能源汽车。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autoSpaceDE w:val="0"/>
              <w:autoSpaceDN w:val="0"/>
              <w:snapToGrid w:val="0"/>
              <w:spacing w:line="560" w:lineRule="exact"/>
              <w:ind w:left="0" w:leftChars="0" w:right="-57" w:rightChars="0" w:firstLine="0" w:firstLineChars="0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/>
              </w:rPr>
              <w:t>2018年12月前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eastAsia="zh-CN"/>
              </w:rPr>
              <w:t>各镇（区、街道）</w:t>
            </w:r>
          </w:p>
        </w:tc>
        <w:tc>
          <w:tcPr>
            <w:tcW w:w="7215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拆迁施工现场作业与渣土清运堆存场所必须进行洒水降尘，防止扬尘污染。拆迁完成后不能立即施工建设的拆迁施工现场应采取全封闭围挡、覆盖，长期不能施工的应对裸露地面进行绿化或硬化措施。承担属地责任，对列入减排清单的强制减排点源加强督促检查力度。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autoSpaceDE w:val="0"/>
              <w:autoSpaceDN w:val="0"/>
              <w:snapToGrid w:val="0"/>
              <w:spacing w:line="560" w:lineRule="exact"/>
              <w:ind w:left="0" w:leftChars="0" w:right="-57" w:rightChars="0" w:firstLine="0" w:firstLineChars="0"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  <w:lang w:val="en-US" w:eastAsia="zh-CN"/>
              </w:rPr>
              <w:t>2018年12月前</w:t>
            </w:r>
          </w:p>
        </w:tc>
      </w:tr>
    </w:tbl>
    <w:p>
      <w:pPr>
        <w:spacing w:line="240" w:lineRule="exact"/>
        <w:ind w:firstLine="0"/>
        <w:jc w:val="both"/>
        <w:rPr>
          <w:rFonts w:hint="eastAsia" w:eastAsia="黑体"/>
          <w:kern w:val="0"/>
          <w:sz w:val="32"/>
          <w:szCs w:val="32"/>
          <w:lang w:val="en-US" w:eastAsia="zh-CN" w:bidi="ar-SA"/>
        </w:rPr>
      </w:pPr>
    </w:p>
    <w:p>
      <w:pPr>
        <w:spacing w:line="240" w:lineRule="exact"/>
        <w:ind w:firstLine="0"/>
        <w:jc w:val="both"/>
        <w:rPr>
          <w:rFonts w:hint="eastAsia" w:eastAsia="黑体"/>
          <w:kern w:val="0"/>
          <w:sz w:val="32"/>
          <w:szCs w:val="32"/>
          <w:lang w:val="en-US" w:eastAsia="zh-CN" w:bidi="ar-SA"/>
        </w:rPr>
      </w:pPr>
    </w:p>
    <w:p>
      <w:pPr>
        <w:spacing w:line="240" w:lineRule="exact"/>
        <w:ind w:firstLine="0"/>
        <w:jc w:val="both"/>
        <w:rPr>
          <w:rFonts w:hint="eastAsia" w:eastAsia="黑体"/>
          <w:kern w:val="0"/>
          <w:sz w:val="32"/>
          <w:szCs w:val="32"/>
          <w:lang w:val="en-US" w:eastAsia="zh-CN" w:bidi="ar-SA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240" w:lineRule="exact"/>
        <w:ind w:firstLine="0"/>
        <w:jc w:val="both"/>
        <w:rPr>
          <w:rFonts w:hint="eastAsia" w:eastAsia="黑体"/>
          <w:kern w:val="0"/>
          <w:sz w:val="32"/>
          <w:szCs w:val="32"/>
          <w:lang w:val="en-US" w:eastAsia="zh-CN" w:bidi="ar-SA"/>
        </w:rPr>
      </w:pPr>
    </w:p>
    <w:p>
      <w:pPr>
        <w:pStyle w:val="6"/>
        <w:snapToGrid w:val="0"/>
        <w:spacing w:line="560" w:lineRule="exact"/>
        <w:ind w:right="-57"/>
        <w:jc w:val="center"/>
        <w:rPr>
          <w:rFonts w:hint="eastAsia" w:eastAsia="黑体"/>
          <w:kern w:val="0"/>
          <w:sz w:val="32"/>
          <w:szCs w:val="32"/>
          <w:lang w:val="en-US" w:eastAsia="zh-CN" w:bidi="ar-SA"/>
        </w:rPr>
      </w:pPr>
      <w:r>
        <w:rPr>
          <w:rFonts w:hint="eastAsia" w:eastAsia="黑体"/>
          <w:kern w:val="0"/>
          <w:sz w:val="32"/>
          <w:szCs w:val="32"/>
          <w:lang w:val="en-US" w:eastAsia="zh-CN" w:bidi="ar-SA"/>
        </w:rPr>
        <w:t>重点建筑工地清单</w:t>
      </w:r>
    </w:p>
    <w:tbl>
      <w:tblPr>
        <w:tblStyle w:val="4"/>
        <w:tblW w:w="11020" w:type="dxa"/>
        <w:jc w:val="center"/>
        <w:tblInd w:w="-27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3720"/>
        <w:gridCol w:w="6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tblHeader/>
          <w:jc w:val="center"/>
        </w:trPr>
        <w:tc>
          <w:tcPr>
            <w:tcW w:w="1189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3720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  <w:t>项目名称</w:t>
            </w:r>
          </w:p>
        </w:tc>
        <w:tc>
          <w:tcPr>
            <w:tcW w:w="6111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  <w:t>施工场所地址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89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金科世界城</w:t>
            </w:r>
          </w:p>
        </w:tc>
        <w:tc>
          <w:tcPr>
            <w:tcW w:w="6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宁海路与志颐路交汇处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89" w:type="dxa"/>
            <w:vAlign w:val="center"/>
          </w:tcPr>
          <w:p>
            <w:pPr>
              <w:pStyle w:val="6"/>
              <w:snapToGrid w:val="0"/>
              <w:spacing w:line="560" w:lineRule="exact"/>
              <w:ind w:right="-57"/>
              <w:jc w:val="center"/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麗都华府</w:t>
            </w:r>
          </w:p>
        </w:tc>
        <w:tc>
          <w:tcPr>
            <w:tcW w:w="6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福寿路与大司马路交汇处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花木大世界</w:t>
            </w:r>
          </w:p>
        </w:tc>
        <w:tc>
          <w:tcPr>
            <w:tcW w:w="6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如皋市如城街道大明社区1/2/3组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中南世纪城</w:t>
            </w:r>
          </w:p>
        </w:tc>
        <w:tc>
          <w:tcPr>
            <w:tcW w:w="6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惠政东路与万寿南路交界处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软件园二期</w:t>
            </w:r>
          </w:p>
        </w:tc>
        <w:tc>
          <w:tcPr>
            <w:tcW w:w="6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观凤路东侧绿园路西侧软件园南侧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瑞景华府</w:t>
            </w:r>
          </w:p>
        </w:tc>
        <w:tc>
          <w:tcPr>
            <w:tcW w:w="6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宁海路与万寿路交汇处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御龙湾项目</w:t>
            </w:r>
          </w:p>
        </w:tc>
        <w:tc>
          <w:tcPr>
            <w:tcW w:w="6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如皋市海阳路188号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宝利广场</w:t>
            </w:r>
          </w:p>
        </w:tc>
        <w:tc>
          <w:tcPr>
            <w:tcW w:w="6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方正仿宋_GBK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益寿路与福寿西路交汇处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志丞养老公寓</w:t>
            </w:r>
          </w:p>
        </w:tc>
        <w:tc>
          <w:tcPr>
            <w:tcW w:w="6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方正仿宋_GBK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城北街道庆余村四组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雍景园西区</w:t>
            </w:r>
          </w:p>
        </w:tc>
        <w:tc>
          <w:tcPr>
            <w:tcW w:w="6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方正仿宋_GBK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宁海路与万寿路交汇处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4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table" w:styleId="5">
    <w:name w:val="Table Grid"/>
    <w:basedOn w:val="4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线型"/>
    <w:basedOn w:val="7"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7">
    <w:name w:val="抄送栏"/>
    <w:basedOn w:val="1"/>
    <w:uiPriority w:val="0"/>
    <w:pPr>
      <w:adjustRightInd w:val="0"/>
      <w:snapToGrid/>
      <w:spacing w:line="454" w:lineRule="atLeast"/>
      <w:ind w:left="1310" w:right="357" w:hanging="953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2018-08-27T03:41:53Z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