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center" w:pos="4156"/>
          <w:tab w:val="left" w:pos="5385"/>
        </w:tabs>
        <w:spacing w:beforeLines="50" w:afterLines="50" w:line="400" w:lineRule="exact"/>
        <w:jc w:val="center"/>
        <w:rPr>
          <w:rFonts w:cs="仿宋_GB2312" w:asciiTheme="minorEastAsia" w:hAnsiTheme="minorEastAsia" w:eastAsiaTheme="minorEastAsia"/>
          <w:b/>
          <w:sz w:val="52"/>
          <w:szCs w:val="52"/>
        </w:rPr>
      </w:pPr>
      <w:bookmarkStart w:id="0" w:name="_Toc261860614"/>
    </w:p>
    <w:p>
      <w:pPr>
        <w:tabs>
          <w:tab w:val="center" w:pos="4156"/>
          <w:tab w:val="left" w:pos="5385"/>
        </w:tabs>
        <w:snapToGrid w:val="0"/>
        <w:spacing w:beforeLines="50" w:afterLines="50" w:line="360" w:lineRule="auto"/>
        <w:jc w:val="center"/>
        <w:rPr>
          <w:rFonts w:cs="仿宋_GB2312" w:asciiTheme="minorEastAsia" w:hAnsiTheme="minorEastAsia" w:eastAsiaTheme="minorEastAsia"/>
          <w:b/>
          <w:sz w:val="68"/>
          <w:szCs w:val="68"/>
        </w:rPr>
      </w:pPr>
    </w:p>
    <w:p>
      <w:pPr>
        <w:tabs>
          <w:tab w:val="center" w:pos="4156"/>
          <w:tab w:val="left" w:pos="5385"/>
        </w:tabs>
        <w:snapToGrid w:val="0"/>
        <w:spacing w:beforeLines="50" w:afterLines="50"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如皋市“十四五”高标准农田建设规划</w:t>
      </w:r>
    </w:p>
    <w:p>
      <w:pPr>
        <w:tabs>
          <w:tab w:val="center" w:pos="4156"/>
          <w:tab w:val="left" w:pos="5385"/>
        </w:tabs>
        <w:snapToGrid w:val="0"/>
        <w:spacing w:beforeLines="50" w:afterLines="50" w:line="360" w:lineRule="auto"/>
        <w:jc w:val="center"/>
        <w:rPr>
          <w:rFonts w:ascii="楷体" w:hAnsi="楷体" w:eastAsia="楷体" w:cs="楷体"/>
          <w:bCs/>
          <w:sz w:val="44"/>
          <w:szCs w:val="44"/>
        </w:rPr>
      </w:pPr>
      <w:r>
        <w:rPr>
          <w:rFonts w:hint="eastAsia" w:ascii="楷体" w:hAnsi="楷体" w:eastAsia="楷体" w:cs="楷体"/>
          <w:bCs/>
          <w:sz w:val="44"/>
          <w:szCs w:val="44"/>
        </w:rPr>
        <w:t>(2021-2025年)</w:t>
      </w: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p>
    <w:p>
      <w:pPr>
        <w:tabs>
          <w:tab w:val="center" w:pos="4156"/>
          <w:tab w:val="left" w:pos="5385"/>
        </w:tabs>
        <w:snapToGrid w:val="0"/>
        <w:spacing w:beforeLines="50" w:afterLines="50" w:line="360" w:lineRule="auto"/>
        <w:jc w:val="center"/>
        <w:rPr>
          <w:rFonts w:ascii="楷体" w:hAnsi="楷体" w:eastAsia="楷体" w:cs="楷体"/>
          <w:bCs/>
          <w:sz w:val="44"/>
          <w:szCs w:val="44"/>
        </w:rPr>
      </w:pPr>
      <w:r>
        <w:rPr>
          <w:rFonts w:hint="eastAsia" w:ascii="楷体" w:hAnsi="楷体" w:eastAsia="楷体" w:cs="楷体"/>
          <w:bCs/>
          <w:sz w:val="44"/>
          <w:szCs w:val="44"/>
        </w:rPr>
        <w:t>如皋市农业农村局</w:t>
      </w:r>
    </w:p>
    <w:p>
      <w:pPr>
        <w:tabs>
          <w:tab w:val="center" w:pos="4156"/>
          <w:tab w:val="left" w:pos="5385"/>
        </w:tabs>
        <w:snapToGrid w:val="0"/>
        <w:spacing w:beforeLines="50" w:afterLines="50" w:line="360" w:lineRule="auto"/>
        <w:jc w:val="center"/>
        <w:rPr>
          <w:rFonts w:ascii="楷体" w:hAnsi="楷体" w:eastAsia="楷体" w:cs="楷体"/>
          <w:bCs/>
          <w:sz w:val="44"/>
          <w:szCs w:val="44"/>
          <w:highlight w:val="none"/>
        </w:rPr>
      </w:pPr>
      <w:bookmarkStart w:id="60" w:name="_GoBack"/>
      <w:r>
        <w:rPr>
          <w:rFonts w:hint="eastAsia" w:ascii="楷体" w:hAnsi="楷体" w:eastAsia="楷体" w:cs="楷体"/>
          <w:bCs/>
          <w:sz w:val="44"/>
          <w:szCs w:val="44"/>
          <w:highlight w:val="none"/>
        </w:rPr>
        <w:t>202</w:t>
      </w:r>
      <w:r>
        <w:rPr>
          <w:rFonts w:hint="eastAsia" w:ascii="楷体" w:hAnsi="楷体" w:eastAsia="楷体" w:cs="楷体"/>
          <w:bCs/>
          <w:sz w:val="44"/>
          <w:szCs w:val="44"/>
          <w:highlight w:val="none"/>
          <w:lang w:val="en-US" w:eastAsia="zh-CN"/>
        </w:rPr>
        <w:t>2</w:t>
      </w:r>
      <w:r>
        <w:rPr>
          <w:rFonts w:hint="eastAsia" w:ascii="楷体" w:hAnsi="楷体" w:eastAsia="楷体" w:cs="楷体"/>
          <w:bCs/>
          <w:sz w:val="44"/>
          <w:szCs w:val="44"/>
          <w:highlight w:val="none"/>
        </w:rPr>
        <w:t>年</w:t>
      </w:r>
      <w:r>
        <w:rPr>
          <w:rFonts w:hint="eastAsia" w:ascii="楷体" w:hAnsi="楷体" w:eastAsia="楷体" w:cs="楷体"/>
          <w:bCs/>
          <w:sz w:val="44"/>
          <w:szCs w:val="44"/>
          <w:highlight w:val="none"/>
          <w:lang w:val="en-US" w:eastAsia="zh-CN"/>
        </w:rPr>
        <w:t>3</w:t>
      </w:r>
      <w:r>
        <w:rPr>
          <w:rFonts w:hint="eastAsia" w:ascii="楷体" w:hAnsi="楷体" w:eastAsia="楷体" w:cs="楷体"/>
          <w:bCs/>
          <w:sz w:val="44"/>
          <w:szCs w:val="44"/>
          <w:highlight w:val="none"/>
        </w:rPr>
        <w:t>月</w:t>
      </w:r>
    </w:p>
    <w:bookmarkEnd w:id="60"/>
    <w:p>
      <w:pPr>
        <w:tabs>
          <w:tab w:val="center" w:pos="4156"/>
          <w:tab w:val="left" w:pos="5385"/>
        </w:tabs>
        <w:snapToGrid w:val="0"/>
        <w:spacing w:beforeLines="50" w:afterLines="50" w:line="360" w:lineRule="auto"/>
        <w:jc w:val="center"/>
        <w:rPr>
          <w:rFonts w:ascii="楷体" w:hAnsi="楷体" w:eastAsia="楷体" w:cs="楷体"/>
          <w:bCs/>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425" w:num="1"/>
          <w:titlePg/>
          <w:docGrid w:type="lines" w:linePitch="312" w:charSpace="0"/>
        </w:sectPr>
      </w:pPr>
    </w:p>
    <w:p>
      <w:pPr>
        <w:tabs>
          <w:tab w:val="center" w:pos="4156"/>
          <w:tab w:val="left" w:pos="5385"/>
        </w:tabs>
        <w:snapToGrid w:val="0"/>
        <w:spacing w:beforeLines="50" w:afterLines="50" w:line="360" w:lineRule="auto"/>
        <w:jc w:val="center"/>
        <w:rPr>
          <w:rFonts w:ascii="楷体" w:hAnsi="楷体" w:eastAsia="楷体" w:cs="楷体"/>
          <w:bCs/>
          <w:sz w:val="44"/>
          <w:szCs w:val="44"/>
        </w:rPr>
      </w:pPr>
      <w:r>
        <w:rPr>
          <w:rFonts w:hint="eastAsia" w:ascii="楷体" w:hAnsi="楷体" w:eastAsia="楷体" w:cs="楷体"/>
          <w:bCs/>
          <w:sz w:val="44"/>
          <w:szCs w:val="44"/>
        </w:rPr>
        <w:t>目 录</w:t>
      </w:r>
    </w:p>
    <w:p>
      <w:pPr>
        <w:pStyle w:val="18"/>
        <w:tabs>
          <w:tab w:val="right" w:leader="dot" w:pos="8312"/>
          <w:tab w:val="clear" w:pos="8302"/>
        </w:tabs>
        <w:rPr>
          <w:rFonts w:ascii="楷体_GB2312" w:hAnsi="楷体_GB2312" w:eastAsia="楷体_GB2312" w:cs="楷体_GB2312"/>
          <w:b w:val="0"/>
          <w:sz w:val="30"/>
          <w:szCs w:val="30"/>
        </w:rPr>
      </w:pP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TOC \o "1-3" \h \u </w:instrText>
      </w:r>
      <w:r>
        <w:rPr>
          <w:rFonts w:hint="eastAsia" w:ascii="楷体_GB2312" w:hAnsi="楷体_GB2312" w:eastAsia="楷体_GB2312" w:cs="楷体_GB2312"/>
          <w:b w:val="0"/>
          <w:sz w:val="30"/>
          <w:szCs w:val="30"/>
        </w:rPr>
        <w:fldChar w:fldCharType="separate"/>
      </w:r>
      <w:r>
        <w:fldChar w:fldCharType="begin"/>
      </w:r>
      <w:r>
        <w:instrText xml:space="preserve"> HYPERLINK \l "_Toc12475" </w:instrText>
      </w:r>
      <w:r>
        <w:fldChar w:fldCharType="separate"/>
      </w:r>
      <w:r>
        <w:rPr>
          <w:rFonts w:hint="eastAsia" w:ascii="楷体_GB2312" w:hAnsi="楷体_GB2312" w:eastAsia="楷体_GB2312" w:cs="楷体_GB2312"/>
          <w:b w:val="0"/>
          <w:sz w:val="30"/>
          <w:szCs w:val="30"/>
        </w:rPr>
        <w:t>前言</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_Toc12475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1</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"_Toc18128" </w:instrText>
      </w:r>
      <w:r>
        <w:fldChar w:fldCharType="separate"/>
      </w:r>
      <w:r>
        <w:rPr>
          <w:rFonts w:hint="eastAsia" w:ascii="楷体_GB2312" w:hAnsi="楷体_GB2312" w:eastAsia="楷体_GB2312" w:cs="楷体_GB2312"/>
          <w:b w:val="0"/>
          <w:sz w:val="30"/>
          <w:szCs w:val="30"/>
        </w:rPr>
        <w:t>第一章 发展现状</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_Toc18128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3</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"_Toc27559" </w:instrText>
      </w:r>
      <w:r>
        <w:fldChar w:fldCharType="separate"/>
      </w:r>
      <w:r>
        <w:rPr>
          <w:rFonts w:hint="eastAsia" w:ascii="楷体_GB2312" w:hAnsi="楷体_GB2312" w:eastAsia="楷体_GB2312" w:cs="楷体_GB2312"/>
          <w:bCs/>
          <w:sz w:val="30"/>
          <w:szCs w:val="30"/>
        </w:rPr>
        <w:t>一、基本情况</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_Toc27559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"_Toc16849" </w:instrText>
      </w:r>
      <w:r>
        <w:fldChar w:fldCharType="separate"/>
      </w:r>
      <w:r>
        <w:rPr>
          <w:rFonts w:hint="eastAsia" w:ascii="楷体_GB2312" w:hAnsi="楷体_GB2312" w:eastAsia="楷体_GB2312" w:cs="楷体_GB2312"/>
          <w:bCs/>
          <w:sz w:val="30"/>
          <w:szCs w:val="30"/>
        </w:rPr>
        <w:t>二、建设成效和经验</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_Toc16849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"_Toc17270" </w:instrText>
      </w:r>
      <w:r>
        <w:fldChar w:fldCharType="separate"/>
      </w:r>
      <w:r>
        <w:rPr>
          <w:rFonts w:hint="eastAsia" w:ascii="楷体_GB2312" w:hAnsi="楷体_GB2312" w:eastAsia="楷体_GB2312" w:cs="楷体_GB2312"/>
          <w:bCs/>
          <w:sz w:val="30"/>
          <w:szCs w:val="30"/>
        </w:rPr>
        <w:t>三、有利条件和制约因素</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_Toc17270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8</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"_Toc31627" </w:instrText>
      </w:r>
      <w:r>
        <w:fldChar w:fldCharType="separate"/>
      </w:r>
      <w:r>
        <w:rPr>
          <w:rFonts w:hint="eastAsia" w:ascii="楷体_GB2312" w:hAnsi="楷体_GB2312" w:eastAsia="楷体_GB2312" w:cs="楷体_GB2312"/>
          <w:bCs/>
          <w:sz w:val="30"/>
          <w:szCs w:val="30"/>
        </w:rPr>
        <w:t>四、推进高标准农田建设的必要性</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_Toc31627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11</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"_Toc32748" </w:instrText>
      </w:r>
      <w:r>
        <w:fldChar w:fldCharType="separate"/>
      </w:r>
      <w:r>
        <w:rPr>
          <w:rFonts w:hint="eastAsia" w:ascii="楷体_GB2312" w:hAnsi="楷体_GB2312" w:eastAsia="楷体_GB2312" w:cs="楷体_GB2312"/>
          <w:b w:val="0"/>
          <w:sz w:val="30"/>
          <w:szCs w:val="30"/>
        </w:rPr>
        <w:t>第二章 总体要求</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_Toc32748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14</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"_Toc473" </w:instrText>
      </w:r>
      <w:r>
        <w:fldChar w:fldCharType="separate"/>
      </w:r>
      <w:r>
        <w:rPr>
          <w:rFonts w:hint="eastAsia" w:ascii="楷体_GB2312" w:hAnsi="楷体_GB2312" w:eastAsia="楷体_GB2312" w:cs="楷体_GB2312"/>
          <w:bCs/>
          <w:sz w:val="30"/>
          <w:szCs w:val="30"/>
        </w:rPr>
        <w:t>一、指导思想</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_Toc473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14</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"_Toc20502" </w:instrText>
      </w:r>
      <w:r>
        <w:fldChar w:fldCharType="separate"/>
      </w:r>
      <w:r>
        <w:rPr>
          <w:rFonts w:hint="eastAsia" w:ascii="楷体_GB2312" w:hAnsi="楷体_GB2312" w:eastAsia="楷体_GB2312" w:cs="楷体_GB2312"/>
          <w:bCs/>
          <w:sz w:val="30"/>
          <w:szCs w:val="30"/>
        </w:rPr>
        <w:t>二、基本原则</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_Toc20502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14</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"_Toc9666" </w:instrText>
      </w:r>
      <w:r>
        <w:fldChar w:fldCharType="separate"/>
      </w:r>
      <w:r>
        <w:rPr>
          <w:rFonts w:hint="eastAsia" w:ascii="楷体_GB2312" w:hAnsi="楷体_GB2312" w:eastAsia="楷体_GB2312" w:cs="楷体_GB2312"/>
          <w:bCs/>
          <w:sz w:val="30"/>
          <w:szCs w:val="30"/>
        </w:rPr>
        <w:t>三、目标任务</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_Toc9666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16</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"_Toc28230" </w:instrText>
      </w:r>
      <w:r>
        <w:fldChar w:fldCharType="separate"/>
      </w:r>
      <w:r>
        <w:rPr>
          <w:rFonts w:hint="eastAsia" w:ascii="楷体_GB2312" w:hAnsi="楷体_GB2312" w:eastAsia="楷体_GB2312" w:cs="楷体_GB2312"/>
          <w:b w:val="0"/>
          <w:sz w:val="30"/>
          <w:szCs w:val="30"/>
        </w:rPr>
        <w:t>第三章 建设内容</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_Toc28230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18</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"_Toc22549" </w:instrText>
      </w:r>
      <w:r>
        <w:fldChar w:fldCharType="separate"/>
      </w:r>
      <w:r>
        <w:rPr>
          <w:rFonts w:hint="eastAsia" w:ascii="楷体_GB2312" w:hAnsi="楷体_GB2312" w:eastAsia="楷体_GB2312" w:cs="楷体_GB2312"/>
          <w:bCs/>
          <w:sz w:val="30"/>
          <w:szCs w:val="30"/>
        </w:rPr>
        <w:t>一、建设标准</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_Toc22549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18</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"_Toc12488" </w:instrText>
      </w:r>
      <w:r>
        <w:fldChar w:fldCharType="separate"/>
      </w:r>
      <w:r>
        <w:rPr>
          <w:rFonts w:hint="eastAsia" w:ascii="楷体_GB2312" w:hAnsi="楷体_GB2312" w:eastAsia="楷体_GB2312" w:cs="楷体_GB2312"/>
          <w:bCs/>
          <w:sz w:val="30"/>
          <w:szCs w:val="30"/>
        </w:rPr>
        <w:t>二、建设内容</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_Toc12488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20</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"_Toc956" </w:instrText>
      </w:r>
      <w:r>
        <w:fldChar w:fldCharType="separate"/>
      </w:r>
      <w:r>
        <w:rPr>
          <w:rFonts w:hint="eastAsia" w:ascii="楷体_GB2312" w:hAnsi="楷体_GB2312" w:eastAsia="楷体_GB2312" w:cs="楷体_GB2312"/>
          <w:b w:val="0"/>
          <w:sz w:val="30"/>
          <w:szCs w:val="30"/>
        </w:rPr>
        <w:t>第四章 区域分布</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_Toc956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24</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"_Toc21864" </w:instrText>
      </w:r>
      <w:r>
        <w:fldChar w:fldCharType="separate"/>
      </w:r>
      <w:r>
        <w:rPr>
          <w:rFonts w:hint="eastAsia" w:ascii="楷体_GB2312" w:hAnsi="楷体_GB2312" w:eastAsia="楷体_GB2312" w:cs="楷体_GB2312"/>
          <w:bCs/>
          <w:sz w:val="30"/>
          <w:szCs w:val="30"/>
        </w:rPr>
        <w:t>一、分区建设重点</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_Toc21864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24</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"_Toc7095" </w:instrText>
      </w:r>
      <w:r>
        <w:fldChar w:fldCharType="separate"/>
      </w:r>
      <w:r>
        <w:rPr>
          <w:rFonts w:hint="eastAsia" w:ascii="楷体_GB2312" w:hAnsi="楷体_GB2312" w:eastAsia="楷体_GB2312" w:cs="楷体_GB2312"/>
          <w:bCs/>
          <w:sz w:val="30"/>
          <w:szCs w:val="30"/>
        </w:rPr>
        <w:t>二、任务安排</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_Toc7095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29</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"_Toc1540" </w:instrText>
      </w:r>
      <w:r>
        <w:fldChar w:fldCharType="separate"/>
      </w:r>
      <w:r>
        <w:rPr>
          <w:rFonts w:hint="eastAsia" w:ascii="楷体_GB2312" w:hAnsi="楷体_GB2312" w:eastAsia="楷体_GB2312" w:cs="楷体_GB2312"/>
          <w:b w:val="0"/>
          <w:sz w:val="30"/>
          <w:szCs w:val="30"/>
        </w:rPr>
        <w:t>第五章 投资估算</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_Toc1540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32</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"_Toc479" </w:instrText>
      </w:r>
      <w:r>
        <w:fldChar w:fldCharType="separate"/>
      </w:r>
      <w:r>
        <w:rPr>
          <w:rFonts w:hint="eastAsia" w:ascii="楷体_GB2312" w:hAnsi="楷体_GB2312" w:eastAsia="楷体_GB2312" w:cs="楷体_GB2312"/>
          <w:bCs/>
          <w:sz w:val="30"/>
          <w:szCs w:val="30"/>
        </w:rPr>
        <w:t>一、投资估算</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_Toc479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32</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"_Toc18103" </w:instrText>
      </w:r>
      <w:r>
        <w:fldChar w:fldCharType="separate"/>
      </w:r>
      <w:r>
        <w:rPr>
          <w:rFonts w:hint="eastAsia" w:ascii="楷体_GB2312" w:hAnsi="楷体_GB2312" w:eastAsia="楷体_GB2312" w:cs="楷体_GB2312"/>
          <w:bCs/>
          <w:sz w:val="30"/>
          <w:szCs w:val="30"/>
        </w:rPr>
        <w:t>二、资金筹措</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_Toc18103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34</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"_Toc21735" </w:instrText>
      </w:r>
      <w:r>
        <w:fldChar w:fldCharType="separate"/>
      </w:r>
      <w:r>
        <w:rPr>
          <w:rFonts w:hint="eastAsia" w:ascii="楷体_GB2312" w:hAnsi="楷体_GB2312" w:eastAsia="楷体_GB2312" w:cs="楷体_GB2312"/>
          <w:b w:val="0"/>
          <w:sz w:val="30"/>
          <w:szCs w:val="30"/>
        </w:rPr>
        <w:t>第六章 效益分析</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_Toc21735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35</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"_Toc16997" </w:instrText>
      </w:r>
      <w:r>
        <w:fldChar w:fldCharType="separate"/>
      </w:r>
      <w:r>
        <w:rPr>
          <w:rFonts w:hint="eastAsia" w:ascii="楷体_GB2312" w:hAnsi="楷体_GB2312" w:eastAsia="楷体_GB2312" w:cs="楷体_GB2312"/>
          <w:bCs/>
          <w:sz w:val="30"/>
          <w:szCs w:val="30"/>
        </w:rPr>
        <w:t>一、社会效益</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_Toc16997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35</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"_Toc26414" </w:instrText>
      </w:r>
      <w:r>
        <w:fldChar w:fldCharType="separate"/>
      </w:r>
      <w:r>
        <w:rPr>
          <w:rFonts w:hint="eastAsia" w:ascii="楷体_GB2312" w:hAnsi="楷体_GB2312" w:eastAsia="楷体_GB2312" w:cs="楷体_GB2312"/>
          <w:bCs/>
          <w:sz w:val="30"/>
          <w:szCs w:val="30"/>
        </w:rPr>
        <w:t>二、经济效益</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_Toc26414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36</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"_Toc20662" </w:instrText>
      </w:r>
      <w:r>
        <w:fldChar w:fldCharType="separate"/>
      </w:r>
      <w:r>
        <w:rPr>
          <w:rFonts w:hint="eastAsia" w:ascii="楷体_GB2312" w:hAnsi="楷体_GB2312" w:eastAsia="楷体_GB2312" w:cs="楷体_GB2312"/>
          <w:bCs/>
          <w:sz w:val="30"/>
          <w:szCs w:val="30"/>
        </w:rPr>
        <w:t>三、生态效益</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_Toc20662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37</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"_Toc28005" </w:instrText>
      </w:r>
      <w:r>
        <w:fldChar w:fldCharType="separate"/>
      </w:r>
      <w:r>
        <w:rPr>
          <w:rFonts w:hint="eastAsia" w:ascii="楷体_GB2312" w:hAnsi="楷体_GB2312" w:eastAsia="楷体_GB2312" w:cs="楷体_GB2312"/>
          <w:b w:val="0"/>
          <w:sz w:val="30"/>
          <w:szCs w:val="30"/>
        </w:rPr>
        <w:t>第七章 环境影响分析</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_Toc28005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39</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"_Toc10424" </w:instrText>
      </w:r>
      <w:r>
        <w:fldChar w:fldCharType="separate"/>
      </w:r>
      <w:r>
        <w:rPr>
          <w:rFonts w:hint="eastAsia" w:ascii="楷体_GB2312" w:hAnsi="楷体_GB2312" w:eastAsia="楷体_GB2312" w:cs="楷体_GB2312"/>
          <w:bCs/>
          <w:sz w:val="30"/>
          <w:szCs w:val="30"/>
        </w:rPr>
        <w:t>一、对区域水资源平衡的影响分析</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_Toc10424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39</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"_Toc11024" </w:instrText>
      </w:r>
      <w:r>
        <w:fldChar w:fldCharType="separate"/>
      </w:r>
      <w:r>
        <w:rPr>
          <w:rFonts w:hint="eastAsia" w:ascii="楷体_GB2312" w:hAnsi="楷体_GB2312" w:eastAsia="楷体_GB2312" w:cs="楷体_GB2312"/>
          <w:bCs/>
          <w:sz w:val="30"/>
          <w:szCs w:val="30"/>
        </w:rPr>
        <w:t>二、对防治水土流失的影响分析</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_Toc11024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39</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"_Toc3521" </w:instrText>
      </w:r>
      <w:r>
        <w:fldChar w:fldCharType="separate"/>
      </w:r>
      <w:r>
        <w:rPr>
          <w:rFonts w:hint="eastAsia" w:ascii="楷体_GB2312" w:hAnsi="楷体_GB2312" w:eastAsia="楷体_GB2312" w:cs="楷体_GB2312"/>
          <w:bCs/>
          <w:sz w:val="30"/>
          <w:szCs w:val="30"/>
        </w:rPr>
        <w:t>三、农业投入品对环境的影响分析</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_Toc3521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40</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"_Toc21615" </w:instrText>
      </w:r>
      <w:r>
        <w:fldChar w:fldCharType="separate"/>
      </w:r>
      <w:r>
        <w:rPr>
          <w:rFonts w:hint="eastAsia" w:ascii="楷体_GB2312" w:hAnsi="楷体_GB2312" w:eastAsia="楷体_GB2312" w:cs="楷体_GB2312"/>
          <w:b w:val="0"/>
          <w:sz w:val="30"/>
          <w:szCs w:val="30"/>
        </w:rPr>
        <w:t>第八章 保障措施</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_Toc21615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41</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"_Toc28755" </w:instrText>
      </w:r>
      <w:r>
        <w:fldChar w:fldCharType="separate"/>
      </w:r>
      <w:r>
        <w:rPr>
          <w:rFonts w:hint="eastAsia" w:ascii="楷体_GB2312" w:hAnsi="楷体_GB2312" w:eastAsia="楷体_GB2312" w:cs="楷体_GB2312"/>
          <w:bCs/>
          <w:sz w:val="30"/>
          <w:szCs w:val="30"/>
        </w:rPr>
        <w:t>一、组织保障</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_Toc28755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41</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"_Toc22611" </w:instrText>
      </w:r>
      <w:r>
        <w:fldChar w:fldCharType="separate"/>
      </w:r>
      <w:r>
        <w:rPr>
          <w:rFonts w:hint="eastAsia" w:ascii="楷体_GB2312" w:hAnsi="楷体_GB2312" w:eastAsia="楷体_GB2312" w:cs="楷体_GB2312"/>
          <w:bCs/>
          <w:sz w:val="30"/>
          <w:szCs w:val="30"/>
        </w:rPr>
        <w:t>二、资金保障</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_Toc22611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41</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"_Toc2815" </w:instrText>
      </w:r>
      <w:r>
        <w:fldChar w:fldCharType="separate"/>
      </w:r>
      <w:r>
        <w:rPr>
          <w:rFonts w:hint="eastAsia" w:ascii="楷体_GB2312" w:hAnsi="楷体_GB2312" w:eastAsia="楷体_GB2312" w:cs="楷体_GB2312"/>
          <w:bCs/>
          <w:sz w:val="30"/>
          <w:szCs w:val="30"/>
        </w:rPr>
        <w:t>三、制度保障</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_Toc2815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42</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"_Toc6629" </w:instrText>
      </w:r>
      <w:r>
        <w:fldChar w:fldCharType="separate"/>
      </w:r>
      <w:r>
        <w:rPr>
          <w:rFonts w:hint="eastAsia" w:ascii="楷体_GB2312" w:hAnsi="楷体_GB2312" w:eastAsia="楷体_GB2312" w:cs="楷体_GB2312"/>
          <w:bCs/>
          <w:sz w:val="30"/>
          <w:szCs w:val="30"/>
        </w:rPr>
        <w:t>四、管理保障</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_Toc6629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42</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23"/>
        <w:tabs>
          <w:tab w:val="right" w:leader="dot" w:pos="8312"/>
        </w:tabs>
        <w:rPr>
          <w:rFonts w:ascii="楷体_GB2312" w:hAnsi="楷体_GB2312" w:eastAsia="楷体_GB2312" w:cs="楷体_GB2312"/>
          <w:bCs/>
          <w:sz w:val="30"/>
          <w:szCs w:val="30"/>
        </w:rPr>
      </w:pPr>
      <w:r>
        <w:fldChar w:fldCharType="begin"/>
      </w:r>
      <w:r>
        <w:instrText xml:space="preserve"> HYPERLINK \l "_Toc936" </w:instrText>
      </w:r>
      <w:r>
        <w:fldChar w:fldCharType="separate"/>
      </w:r>
      <w:r>
        <w:rPr>
          <w:rFonts w:hint="eastAsia" w:ascii="楷体_GB2312" w:hAnsi="楷体_GB2312" w:eastAsia="楷体_GB2312" w:cs="楷体_GB2312"/>
          <w:bCs/>
          <w:sz w:val="30"/>
          <w:szCs w:val="30"/>
        </w:rPr>
        <w:t>五、建后管护</w:t>
      </w:r>
      <w:r>
        <w:rPr>
          <w:rFonts w:hint="eastAsia" w:ascii="楷体_GB2312" w:hAnsi="楷体_GB2312" w:eastAsia="楷体_GB2312" w:cs="楷体_GB2312"/>
          <w:bCs/>
          <w:sz w:val="30"/>
          <w:szCs w:val="30"/>
        </w:rPr>
        <w:tab/>
      </w:r>
      <w:r>
        <w:rPr>
          <w:rFonts w:hint="eastAsia" w:ascii="楷体_GB2312" w:hAnsi="楷体_GB2312" w:eastAsia="楷体_GB2312" w:cs="楷体_GB2312"/>
          <w:bCs/>
          <w:sz w:val="30"/>
          <w:szCs w:val="30"/>
        </w:rPr>
        <w:fldChar w:fldCharType="begin"/>
      </w:r>
      <w:r>
        <w:rPr>
          <w:rFonts w:hint="eastAsia" w:ascii="楷体_GB2312" w:hAnsi="楷体_GB2312" w:eastAsia="楷体_GB2312" w:cs="楷体_GB2312"/>
          <w:bCs/>
          <w:sz w:val="30"/>
          <w:szCs w:val="30"/>
        </w:rPr>
        <w:instrText xml:space="preserve"> PAGEREF _Toc936 </w:instrText>
      </w:r>
      <w:r>
        <w:rPr>
          <w:rFonts w:hint="eastAsia" w:ascii="楷体_GB2312" w:hAnsi="楷体_GB2312" w:eastAsia="楷体_GB2312" w:cs="楷体_GB2312"/>
          <w:bCs/>
          <w:sz w:val="30"/>
          <w:szCs w:val="30"/>
        </w:rPr>
        <w:fldChar w:fldCharType="separate"/>
      </w:r>
      <w:r>
        <w:rPr>
          <w:rFonts w:hint="eastAsia" w:ascii="楷体_GB2312" w:hAnsi="楷体_GB2312" w:eastAsia="楷体_GB2312" w:cs="楷体_GB2312"/>
          <w:bCs/>
          <w:sz w:val="30"/>
          <w:szCs w:val="30"/>
        </w:rPr>
        <w:t>43</w:t>
      </w:r>
      <w:r>
        <w:rPr>
          <w:rFonts w:hint="eastAsia" w:ascii="楷体_GB2312" w:hAnsi="楷体_GB2312" w:eastAsia="楷体_GB2312" w:cs="楷体_GB2312"/>
          <w:bCs/>
          <w:sz w:val="30"/>
          <w:szCs w:val="30"/>
        </w:rPr>
        <w:fldChar w:fldCharType="end"/>
      </w:r>
      <w:r>
        <w:rPr>
          <w:rFonts w:hint="eastAsia" w:ascii="楷体_GB2312" w:hAnsi="楷体_GB2312" w:eastAsia="楷体_GB2312" w:cs="楷体_GB2312"/>
          <w:bCs/>
          <w:sz w:val="30"/>
          <w:szCs w:val="30"/>
        </w:rPr>
        <w:fldChar w:fldCharType="end"/>
      </w:r>
    </w:p>
    <w:p>
      <w:pPr>
        <w:pStyle w:val="18"/>
        <w:tabs>
          <w:tab w:val="right" w:leader="dot" w:pos="8312"/>
          <w:tab w:val="clear" w:pos="8302"/>
        </w:tabs>
        <w:rPr>
          <w:rFonts w:ascii="楷体_GB2312" w:hAnsi="楷体_GB2312" w:eastAsia="楷体_GB2312" w:cs="楷体_GB2312"/>
          <w:b w:val="0"/>
          <w:bCs/>
          <w:caps/>
          <w:smallCaps w:val="0"/>
          <w:spacing w:val="-6"/>
          <w:sz w:val="30"/>
          <w:szCs w:val="30"/>
        </w:rPr>
      </w:pPr>
      <w:r>
        <w:rPr>
          <w:bCs/>
          <w:caps/>
          <w:smallCaps w:val="0"/>
          <w:spacing w:val="-6"/>
        </w:rPr>
        <w:fldChar w:fldCharType="begin"/>
      </w:r>
      <w:r>
        <w:rPr>
          <w:bCs/>
          <w:caps/>
          <w:smallCaps w:val="0"/>
          <w:spacing w:val="-6"/>
        </w:rPr>
        <w:instrText xml:space="preserve"> HYPERLINK \l "_Toc8560" </w:instrText>
      </w:r>
      <w:r>
        <w:rPr>
          <w:bCs/>
          <w:caps/>
          <w:smallCaps w:val="0"/>
          <w:spacing w:val="-6"/>
        </w:rPr>
        <w:fldChar w:fldCharType="separate"/>
      </w:r>
      <w:r>
        <w:rPr>
          <w:rFonts w:hint="eastAsia" w:ascii="楷体_GB2312" w:hAnsi="楷体_GB2312" w:eastAsia="楷体_GB2312" w:cs="楷体_GB2312"/>
          <w:b w:val="0"/>
          <w:bCs/>
          <w:caps/>
          <w:smallCaps w:val="0"/>
          <w:spacing w:val="-6"/>
          <w:sz w:val="30"/>
          <w:szCs w:val="30"/>
        </w:rPr>
        <w:t>附表1 如皋市“十四五”高标准农田建设规划现状基本情况表</w:t>
      </w:r>
      <w:r>
        <w:rPr>
          <w:rFonts w:hint="eastAsia" w:ascii="楷体_GB2312" w:hAnsi="楷体_GB2312" w:eastAsia="楷体_GB2312" w:cs="楷体_GB2312"/>
          <w:b w:val="0"/>
          <w:bCs/>
          <w:caps/>
          <w:smallCaps w:val="0"/>
          <w:spacing w:val="-6"/>
          <w:sz w:val="30"/>
          <w:szCs w:val="30"/>
        </w:rPr>
        <w:tab/>
      </w:r>
      <w:r>
        <w:rPr>
          <w:rFonts w:hint="eastAsia" w:ascii="楷体_GB2312" w:hAnsi="楷体_GB2312" w:eastAsia="楷体_GB2312" w:cs="楷体_GB2312"/>
          <w:b w:val="0"/>
          <w:bCs/>
          <w:caps/>
          <w:smallCaps w:val="0"/>
          <w:spacing w:val="-6"/>
          <w:sz w:val="30"/>
          <w:szCs w:val="30"/>
        </w:rPr>
        <w:fldChar w:fldCharType="begin"/>
      </w:r>
      <w:r>
        <w:rPr>
          <w:rFonts w:hint="eastAsia" w:ascii="楷体_GB2312" w:hAnsi="楷体_GB2312" w:eastAsia="楷体_GB2312" w:cs="楷体_GB2312"/>
          <w:b w:val="0"/>
          <w:bCs/>
          <w:caps/>
          <w:smallCaps w:val="0"/>
          <w:spacing w:val="-6"/>
          <w:sz w:val="30"/>
          <w:szCs w:val="30"/>
        </w:rPr>
        <w:instrText xml:space="preserve"> PAGEREF _Toc8560 </w:instrText>
      </w:r>
      <w:r>
        <w:rPr>
          <w:rFonts w:hint="eastAsia" w:ascii="楷体_GB2312" w:hAnsi="楷体_GB2312" w:eastAsia="楷体_GB2312" w:cs="楷体_GB2312"/>
          <w:b w:val="0"/>
          <w:bCs/>
          <w:caps/>
          <w:smallCaps w:val="0"/>
          <w:spacing w:val="-6"/>
          <w:sz w:val="30"/>
          <w:szCs w:val="30"/>
        </w:rPr>
        <w:fldChar w:fldCharType="separate"/>
      </w:r>
      <w:r>
        <w:rPr>
          <w:rFonts w:hint="eastAsia" w:ascii="楷体_GB2312" w:hAnsi="楷体_GB2312" w:eastAsia="楷体_GB2312" w:cs="楷体_GB2312"/>
          <w:b w:val="0"/>
          <w:bCs/>
          <w:caps/>
          <w:smallCaps w:val="0"/>
          <w:spacing w:val="-6"/>
          <w:sz w:val="30"/>
          <w:szCs w:val="30"/>
        </w:rPr>
        <w:t>45</w:t>
      </w:r>
      <w:r>
        <w:rPr>
          <w:rFonts w:hint="eastAsia" w:ascii="楷体_GB2312" w:hAnsi="楷体_GB2312" w:eastAsia="楷体_GB2312" w:cs="楷体_GB2312"/>
          <w:b w:val="0"/>
          <w:bCs/>
          <w:caps/>
          <w:smallCaps w:val="0"/>
          <w:spacing w:val="-6"/>
          <w:sz w:val="30"/>
          <w:szCs w:val="30"/>
        </w:rPr>
        <w:fldChar w:fldCharType="end"/>
      </w:r>
      <w:r>
        <w:rPr>
          <w:rFonts w:hint="eastAsia" w:ascii="楷体_GB2312" w:hAnsi="楷体_GB2312" w:eastAsia="楷体_GB2312" w:cs="楷体_GB2312"/>
          <w:b w:val="0"/>
          <w:bCs/>
          <w:caps/>
          <w:smallCaps w:val="0"/>
          <w:spacing w:val="-6"/>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"_Toc7058" </w:instrText>
      </w:r>
      <w:r>
        <w:fldChar w:fldCharType="separate"/>
      </w:r>
      <w:r>
        <w:rPr>
          <w:rFonts w:hint="eastAsia" w:ascii="楷体_GB2312" w:hAnsi="楷体_GB2312" w:eastAsia="楷体_GB2312" w:cs="楷体_GB2312"/>
          <w:b w:val="0"/>
          <w:sz w:val="30"/>
          <w:szCs w:val="30"/>
        </w:rPr>
        <w:t>附表2  如皋市“十四五”高标准农田建设效益表</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_Toc7058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46</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pStyle w:val="18"/>
        <w:tabs>
          <w:tab w:val="right" w:leader="dot" w:pos="8312"/>
          <w:tab w:val="clear" w:pos="8302"/>
        </w:tabs>
        <w:rPr>
          <w:rFonts w:ascii="楷体_GB2312" w:hAnsi="楷体_GB2312" w:eastAsia="楷体_GB2312" w:cs="楷体_GB2312"/>
          <w:b w:val="0"/>
          <w:sz w:val="30"/>
          <w:szCs w:val="30"/>
        </w:rPr>
      </w:pPr>
      <w:r>
        <w:fldChar w:fldCharType="begin"/>
      </w:r>
      <w:r>
        <w:instrText xml:space="preserve"> HYPERLINK \l "_Toc17579" </w:instrText>
      </w:r>
      <w:r>
        <w:fldChar w:fldCharType="separate"/>
      </w:r>
      <w:r>
        <w:rPr>
          <w:rFonts w:hint="eastAsia" w:ascii="楷体_GB2312" w:hAnsi="楷体_GB2312" w:eastAsia="楷体_GB2312" w:cs="楷体_GB2312"/>
          <w:b w:val="0"/>
          <w:sz w:val="30"/>
          <w:szCs w:val="30"/>
        </w:rPr>
        <w:t>附图 如皋市高标准农田建设规划图(2021-2025年)</w:t>
      </w:r>
      <w:r>
        <w:rPr>
          <w:rFonts w:hint="eastAsia" w:ascii="楷体_GB2312" w:hAnsi="楷体_GB2312" w:eastAsia="楷体_GB2312" w:cs="楷体_GB2312"/>
          <w:b w:val="0"/>
          <w:sz w:val="30"/>
          <w:szCs w:val="30"/>
        </w:rPr>
        <w:tab/>
      </w:r>
      <w:r>
        <w:rPr>
          <w:rFonts w:hint="eastAsia" w:ascii="楷体_GB2312" w:hAnsi="楷体_GB2312" w:eastAsia="楷体_GB2312" w:cs="楷体_GB2312"/>
          <w:b w:val="0"/>
          <w:sz w:val="30"/>
          <w:szCs w:val="30"/>
        </w:rPr>
        <w:fldChar w:fldCharType="begin"/>
      </w:r>
      <w:r>
        <w:rPr>
          <w:rFonts w:hint="eastAsia" w:ascii="楷体_GB2312" w:hAnsi="楷体_GB2312" w:eastAsia="楷体_GB2312" w:cs="楷体_GB2312"/>
          <w:b w:val="0"/>
          <w:sz w:val="30"/>
          <w:szCs w:val="30"/>
        </w:rPr>
        <w:instrText xml:space="preserve"> PAGEREF _Toc17579 </w:instrText>
      </w:r>
      <w:r>
        <w:rPr>
          <w:rFonts w:hint="eastAsia" w:ascii="楷体_GB2312" w:hAnsi="楷体_GB2312" w:eastAsia="楷体_GB2312" w:cs="楷体_GB2312"/>
          <w:b w:val="0"/>
          <w:sz w:val="30"/>
          <w:szCs w:val="30"/>
        </w:rPr>
        <w:fldChar w:fldCharType="separate"/>
      </w:r>
      <w:r>
        <w:rPr>
          <w:rFonts w:hint="eastAsia" w:ascii="楷体_GB2312" w:hAnsi="楷体_GB2312" w:eastAsia="楷体_GB2312" w:cs="楷体_GB2312"/>
          <w:b w:val="0"/>
          <w:sz w:val="30"/>
          <w:szCs w:val="30"/>
        </w:rPr>
        <w:t>47</w:t>
      </w:r>
      <w:r>
        <w:rPr>
          <w:rFonts w:hint="eastAsia" w:ascii="楷体_GB2312" w:hAnsi="楷体_GB2312" w:eastAsia="楷体_GB2312" w:cs="楷体_GB2312"/>
          <w:b w:val="0"/>
          <w:sz w:val="30"/>
          <w:szCs w:val="30"/>
        </w:rPr>
        <w:fldChar w:fldCharType="end"/>
      </w:r>
      <w:r>
        <w:rPr>
          <w:rFonts w:hint="eastAsia" w:ascii="楷体_GB2312" w:hAnsi="楷体_GB2312" w:eastAsia="楷体_GB2312" w:cs="楷体_GB2312"/>
          <w:b w:val="0"/>
          <w:sz w:val="30"/>
          <w:szCs w:val="30"/>
        </w:rPr>
        <w:fldChar w:fldCharType="end"/>
      </w:r>
    </w:p>
    <w:p>
      <w:pPr>
        <w:tabs>
          <w:tab w:val="center" w:pos="4156"/>
          <w:tab w:val="left" w:pos="5385"/>
        </w:tabs>
        <w:snapToGrid w:val="0"/>
        <w:spacing w:beforeLines="50" w:afterLines="50" w:line="360" w:lineRule="auto"/>
        <w:jc w:val="center"/>
        <w:rPr>
          <w:rFonts w:ascii="楷体" w:hAnsi="楷体" w:eastAsia="楷体" w:cs="楷体"/>
          <w:bCs/>
          <w:sz w:val="44"/>
          <w:szCs w:val="44"/>
        </w:rPr>
        <w:sectPr>
          <w:pgSz w:w="11906" w:h="16838"/>
          <w:pgMar w:top="1440" w:right="1797" w:bottom="1440" w:left="1797" w:header="851" w:footer="992" w:gutter="0"/>
          <w:pgNumType w:start="1"/>
          <w:cols w:space="425" w:num="1"/>
          <w:titlePg/>
          <w:docGrid w:type="lines" w:linePitch="312" w:charSpace="0"/>
        </w:sectPr>
      </w:pPr>
      <w:r>
        <w:rPr>
          <w:rFonts w:hint="eastAsia" w:ascii="楷体_GB2312" w:hAnsi="楷体_GB2312" w:eastAsia="楷体_GB2312" w:cs="楷体_GB2312"/>
          <w:bCs/>
          <w:sz w:val="30"/>
          <w:szCs w:val="30"/>
        </w:rPr>
        <w:fldChar w:fldCharType="end"/>
      </w:r>
    </w:p>
    <w:p>
      <w:pPr>
        <w:tabs>
          <w:tab w:val="center" w:pos="4156"/>
          <w:tab w:val="left" w:pos="5385"/>
        </w:tabs>
        <w:spacing w:beforeLines="50" w:afterLines="50" w:line="400" w:lineRule="exact"/>
        <w:jc w:val="center"/>
        <w:rPr>
          <w:rFonts w:cs="仿宋_GB2312" w:asciiTheme="minorEastAsia" w:hAnsiTheme="minorEastAsia" w:eastAsiaTheme="minorEastAsia"/>
          <w:b/>
          <w:sz w:val="36"/>
          <w:szCs w:val="36"/>
        </w:rPr>
      </w:pPr>
    </w:p>
    <w:p>
      <w:pPr>
        <w:tabs>
          <w:tab w:val="center" w:pos="4156"/>
          <w:tab w:val="left" w:pos="5385"/>
        </w:tabs>
        <w:spacing w:beforeLines="50" w:afterLines="50" w:line="400" w:lineRule="exact"/>
        <w:jc w:val="center"/>
        <w:rPr>
          <w:rFonts w:cs="仿宋_GB2312" w:asciiTheme="minorEastAsia" w:hAnsiTheme="minorEastAsia" w:eastAsiaTheme="minorEastAsia"/>
          <w:b/>
          <w:sz w:val="36"/>
          <w:szCs w:val="36"/>
        </w:rPr>
      </w:pPr>
    </w:p>
    <w:p>
      <w:pPr>
        <w:tabs>
          <w:tab w:val="center" w:pos="4156"/>
          <w:tab w:val="left" w:pos="5385"/>
        </w:tabs>
        <w:spacing w:beforeLines="50" w:afterLines="50" w:line="400" w:lineRule="exact"/>
        <w:jc w:val="center"/>
        <w:rPr>
          <w:rFonts w:cs="仿宋_GB2312" w:asciiTheme="minorEastAsia" w:hAnsiTheme="minorEastAsia" w:eastAsiaTheme="minorEastAsia"/>
          <w:b/>
          <w:sz w:val="36"/>
          <w:szCs w:val="36"/>
        </w:rPr>
      </w:pPr>
    </w:p>
    <w:p>
      <w:pPr>
        <w:tabs>
          <w:tab w:val="center" w:pos="4156"/>
          <w:tab w:val="left" w:pos="5385"/>
        </w:tabs>
        <w:snapToGrid w:val="0"/>
        <w:spacing w:beforeLines="50" w:afterLines="50"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如皋市“十四五”高标准农田建设规划</w:t>
      </w:r>
    </w:p>
    <w:p>
      <w:pPr>
        <w:tabs>
          <w:tab w:val="center" w:pos="4156"/>
          <w:tab w:val="left" w:pos="5385"/>
        </w:tabs>
        <w:snapToGrid w:val="0"/>
        <w:spacing w:beforeLines="50" w:afterLines="50" w:line="360" w:lineRule="auto"/>
        <w:jc w:val="center"/>
        <w:rPr>
          <w:rFonts w:ascii="楷体" w:hAnsi="楷体" w:eastAsia="楷体" w:cs="楷体"/>
          <w:bCs/>
          <w:sz w:val="36"/>
          <w:szCs w:val="36"/>
        </w:rPr>
      </w:pPr>
      <w:r>
        <w:rPr>
          <w:rFonts w:hint="eastAsia" w:ascii="楷体" w:hAnsi="楷体" w:eastAsia="楷体" w:cs="楷体"/>
          <w:bCs/>
          <w:sz w:val="36"/>
          <w:szCs w:val="36"/>
        </w:rPr>
        <w:t>(2021-2025年)</w:t>
      </w:r>
    </w:p>
    <w:p>
      <w:pPr>
        <w:tabs>
          <w:tab w:val="center" w:pos="4156"/>
          <w:tab w:val="left" w:pos="5385"/>
        </w:tabs>
        <w:snapToGrid w:val="0"/>
        <w:spacing w:beforeLines="50" w:afterLines="50" w:line="360" w:lineRule="auto"/>
        <w:rPr>
          <w:rFonts w:asciiTheme="minorEastAsia" w:hAnsiTheme="minorEastAsia" w:eastAsiaTheme="minorEastAsia"/>
          <w:b/>
          <w:sz w:val="28"/>
          <w:szCs w:val="28"/>
        </w:rPr>
      </w:pPr>
    </w:p>
    <w:p>
      <w:pPr>
        <w:pStyle w:val="2"/>
        <w:snapToGrid w:val="0"/>
        <w:spacing w:line="360" w:lineRule="auto"/>
        <w:jc w:val="center"/>
        <w:rPr>
          <w:sz w:val="36"/>
          <w:szCs w:val="36"/>
        </w:rPr>
      </w:pPr>
      <w:bookmarkStart w:id="1" w:name="_Toc12475"/>
      <w:r>
        <w:rPr>
          <w:rFonts w:hint="eastAsia"/>
          <w:sz w:val="36"/>
          <w:szCs w:val="36"/>
        </w:rPr>
        <w:t>前言</w:t>
      </w:r>
      <w:bookmarkEnd w:id="1"/>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土地是人类生存和发展必需的空间资源，农田是农业生产最重要的物质基础，高标准农田建设是农业和农村经济发展、农业现代化的基本要素。加快高标准农田建设，对增强农业综合生产能力，保障国家粮食安全和主要农产品有效供给，提高耕地和水资源利用效率，提升</w:t>
      </w:r>
      <w:r>
        <w:rPr>
          <w:rFonts w:ascii="仿宋_GB2312" w:hAnsi="宋体" w:eastAsia="仿宋_GB2312"/>
          <w:sz w:val="32"/>
          <w:szCs w:val="32"/>
        </w:rPr>
        <w:t>农业质量效益和竞争力</w:t>
      </w:r>
      <w:r>
        <w:rPr>
          <w:rFonts w:hint="eastAsia" w:ascii="仿宋_GB2312" w:hAnsi="宋体" w:eastAsia="仿宋_GB2312"/>
          <w:sz w:val="32"/>
          <w:szCs w:val="32"/>
        </w:rPr>
        <w:t>，促进农民增收具有非常重要的意义。长期以来，如皋市委、市政府和相关部门在推进高标准农田建设的过程中，以项目建设为抓手，以制度建设为保障，强化考核检查，各项工作都取得了显著成效，有效提高了全市农业生产能力和效率，为促进农业稳产高产、农民增收致富作出了重要贡献。</w:t>
      </w:r>
    </w:p>
    <w:p>
      <w:pPr>
        <w:pStyle w:val="25"/>
        <w:shd w:val="clear" w:color="auto" w:fill="FFFFFF"/>
        <w:spacing w:before="0" w:beforeAutospacing="0" w:after="0" w:afterAutospacing="0"/>
        <w:ind w:firstLine="640" w:firstLineChars="200"/>
        <w:jc w:val="both"/>
        <w:rPr>
          <w:rFonts w:ascii="仿宋_GB2312" w:eastAsia="仿宋_GB2312"/>
          <w:sz w:val="32"/>
          <w:szCs w:val="32"/>
        </w:rPr>
      </w:pPr>
      <w:r>
        <w:rPr>
          <w:rFonts w:hint="eastAsia" w:ascii="仿宋_GB2312" w:eastAsia="仿宋_GB2312"/>
          <w:sz w:val="32"/>
          <w:szCs w:val="32"/>
        </w:rPr>
        <w:t>高标准农田是指土地平整、土壤肥沃、集中连片、设施完善、农电配套、生态良好、抗灾能力强，与现代农业生产和经营方式相适应的旱涝保收、持续高产稳产的农田。为了更好地适应乡村振兴战略实施需要，促进农村一二三产融合发展，根据国务院办公厅《关于切实加强高标准农田建设提升国家粮食安全保障能力的意见》（国办发〔2019〕50号）、江苏省农业农村厅办公室《关于做好“十四五”高标准农田建设规划编制工作的通知》（苏农办建〔</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号）等要求，结合如皋市实际，特编制《如皋市“十四五”高标准农田发展规划（2021-2025年）》。</w:t>
      </w:r>
    </w:p>
    <w:p>
      <w:pPr>
        <w:rPr>
          <w:rFonts w:ascii="仿宋" w:hAnsi="仿宋" w:eastAsia="仿宋" w:cs="仿宋"/>
          <w:sz w:val="32"/>
          <w:szCs w:val="32"/>
        </w:rPr>
      </w:pPr>
      <w:r>
        <w:rPr>
          <w:rFonts w:hint="eastAsia" w:ascii="仿宋" w:hAnsi="仿宋" w:eastAsia="仿宋" w:cs="仿宋"/>
          <w:sz w:val="32"/>
          <w:szCs w:val="32"/>
        </w:rPr>
        <w:br w:type="page"/>
      </w:r>
    </w:p>
    <w:p>
      <w:pPr>
        <w:pStyle w:val="15"/>
        <w:rPr>
          <w:sz w:val="32"/>
          <w:szCs w:val="32"/>
        </w:rPr>
      </w:pPr>
    </w:p>
    <w:p>
      <w:pPr>
        <w:pStyle w:val="2"/>
        <w:jc w:val="center"/>
        <w:rPr>
          <w:sz w:val="36"/>
          <w:szCs w:val="36"/>
        </w:rPr>
      </w:pPr>
      <w:bookmarkStart w:id="2" w:name="_Toc18128"/>
      <w:r>
        <w:rPr>
          <w:rFonts w:hint="eastAsia"/>
          <w:sz w:val="36"/>
          <w:szCs w:val="36"/>
        </w:rPr>
        <w:t>第一章 发展现状</w:t>
      </w:r>
      <w:bookmarkEnd w:id="2"/>
    </w:p>
    <w:p>
      <w:pPr>
        <w:tabs>
          <w:tab w:val="center" w:pos="4156"/>
          <w:tab w:val="left" w:pos="5385"/>
        </w:tabs>
        <w:snapToGrid w:val="0"/>
        <w:spacing w:beforeLines="50" w:afterLines="50" w:line="360" w:lineRule="auto"/>
        <w:ind w:firstLine="640"/>
        <w:rPr>
          <w:rStyle w:val="42"/>
          <w:b w:val="0"/>
          <w:bCs w:val="0"/>
        </w:rPr>
      </w:pPr>
      <w:bookmarkStart w:id="3" w:name="_Toc27559"/>
      <w:r>
        <w:rPr>
          <w:rStyle w:val="42"/>
          <w:rFonts w:hint="eastAsia"/>
          <w:b w:val="0"/>
          <w:bCs w:val="0"/>
        </w:rPr>
        <w:t>一、基本情况</w:t>
      </w:r>
    </w:p>
    <w:bookmarkEnd w:id="3"/>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市域总面积1477平方千米（不含长江水面），耕地总面积119.6万亩，农业人口人均耕地面积0.96亩。境内长江岸线48千米，通扬运河、如海运河、如泰运河、焦港河纵横全境，总长180.8千米。全市辖3个街道（区）、11个镇（区），共有347个村（居）。</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地处长江三角洲北翼，北纬32°00′-32°30′、东经120°20′-120°50′之间，南临长江，与张家港市隔江相望，北与海安市、东与如东县、东南与通州区毗邻，西与泰兴市、西南与靖江市接壤。地势由西北向东南略有倾斜（海拔2-6米），如泰运河中段两岸地势最高，沿江以东地势最低。</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交通便利，沈海高速、沪陕高速、盐通高铁、新长铁路和宁启铁路穿越市域，南部有沪苏通大桥和皋张汽渡与苏南地区相连，村村通工程全部实施完成，长江12.5米航道和内河航道整治完毕，良好、便捷的交通为促进农村和农业经济发展创造了有利条件。</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属北亚热带湿润气候区，四季分明，气候温和，雨水充沛，日照充足，气候特点是冬冷干燥，夏热多雨，四季分明。如皋市濒临长江，引用长江水条件优越，陆域内共有I、II级河道24条，分属长江和淮河两大水系。根据《2019年南通市环境状况公报》，长江（南通段）水质在II～III类之间，水质优良。境内的焦港河、新通扬运河、如海运河、如泰运河水质在III-Ⅳ类之间。</w:t>
      </w:r>
    </w:p>
    <w:p>
      <w:pPr>
        <w:tabs>
          <w:tab w:val="center" w:pos="4156"/>
          <w:tab w:val="left" w:pos="5385"/>
        </w:tabs>
        <w:snapToGrid w:val="0"/>
        <w:spacing w:beforeLines="50" w:afterLines="50" w:line="360" w:lineRule="auto"/>
        <w:ind w:firstLine="640"/>
        <w:rPr>
          <w:rStyle w:val="42"/>
          <w:b w:val="0"/>
          <w:bCs w:val="0"/>
        </w:rPr>
      </w:pPr>
      <w:bookmarkStart w:id="4" w:name="_Toc16849"/>
      <w:r>
        <w:rPr>
          <w:rStyle w:val="42"/>
          <w:rFonts w:hint="eastAsia"/>
          <w:b w:val="0"/>
          <w:bCs w:val="0"/>
        </w:rPr>
        <w:t>二、建设成效和经验</w:t>
      </w:r>
    </w:p>
    <w:bookmarkEnd w:id="4"/>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三五”期间，如皋市委、市政府高度重视高标准农田建设，积极申报并整合各方面项目资金，采取治水、改土、整田等工程、生物和技术措施，强化农田基础设施建设，提高了农田配套水平和保障能力，提升了农田产出率和效益，对农业农村经济发展和生态环境保护起到了重要作用。</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（一）取得的主要成效</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“十三五”期间，</w:t>
      </w:r>
      <w:r>
        <w:rPr>
          <w:rFonts w:hint="eastAsia" w:ascii="仿宋_GB2312" w:hAnsi="宋体" w:eastAsia="仿宋_GB2312"/>
          <w:sz w:val="32"/>
          <w:szCs w:val="32"/>
          <w:lang w:val="en-US" w:eastAsia="zh-CN"/>
        </w:rPr>
        <w:t>全市</w:t>
      </w:r>
      <w:r>
        <w:rPr>
          <w:rFonts w:hint="eastAsia" w:ascii="仿宋_GB2312" w:hAnsi="黑体" w:eastAsia="仿宋_GB2312" w:cs="黑体"/>
          <w:bCs/>
          <w:sz w:val="32"/>
          <w:szCs w:val="32"/>
          <w:lang w:eastAsia="zh-CN"/>
        </w:rPr>
        <w:t>规划建设高标准农田面积</w:t>
      </w:r>
      <w:r>
        <w:rPr>
          <w:rFonts w:hint="eastAsia" w:ascii="仿宋_GB2312" w:hAnsi="黑体" w:eastAsia="仿宋_GB2312" w:cs="黑体"/>
          <w:bCs/>
          <w:sz w:val="32"/>
          <w:szCs w:val="32"/>
          <w:lang w:val="en-US" w:eastAsia="zh-CN"/>
        </w:rPr>
        <w:t>25.61万亩，实际完成</w:t>
      </w:r>
      <w:r>
        <w:rPr>
          <w:rFonts w:hint="eastAsia" w:ascii="仿宋_GB2312" w:hAnsi="宋体" w:eastAsia="仿宋_GB2312"/>
          <w:sz w:val="32"/>
          <w:szCs w:val="32"/>
          <w:lang w:val="en-US" w:eastAsia="zh-CN"/>
        </w:rPr>
        <w:t>34.48</w:t>
      </w:r>
      <w:r>
        <w:rPr>
          <w:rFonts w:hint="eastAsia" w:ascii="仿宋_GB2312" w:hAnsi="宋体" w:eastAsia="仿宋_GB2312"/>
          <w:sz w:val="32"/>
          <w:szCs w:val="32"/>
        </w:rPr>
        <w:t>万亩，</w:t>
      </w:r>
      <w:r>
        <w:rPr>
          <w:rFonts w:hint="eastAsia" w:ascii="仿宋_GB2312" w:hAnsi="宋体" w:eastAsia="仿宋_GB2312"/>
          <w:sz w:val="32"/>
          <w:szCs w:val="32"/>
          <w:lang w:val="en-US" w:eastAsia="zh-CN"/>
        </w:rPr>
        <w:t>完成规划目标的134.6%。</w:t>
      </w:r>
      <w:r>
        <w:rPr>
          <w:rFonts w:hint="eastAsia" w:ascii="仿宋_GB2312" w:hAnsi="宋体" w:eastAsia="仿宋_GB2312"/>
          <w:sz w:val="32"/>
          <w:szCs w:val="32"/>
        </w:rPr>
        <w:t>全市</w:t>
      </w:r>
      <w:r>
        <w:rPr>
          <w:rFonts w:hint="eastAsia" w:ascii="仿宋_GB2312" w:hAnsi="宋体" w:eastAsia="仿宋_GB2312"/>
          <w:sz w:val="32"/>
          <w:szCs w:val="32"/>
          <w:lang w:val="en-US" w:eastAsia="zh-CN"/>
        </w:rPr>
        <w:t>高标准农田建设</w:t>
      </w:r>
      <w:r>
        <w:rPr>
          <w:rFonts w:hint="eastAsia" w:ascii="仿宋_GB2312" w:hAnsi="宋体" w:eastAsia="仿宋_GB2312"/>
          <w:sz w:val="32"/>
          <w:szCs w:val="32"/>
        </w:rPr>
        <w:t>共投入财政资金投入</w:t>
      </w:r>
      <w:r>
        <w:rPr>
          <w:rFonts w:hint="eastAsia" w:ascii="仿宋_GB2312" w:hAnsi="宋体" w:eastAsia="仿宋_GB2312"/>
          <w:sz w:val="32"/>
          <w:szCs w:val="32"/>
          <w:lang w:val="en-US" w:eastAsia="zh-CN"/>
        </w:rPr>
        <w:t>93975</w:t>
      </w:r>
      <w:r>
        <w:rPr>
          <w:rFonts w:hint="eastAsia" w:ascii="仿宋_GB2312" w:hAnsi="宋体" w:eastAsia="仿宋_GB2312"/>
          <w:sz w:val="32"/>
          <w:szCs w:val="32"/>
        </w:rPr>
        <w:t>万元，</w:t>
      </w:r>
      <w:r>
        <w:rPr>
          <w:rFonts w:hint="eastAsia" w:ascii="仿宋_GB2312" w:hAnsi="黑体" w:eastAsia="仿宋_GB2312" w:cs="黑体"/>
          <w:bCs/>
          <w:sz w:val="32"/>
          <w:szCs w:val="32"/>
        </w:rPr>
        <w:t>项目覆盖14个镇（街道）的135个行政村。</w:t>
      </w:r>
      <w:r>
        <w:rPr>
          <w:rFonts w:hint="eastAsia" w:ascii="仿宋_GB2312" w:hAnsi="宋体" w:eastAsia="仿宋_GB2312"/>
          <w:sz w:val="32"/>
          <w:szCs w:val="32"/>
        </w:rPr>
        <w:t>具体完成建设内容见下表。</w:t>
      </w:r>
    </w:p>
    <w:p>
      <w:pPr>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表1 如皋市“十三五”高标准农田建设情况统计表</w:t>
      </w:r>
    </w:p>
    <w:tbl>
      <w:tblPr>
        <w:tblStyle w:val="27"/>
        <w:tblW w:w="8579" w:type="dxa"/>
        <w:jc w:val="center"/>
        <w:tblLayout w:type="fixed"/>
        <w:tblCellMar>
          <w:top w:w="0" w:type="dxa"/>
          <w:left w:w="0" w:type="dxa"/>
          <w:bottom w:w="0" w:type="dxa"/>
          <w:right w:w="0" w:type="dxa"/>
        </w:tblCellMar>
      </w:tblPr>
      <w:tblGrid>
        <w:gridCol w:w="768"/>
        <w:gridCol w:w="1049"/>
        <w:gridCol w:w="1052"/>
        <w:gridCol w:w="950"/>
        <w:gridCol w:w="950"/>
        <w:gridCol w:w="950"/>
        <w:gridCol w:w="950"/>
        <w:gridCol w:w="1044"/>
        <w:gridCol w:w="866"/>
      </w:tblGrid>
      <w:tr>
        <w:tblPrEx>
          <w:tblCellMar>
            <w:top w:w="0" w:type="dxa"/>
            <w:left w:w="0" w:type="dxa"/>
            <w:bottom w:w="0" w:type="dxa"/>
            <w:right w:w="0" w:type="dxa"/>
          </w:tblCellMar>
        </w:tblPrEx>
        <w:trPr>
          <w:trHeight w:val="5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开发面积</w:t>
            </w:r>
            <w:r>
              <w:rPr>
                <w:rFonts w:hint="eastAsia" w:ascii="宋体" w:hAnsi="宋体" w:cs="宋体"/>
                <w:color w:val="000000"/>
                <w:kern w:val="0"/>
                <w:sz w:val="24"/>
              </w:rPr>
              <w:br w:type="textWrapping"/>
            </w:r>
            <w:r>
              <w:rPr>
                <w:rFonts w:hint="eastAsia" w:ascii="宋体" w:hAnsi="宋体" w:cs="宋体"/>
                <w:color w:val="000000"/>
                <w:kern w:val="0"/>
                <w:sz w:val="24"/>
              </w:rPr>
              <w:t>（万亩）</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财政投资</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5710"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建设内容</w:t>
            </w:r>
          </w:p>
        </w:tc>
      </w:tr>
      <w:tr>
        <w:tblPrEx>
          <w:tblCellMar>
            <w:top w:w="0" w:type="dxa"/>
            <w:left w:w="0" w:type="dxa"/>
            <w:bottom w:w="0" w:type="dxa"/>
            <w:right w:w="0" w:type="dxa"/>
          </w:tblCellMar>
        </w:tblPrEx>
        <w:trPr>
          <w:trHeight w:val="821"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泵站</w:t>
            </w:r>
            <w:r>
              <w:rPr>
                <w:rFonts w:hint="eastAsia" w:ascii="宋体" w:hAnsi="宋体" w:cs="宋体"/>
                <w:color w:val="000000"/>
                <w:kern w:val="0"/>
                <w:sz w:val="24"/>
              </w:rPr>
              <w:br w:type="textWrapping"/>
            </w:r>
            <w:r>
              <w:rPr>
                <w:rFonts w:hint="eastAsia" w:ascii="宋体" w:hAnsi="宋体" w:cs="宋体"/>
                <w:color w:val="000000"/>
                <w:kern w:val="0"/>
                <w:sz w:val="24"/>
              </w:rPr>
              <w:t>（座）</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防渗渠</w:t>
            </w:r>
            <w:r>
              <w:rPr>
                <w:rFonts w:hint="eastAsia" w:ascii="宋体" w:hAnsi="宋体" w:cs="宋体"/>
                <w:color w:val="000000"/>
                <w:kern w:val="0"/>
                <w:sz w:val="24"/>
              </w:rPr>
              <w:br w:type="textWrapping"/>
            </w:r>
            <w:r>
              <w:rPr>
                <w:rFonts w:hint="eastAsia" w:ascii="宋体" w:hAnsi="宋体" w:cs="宋体"/>
                <w:color w:val="000000"/>
                <w:kern w:val="0"/>
                <w:sz w:val="24"/>
              </w:rPr>
              <w:t>（千米）</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暗渠</w:t>
            </w:r>
            <w:r>
              <w:rPr>
                <w:rFonts w:hint="eastAsia" w:ascii="宋体" w:hAnsi="宋体" w:cs="宋体"/>
                <w:color w:val="000000"/>
                <w:kern w:val="0"/>
                <w:sz w:val="24"/>
              </w:rPr>
              <w:br w:type="textWrapping"/>
            </w:r>
            <w:r>
              <w:rPr>
                <w:rFonts w:hint="eastAsia" w:ascii="宋体" w:hAnsi="宋体" w:cs="宋体"/>
                <w:color w:val="000000"/>
                <w:kern w:val="0"/>
                <w:sz w:val="24"/>
              </w:rPr>
              <w:t>（千米）</w:t>
            </w:r>
          </w:p>
        </w:tc>
        <w:tc>
          <w:tcPr>
            <w:tcW w:w="9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机耕路</w:t>
            </w:r>
            <w:r>
              <w:rPr>
                <w:rFonts w:hint="eastAsia" w:ascii="宋体" w:hAnsi="宋体" w:cs="宋体"/>
                <w:color w:val="000000"/>
                <w:kern w:val="0"/>
                <w:sz w:val="24"/>
              </w:rPr>
              <w:br w:type="textWrapping"/>
            </w:r>
            <w:r>
              <w:rPr>
                <w:rFonts w:hint="eastAsia" w:ascii="宋体" w:hAnsi="宋体" w:cs="宋体"/>
                <w:color w:val="000000"/>
                <w:kern w:val="0"/>
                <w:sz w:val="24"/>
              </w:rPr>
              <w:t>（千米）</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平整土地</w:t>
            </w:r>
            <w:r>
              <w:rPr>
                <w:rFonts w:hint="eastAsia" w:ascii="宋体" w:hAnsi="宋体" w:cs="宋体"/>
                <w:color w:val="000000"/>
                <w:kern w:val="0"/>
                <w:sz w:val="24"/>
              </w:rPr>
              <w:br w:type="textWrapping"/>
            </w:r>
            <w:r>
              <w:rPr>
                <w:rFonts w:hint="eastAsia" w:ascii="宋体" w:hAnsi="宋体" w:cs="宋体"/>
                <w:color w:val="000000"/>
                <w:kern w:val="0"/>
                <w:sz w:val="24"/>
              </w:rPr>
              <w:t>（万亩）</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绿化</w:t>
            </w:r>
            <w:r>
              <w:rPr>
                <w:rFonts w:hint="eastAsia" w:ascii="宋体" w:hAnsi="宋体" w:cs="宋体"/>
                <w:color w:val="000000"/>
                <w:kern w:val="0"/>
                <w:sz w:val="24"/>
              </w:rPr>
              <w:br w:type="textWrapping"/>
            </w:r>
            <w:r>
              <w:rPr>
                <w:rFonts w:hint="eastAsia" w:ascii="宋体" w:hAnsi="宋体" w:cs="宋体"/>
                <w:color w:val="000000"/>
                <w:kern w:val="0"/>
                <w:sz w:val="24"/>
              </w:rPr>
              <w:t>（株）</w:t>
            </w:r>
          </w:p>
        </w:tc>
      </w:tr>
      <w:tr>
        <w:tblPrEx>
          <w:tblCellMar>
            <w:top w:w="0" w:type="dxa"/>
            <w:left w:w="0" w:type="dxa"/>
            <w:bottom w:w="0" w:type="dxa"/>
            <w:right w:w="0" w:type="dxa"/>
          </w:tblCellMar>
        </w:tblPrEx>
        <w:trPr>
          <w:trHeight w:val="503"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6.7</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16750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140.18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29.97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102.47</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0.02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18005</w:t>
            </w:r>
          </w:p>
        </w:tc>
      </w:tr>
      <w:tr>
        <w:tblPrEx>
          <w:tblCellMar>
            <w:top w:w="0" w:type="dxa"/>
            <w:left w:w="0" w:type="dxa"/>
            <w:bottom w:w="0" w:type="dxa"/>
            <w:right w:w="0" w:type="dxa"/>
          </w:tblCellMar>
        </w:tblPrEx>
        <w:trPr>
          <w:trHeight w:val="503"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2017</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5.3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13250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61.33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47.01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84.49</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8000</w:t>
            </w:r>
          </w:p>
        </w:tc>
      </w:tr>
      <w:tr>
        <w:tblPrEx>
          <w:tblCellMar>
            <w:top w:w="0" w:type="dxa"/>
            <w:left w:w="0" w:type="dxa"/>
            <w:bottom w:w="0" w:type="dxa"/>
            <w:right w:w="0" w:type="dxa"/>
          </w:tblCellMar>
        </w:tblPrEx>
        <w:trPr>
          <w:trHeight w:val="503"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10.58</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26450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74.99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56.27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100.57</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0.14</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14696</w:t>
            </w:r>
          </w:p>
        </w:tc>
      </w:tr>
      <w:tr>
        <w:tblPrEx>
          <w:tblCellMar>
            <w:top w:w="0" w:type="dxa"/>
            <w:left w:w="0" w:type="dxa"/>
            <w:bottom w:w="0" w:type="dxa"/>
            <w:right w:w="0" w:type="dxa"/>
          </w:tblCellMar>
        </w:tblPrEx>
        <w:trPr>
          <w:trHeight w:val="503"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2019</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15125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112.09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75.53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0.16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54407</w:t>
            </w:r>
          </w:p>
        </w:tc>
      </w:tr>
      <w:tr>
        <w:tblPrEx>
          <w:tblCellMar>
            <w:top w:w="0" w:type="dxa"/>
            <w:left w:w="0" w:type="dxa"/>
            <w:bottom w:w="0" w:type="dxa"/>
            <w:right w:w="0" w:type="dxa"/>
          </w:tblCellMar>
        </w:tblPrEx>
        <w:trPr>
          <w:trHeight w:val="503"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6.4</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22400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84.64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111.89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161.61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34134</w:t>
            </w:r>
          </w:p>
        </w:tc>
      </w:tr>
      <w:tr>
        <w:tblPrEx>
          <w:tblCellMar>
            <w:top w:w="0" w:type="dxa"/>
            <w:left w:w="0" w:type="dxa"/>
            <w:bottom w:w="0" w:type="dxa"/>
            <w:right w:w="0" w:type="dxa"/>
          </w:tblCellMar>
        </w:tblPrEx>
        <w:trPr>
          <w:trHeight w:val="538"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34.48</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93975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437.94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357.23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524.67</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0.62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129242</w:t>
            </w:r>
          </w:p>
        </w:tc>
      </w:tr>
    </w:tbl>
    <w:p>
      <w:pPr>
        <w:snapToGrid w:val="0"/>
        <w:spacing w:line="360" w:lineRule="auto"/>
        <w:ind w:firstLine="640" w:firstLineChars="200"/>
        <w:rPr>
          <w:rFonts w:ascii="楷体" w:hAnsi="楷体" w:eastAsia="楷体" w:cs="楷体"/>
          <w:sz w:val="32"/>
          <w:szCs w:val="32"/>
        </w:rPr>
      </w:pP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取得的成效有以下几个方面：一是全市紧紧围绕优质粮油、蔬菜等主导产业和特色产业发展，通过改善生产条件，改良土壤，引进良种，推广新技术等措施，有效提高了农业效益，增加了农民收入。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年，全市农村居民人均可支配收入达到2</w:t>
      </w:r>
      <w:r>
        <w:rPr>
          <w:rFonts w:hint="eastAsia" w:ascii="仿宋_GB2312" w:hAnsi="宋体" w:eastAsia="仿宋_GB2312"/>
          <w:sz w:val="32"/>
          <w:szCs w:val="32"/>
          <w:lang w:val="en-US" w:eastAsia="zh-CN"/>
        </w:rPr>
        <w:t>3559</w:t>
      </w:r>
      <w:r>
        <w:rPr>
          <w:rFonts w:hint="eastAsia" w:ascii="仿宋_GB2312" w:hAnsi="宋体" w:eastAsia="仿宋_GB2312"/>
          <w:sz w:val="32"/>
          <w:szCs w:val="32"/>
        </w:rPr>
        <w:t>元，比2015年的15532元增加</w:t>
      </w:r>
      <w:r>
        <w:rPr>
          <w:rFonts w:hint="eastAsia" w:ascii="仿宋_GB2312" w:hAnsi="宋体" w:eastAsia="仿宋_GB2312"/>
          <w:sz w:val="32"/>
          <w:szCs w:val="32"/>
          <w:lang w:val="en-US" w:eastAsia="zh-CN"/>
        </w:rPr>
        <w:t>8027</w:t>
      </w:r>
      <w:r>
        <w:rPr>
          <w:rFonts w:hint="eastAsia" w:ascii="仿宋_GB2312" w:hAnsi="宋体" w:eastAsia="仿宋_GB2312"/>
          <w:sz w:val="32"/>
          <w:szCs w:val="32"/>
        </w:rPr>
        <w:t>元，年增长率达到</w:t>
      </w:r>
      <w:r>
        <w:rPr>
          <w:rFonts w:hint="eastAsia" w:ascii="仿宋_GB2312" w:hAnsi="宋体" w:eastAsia="仿宋_GB2312"/>
          <w:sz w:val="32"/>
          <w:szCs w:val="32"/>
          <w:lang w:val="en-US" w:eastAsia="zh-CN"/>
        </w:rPr>
        <w:t>8.7</w:t>
      </w:r>
      <w:r>
        <w:rPr>
          <w:rFonts w:hint="eastAsia" w:ascii="仿宋_GB2312" w:hAnsi="宋体" w:eastAsia="仿宋_GB2312"/>
          <w:sz w:val="32"/>
          <w:szCs w:val="32"/>
        </w:rPr>
        <w:t>%。二是改善了农村基础设施，田块结构布局得到优化，耕地质量和地力水平明显提升，农机作业道路等条件明显改善，防护林体系逐步形成并趋于完善。三是促进了农业发展方式转变，提高了粮食和经济作物生产能力，为保障粮食安全和主要农产品有效供给做出了贡献，也为农业结构调整，大力发展现代高效农业打下了坚实基础。四是提高了农田防洪除涝能力和灌溉效率，减少了水资源浪费，改善了农田土壤理化性状，增强了土壤保水、保肥、通气能力，有效控制了水土流失，改良了土壤结构，土壤有机质含量增加，农田生态环境不断改善，增强了农业可持续发展能力。</w:t>
      </w:r>
      <w:bookmarkStart w:id="5" w:name="_Toc12295"/>
      <w:r>
        <w:rPr>
          <w:rFonts w:hint="eastAsia" w:ascii="仿宋_GB2312" w:hAnsi="宋体" w:eastAsia="仿宋_GB2312"/>
          <w:sz w:val="32"/>
          <w:szCs w:val="32"/>
        </w:rPr>
        <w:t>五是通过对废沟呆塘和荒地的整治，增加占补平衡指标</w:t>
      </w:r>
      <w:r>
        <w:rPr>
          <w:rFonts w:hint="eastAsia" w:ascii="仿宋_GB2312" w:hAnsi="宋体" w:eastAsia="仿宋_GB2312"/>
          <w:sz w:val="32"/>
          <w:szCs w:val="32"/>
          <w:lang w:val="en-US" w:eastAsia="zh-CN"/>
        </w:rPr>
        <w:t>3450</w:t>
      </w:r>
      <w:r>
        <w:rPr>
          <w:rFonts w:hint="eastAsia" w:ascii="仿宋_GB2312" w:hAnsi="宋体" w:eastAsia="仿宋_GB2312"/>
          <w:sz w:val="32"/>
          <w:szCs w:val="32"/>
        </w:rPr>
        <w:t>亩，促进了经济社会全面发展。</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（二）主要</w:t>
      </w:r>
      <w:bookmarkEnd w:id="5"/>
      <w:r>
        <w:rPr>
          <w:rFonts w:hint="eastAsia" w:ascii="楷体" w:hAnsi="楷体" w:eastAsia="楷体" w:cs="楷体"/>
          <w:sz w:val="32"/>
          <w:szCs w:val="32"/>
        </w:rPr>
        <w:t>做法</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“十三五”期间，如皋市在高标准农田建设推进过程中，主要采取了以下措施，保证了各项工作的顺利推进：</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1.强化组织领导，务实高效推进</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全市坚持把高标准农田建设作为“三农”工作的重点龙头工程，乡村振兴战略实施的基础工程，农村精准扶贫的重要抓手，高质量发展和乡村振兴重点工作考核内容。全市成立了由市委书记为组长的高标农田建设领导小组，统筹推进全市高标准农田建设工作。项目镇（区、街道）也相应成立领导机构，建立项目建设指挥部，由主要负责人挂帅组织研究解决重大问题，分管负责人抓项目实施的具体工作，按照序时进度推进，项目负责人现场抓实施、落实。在全市形成了齐抓共管、各负其责的高标准农田建设管理体系。强化专题培训，将相关政策、制度及操作规范进行全面梳理，制订了指导高标准农田建设的“一本通”。全市每年开展多次高标准农田建设专题培训，参培人员覆盖全部镇（区、街道），并延伸至施工单位、监理单位、设计单位。全市建立健全了高标准农田建设会商会办机制，督查推进机制，完善了周例会、周报表、月点评、季现场、年(半年)总结的工作推进机制，及时协调解决问题，为高标准农田建设提供了强有力的组织保障。</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2.强化规划引领，紧扣重点发力</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在高标准农田规划建设中，重点体现“三突出”：一是突出示范区建设全市在建设高标准农田过程中，坚持以村为单位，集中投入，规模开发，打造整村推进、连片开发的典型。突出“地平整、田成方”要求，实行“先流转、后建设”“先平整、再配套”的建设新模式，确保每个项目村建成一个规模500亩以上现代农业示范区。二是突出高效节水灌溉建设。认真贯彻落实省厅要求落实高效节水灌溉任务，摸索出暗渠这一适合如皋灌溉需求的高效节水灌溉模式。暗渠的推广使用既避免了施工管理的麻烦，也给后期管护带来了方便。此外，暗渠不仅节约了水资源还溢出耕地资源，解决了占补平衡指标落实难的问题。三是突出生态效应。结合人居环境整治，坚持生态环保绿色理念，将高标准农田建设与农村生产生活环境提升有机融合。创新生态护坡工艺，避免沟渠过度硬化，推广生态排水，保护了生态环境。</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3.强化制度约束，提升监管成效</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为确保高标准农田建设项目高质量完成，全市采取扎实有效措施，层层落实责任。全市制定出台了《如皋市高标准农田建设监管细则》，明确了高标准农田建设项目实施过程中设计、施工、验收等环节的监督、管理要求以及项目镇、施工单位、监理单位、设计单位各自职责。坚持质量、进度、安全、审计、资料五同步，加强项目跟踪监督和竣工决算审计，提高项目资金使用效益。从源头开始，将高标准农田建设所有环节进入市级以上招投标平台公开招标，优选勘测、规划设计、施工和监理单位。严格控制项目计划变更调整，对确需变更的，必须按规定程序履行报批手续，严禁未批先做、少批多做。进一步健全部门监管、专业监理、群众监督“三位一体”监督体系，强化“嵌入式”监督，对高标准农田建设工作中的违法违规现象进行严肃查处。根据《南通市高标准农田建设项目和资金管理办法》要求，全市制定出台了《如皋市高标准农田项目工程建后管理办法(试行）》，不断完善和深化建后管护体制和机制，进一步明确各项目镇（区、街道）为高标准农田的建设管理责任主体，落实属地管护责任，强化建后管理，使高标准农田建设工程设施能够更长久发挥效益。</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4.坚持农民主体，充分发动和依靠群众</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全市在高标准农田建设中始终坚持以农民为主体，充分尊重农民意愿，为农民谋利益，较好地兼顾了国家粮食安全与农民增收的目标。建设项目确立以“农民要办”为前提，优先安排农民积极性高的地区，充分调动农民的积极性，保证农民的参与权、受益权和监督权，变“要农民干”为“农民要干”。</w:t>
      </w:r>
    </w:p>
    <w:p>
      <w:pPr>
        <w:tabs>
          <w:tab w:val="center" w:pos="4156"/>
          <w:tab w:val="left" w:pos="5385"/>
        </w:tabs>
        <w:snapToGrid w:val="0"/>
        <w:spacing w:beforeLines="50" w:afterLines="50" w:line="360" w:lineRule="auto"/>
        <w:ind w:firstLine="640"/>
        <w:rPr>
          <w:rStyle w:val="42"/>
          <w:b w:val="0"/>
          <w:bCs w:val="0"/>
        </w:rPr>
      </w:pPr>
      <w:bookmarkStart w:id="6" w:name="_Toc17270"/>
      <w:r>
        <w:rPr>
          <w:rStyle w:val="42"/>
          <w:rFonts w:hint="eastAsia"/>
          <w:b w:val="0"/>
          <w:bCs w:val="0"/>
        </w:rPr>
        <w:t>三、有利条件和制约因素</w:t>
      </w:r>
    </w:p>
    <w:bookmarkEnd w:id="6"/>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高标准农田建设是“十四五”期间农业农村工作的重要内容。全市推进高标准农田建设既有前所未有的有利条件，也存在一些制约因素。</w:t>
      </w:r>
    </w:p>
    <w:p>
      <w:pPr>
        <w:snapToGrid w:val="0"/>
        <w:spacing w:line="360" w:lineRule="auto"/>
        <w:ind w:firstLine="600"/>
        <w:rPr>
          <w:rFonts w:ascii="楷体_GB2312" w:hAnsi="楷体_GB2312" w:eastAsia="楷体_GB2312" w:cs="楷体_GB2312"/>
          <w:sz w:val="32"/>
          <w:szCs w:val="32"/>
        </w:rPr>
      </w:pPr>
      <w:r>
        <w:rPr>
          <w:rFonts w:hint="eastAsia" w:ascii="楷体_GB2312" w:hAnsi="楷体_GB2312" w:eastAsia="楷体_GB2312" w:cs="楷体_GB2312"/>
          <w:sz w:val="32"/>
          <w:szCs w:val="32"/>
        </w:rPr>
        <w:t>（一）有利条件</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1.宏观政策是高标准农田建设强劲动力</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党中央和国务院对高标准农田建设高度重视，将高标准农田建设上升为国家层面的战略部署。2020年7月，习近平总书记在视察吉林省时指出：“要加快高标准农田建设，强化农业科技和装备支撑，深化农业供给侧结构性改革，加快发展绿色农业，推进农村三产融合”。党的十九届五中全会公报提出：“</w:t>
      </w:r>
      <w:r>
        <w:rPr>
          <w:rFonts w:ascii="仿宋_GB2312" w:hAnsi="宋体" w:eastAsia="仿宋_GB2312"/>
          <w:sz w:val="32"/>
          <w:szCs w:val="32"/>
        </w:rPr>
        <w:t>要保障国家粮食安全，提高农业质量效益和竞争力，实施乡村建设行动</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rPr>
        <w:t>中共中央、国务院印发的《乡村振兴战略规划（2018-2022年）》要求“大规模推进高标准农田建设，确保到2022年建成10亿亩高标准农田”。</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2.优越条件是高标准农田建设的坚实基础</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濒临长江，水资源丰富、水质良好、主干水系完善，排灌方便，为高标准农田建设项目实施创造了优越的自然条件。同时，如皋市位于全国经济最发达的长三角地区，交通便利，有利于高标准农田建设和与之相适应的规模化、产业化经营，促进农村一二三产融合发展、现代休闲体验农业发展，实现转型升级、高质量发展。</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3.经济实力是高标准农田建设的有力支撑</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国家对高标准农田建设高度重视，各级财政安排的高标准农田建设资金有了充分保障。同时，如皋市区位优势明显，经济发展加快，实力不断增强。20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年全市实现地区生产总值</w:t>
      </w:r>
      <w:r>
        <w:rPr>
          <w:rFonts w:hint="eastAsia" w:ascii="仿宋_GB2312" w:hAnsi="宋体" w:eastAsia="仿宋_GB2312"/>
          <w:sz w:val="32"/>
          <w:szCs w:val="32"/>
          <w:lang w:val="en-US" w:eastAsia="zh-CN"/>
        </w:rPr>
        <w:t>1305</w:t>
      </w:r>
      <w:r>
        <w:rPr>
          <w:rFonts w:hint="eastAsia" w:ascii="仿宋_GB2312" w:hAnsi="宋体" w:eastAsia="仿宋_GB2312"/>
          <w:sz w:val="32"/>
          <w:szCs w:val="32"/>
        </w:rPr>
        <w:t>亿元，一般公共预算收入7</w:t>
      </w:r>
      <w:r>
        <w:rPr>
          <w:rFonts w:hint="eastAsia" w:ascii="仿宋_GB2312" w:hAnsi="宋体" w:eastAsia="仿宋_GB2312"/>
          <w:sz w:val="32"/>
          <w:szCs w:val="32"/>
          <w:lang w:val="en-US" w:eastAsia="zh-CN"/>
        </w:rPr>
        <w:t>2</w:t>
      </w:r>
      <w:r>
        <w:rPr>
          <w:rFonts w:hint="eastAsia" w:ascii="仿宋_GB2312" w:hAnsi="宋体" w:eastAsia="仿宋_GB2312"/>
          <w:sz w:val="32"/>
          <w:szCs w:val="32"/>
        </w:rPr>
        <w:t>亿元，较强的经济实力为高标准农田建设提供了有力支撑。在财政资金引导下，企业、农民等不同主体积极参与高标准农田建设的投资配套和产业化经营，有利于形成国家引导，配套投入，民办公助的多元化投入机制。</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4.丰富的经验是高标准农田建设的可靠保证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在高标准农田建设实践中，积极探索，不断总结，形成了一些成功经验和很好的管理办法。特别是在规范建设标准、整合各种资源、建立和完善部门间协调推进机制等方面在全省处于领先位置，为“十四五”推进高标准农田建设奠定了良好基础。随着农业发展方式转变，全市农业产业结构更趋合理。不断创新的农业发展载体、经营机制和政策支持均为高标准农田建设创造了良好的条件和氛围。</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（二）制约因素</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1.农业基础设施还需继续完善</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经过持续多年高标准农田建设，全市农业基础设施水平与过去相比有了明显提高，但是还存在一些薄弱地区和薄弱环节。部分地区农业基础设施相对比较落后，少数地区农业基础设施不足和损毁严重的状况没有完全改变，有待于进一步加强。</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2.农业产业化水平有待提高</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近年来全市农业产业化进程得到推进较快，但是组织化和集约化程度偏低的问题还没有完全解决。龙头企业的带动和示范能力还不够强，新型农业经营主体在现代农业发展中的地位需要进一步增强。</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3.农业科技进步贡献率需继续提升</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近年来全市农业科技推广力度不断提升，但是科技对农业发展的支撑和贡献率有待进一步提高。一是农业科技推广队伍需要进一步加强，少数镇级还存在农业科技推广力量不足和队伍老化、非专业化问题。二是科技投入不足，新技术、新品种跟不上市场变化需求。三是物联网等先进技术对农业生产的促进作用不明显，实用性和适用性有待提高。</w:t>
      </w:r>
    </w:p>
    <w:p>
      <w:pPr>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4.农业从业人员不足</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全市农业从业人员不能满足现代农业发展需要，主要表现在：一是从业人员数量不足，大部分农村劳动力都进城或外出打工。二是农业从业人员老龄化严重，长期从事农业生产的基本上都是50岁以上的人员。三是劳动力素质偏低，农业劳动力以老年和妇女为主体，教育程度偏低。</w:t>
      </w:r>
    </w:p>
    <w:p>
      <w:pPr>
        <w:tabs>
          <w:tab w:val="center" w:pos="4156"/>
          <w:tab w:val="left" w:pos="5385"/>
        </w:tabs>
        <w:snapToGrid w:val="0"/>
        <w:spacing w:beforeLines="50" w:afterLines="50" w:line="360" w:lineRule="auto"/>
        <w:ind w:firstLine="640"/>
        <w:rPr>
          <w:rStyle w:val="42"/>
          <w:b w:val="0"/>
          <w:bCs w:val="0"/>
        </w:rPr>
      </w:pPr>
      <w:bookmarkStart w:id="7" w:name="_Toc31627"/>
      <w:r>
        <w:rPr>
          <w:rStyle w:val="42"/>
          <w:rFonts w:hint="eastAsia"/>
          <w:b w:val="0"/>
          <w:bCs w:val="0"/>
        </w:rPr>
        <w:t>四、推进高标准农田建设的必要性</w:t>
      </w:r>
    </w:p>
    <w:bookmarkEnd w:id="7"/>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“十四五”是我国从全面小康向基本现代化迈进的开局之际，继续推进高标准农田建设具有非常重要的意义。</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（一）保障国家粮食安全，实行粮食安全供给的需要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通过高标准农田建设，能够有效提高农田的粮食产能，增加粮食等作物的产量。对荒废塘沟和土地的整治，可以在一定程度上增加粮田面积，遏制粮食种植规模下降的趋势，保证国家的粮食安全。</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（二）促进农业农村发展，实施乡村振兴战略的需要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建设高标准农田，提高农田设施和装备水平，是中央乡村振兴战略的重要目标任务，是农业农村发展的重要内容和重要措施。通过高标准农田建设，提高农业生产能力和效率，引导和带动农村各方面的基础设施建设，促进管理水平提高，有利于改善农村面貌，提高农村发展水平。</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（三）改善农业生产条件，提高农业装备水平的需要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完善灌溉、电力、农田林网等基础设施，改善、改良土壤，提高灌溉保障率、节约水电等消耗，为农业增产、农民增收创造有利条件。通过高标准农田建设，可以较好地解决农村普遍存在的农田碎片化状况，有利于推广农田机械化作业，节省劳动力，解决制约农村发展的劳动力不足的关键矛盾。</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（四）优化农业产业结构，促进农业增效增收的需要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通过高标准农田建设和相关工程实施，农田质量得到明显提高，有利于发展具有明显如皋地方特色的优势农业主导产业，提升农业整体效率和效益，促进农民增收致富。</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（五）加大城乡统筹，推动城乡一体化发展的需要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大力实施高标准农田建设是实行以工补农、以工带农、以城市带动农村共同发展的有效措施，有利于加快农业和农村发展，实行城乡统筹发展，推进城乡一体化进程。而通过高标准农田建设获得的占补平衡奖励指标，有利于促进城乡经济和社会的全面、健康发展。</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（六）改善人居环境，建设美丽宜居乡村的需要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高标准农田建设涉及农水、农路、农桥、农田林网、农村电力设施建设等，对改善农村生产和生活环境条件，建设美丽江苏、美丽乡村意义重大。</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（七）解决谁来种田，实现藏粮于地藏粮于技的需要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可以较好地推进良种、良法和良田有机结合，推进农业结构调整与改革，实现藏粮于技的目标；高标准农田建设有利于把农村的土地承包经营权和使用权分开，实行土地有序规模流转，让有能力、愿意种田的人来种田，实行适度规模经营。同时在一定程度上提高农村土地连片程度，有利于实行农业机械化、尤其是大型农业机械作业，降低农业生产成本，解决农村劳动力不足的矛盾，较好地解决当前农村普遍存在的谁来种地的问题。</w:t>
      </w:r>
    </w:p>
    <w:p>
      <w:pPr>
        <w:snapToGrid w:val="0"/>
        <w:spacing w:line="360" w:lineRule="auto"/>
        <w:rPr>
          <w:rStyle w:val="42"/>
          <w:b w:val="0"/>
          <w:bCs w:val="0"/>
        </w:rPr>
      </w:pPr>
      <w:r>
        <w:rPr>
          <w:rStyle w:val="42"/>
          <w:rFonts w:hint="eastAsia"/>
          <w:b w:val="0"/>
          <w:bCs w:val="0"/>
        </w:rPr>
        <w:br w:type="page"/>
      </w:r>
    </w:p>
    <w:p>
      <w:pPr>
        <w:tabs>
          <w:tab w:val="center" w:pos="4156"/>
          <w:tab w:val="left" w:pos="5385"/>
        </w:tabs>
        <w:snapToGrid w:val="0"/>
        <w:spacing w:beforeLines="50" w:afterLines="50" w:line="360" w:lineRule="auto"/>
        <w:ind w:firstLine="640"/>
        <w:rPr>
          <w:rStyle w:val="42"/>
          <w:b w:val="0"/>
          <w:bCs w:val="0"/>
        </w:rPr>
      </w:pPr>
    </w:p>
    <w:p>
      <w:pPr>
        <w:pStyle w:val="2"/>
        <w:jc w:val="center"/>
        <w:rPr>
          <w:sz w:val="36"/>
          <w:szCs w:val="36"/>
        </w:rPr>
      </w:pPr>
      <w:bookmarkStart w:id="8" w:name="_Toc32748"/>
      <w:r>
        <w:rPr>
          <w:rFonts w:hint="eastAsia"/>
          <w:sz w:val="36"/>
          <w:szCs w:val="36"/>
        </w:rPr>
        <w:t>第二章 总体要求</w:t>
      </w:r>
      <w:bookmarkEnd w:id="8"/>
    </w:p>
    <w:p>
      <w:pPr>
        <w:tabs>
          <w:tab w:val="center" w:pos="4156"/>
          <w:tab w:val="left" w:pos="5385"/>
        </w:tabs>
        <w:snapToGrid w:val="0"/>
        <w:spacing w:beforeLines="50" w:afterLines="50" w:line="360" w:lineRule="auto"/>
        <w:ind w:firstLine="620"/>
        <w:rPr>
          <w:rStyle w:val="42"/>
          <w:b w:val="0"/>
          <w:bCs w:val="0"/>
        </w:rPr>
      </w:pPr>
      <w:bookmarkStart w:id="9" w:name="_Toc473"/>
      <w:r>
        <w:rPr>
          <w:rStyle w:val="42"/>
          <w:rFonts w:hint="eastAsia"/>
          <w:b w:val="0"/>
          <w:bCs w:val="0"/>
        </w:rPr>
        <w:t>一、指导思想</w:t>
      </w:r>
    </w:p>
    <w:bookmarkEnd w:id="9"/>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十四五”高标准农田建设的指导思想是：以习近平新时代中国特色社会主义思想为指导，全面贯彻党的十九大和十九届二中、三中、四中、五中全会精神，以创新、协调、绿色、开放和共享发展理念为引领，紧紧围绕实施乡村振兴战略，按照农业高质量发展要求，以提升粮食产能为首要目标，加大农田基础设施建设力度，突出抓好耕地保护、地力提升和高效节水灌溉，补齐农田基础设施短板，增强农田防灾抗灾减灾能力，提高水土资源利用效率，提升农业装备水平，实现“藏粮于地”；转变农业发展方式，推进农业适度规模经营，提高土地产出率；实施农业科技创新，大力引进新品种、新技术，提高农业科技水平，实现“藏粮于技”；强化政策支持，加大项目投入，创新投资机制，统筹协调、合力推进高标准农田建设，促进农业增效、农民增收、农村发展，为保障国家粮食安全，助推美丽江苏、美丽乡村建设，实现农业和农村基本现代化夯实基础。</w:t>
      </w:r>
    </w:p>
    <w:p>
      <w:pPr>
        <w:tabs>
          <w:tab w:val="center" w:pos="4156"/>
          <w:tab w:val="left" w:pos="5385"/>
        </w:tabs>
        <w:snapToGrid w:val="0"/>
        <w:spacing w:beforeLines="50" w:afterLines="50" w:line="360" w:lineRule="auto"/>
        <w:ind w:firstLine="640"/>
        <w:rPr>
          <w:rStyle w:val="42"/>
          <w:b w:val="0"/>
          <w:bCs w:val="0"/>
        </w:rPr>
      </w:pPr>
      <w:bookmarkStart w:id="10" w:name="_Toc20502"/>
      <w:r>
        <w:rPr>
          <w:rStyle w:val="42"/>
          <w:rFonts w:hint="eastAsia"/>
          <w:b w:val="0"/>
          <w:bCs w:val="0"/>
        </w:rPr>
        <w:t>二、基本原则</w:t>
      </w:r>
    </w:p>
    <w:bookmarkEnd w:id="10"/>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（一）整体推进，连片建设</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根据农田分布和自然条件状况，加强与相关规划衔接，选择重点建设地区，因地制宜地合理确定农田连片规模，统一规划设计，采取集中投入、连片治理、整体推进的建设方式，确保建一片成一片。</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（二）整合资源，集中投入</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明确全市各级、各部门职责，整合资源，建立部门协调机制，促进信息共享。整合各级、各类有关高标准农田建设的项目和资金，集中投入，确保效果。</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（三）高标准建设，高水平利用</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提高设计和建设标准，切实改变建设标准偏低、不能适应现代农业发展需要的局面。建成后通过产业化经营等措施，大力发展农产品和农业服务业，实现一二三产融合发展，高水平利用，提升高标准农田的生产效率和效益。</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（四）建管结合，长期发挥</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标准化要求加强项目建设管理，建成后及时确权登记，健全管护机制，明确管护主体，落实管护责任和管护经费；加强对项目工程管护的督查指导和监测评价，强化信息管理，确保工程规范、良性运行，长久发挥效益。</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（五）农民自愿，组织有力</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高标准农田建设的区域规划和项目实施的条件是农民自愿，镇（区、街）政府积极性高，并具有较强的项目实施组织和管理能力，能确保项目顺利实施。</w:t>
      </w:r>
    </w:p>
    <w:p>
      <w:pPr>
        <w:snapToGrid w:val="0"/>
        <w:spacing w:line="360"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六</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依法建管，良田粮用</w:t>
      </w:r>
    </w:p>
    <w:p>
      <w:pPr>
        <w:snapToGrid w:val="0"/>
        <w:spacing w:line="360" w:lineRule="auto"/>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建成的高标准农田及时划为永久基本农田，实行严格保护，全面上图入库。强化用途管控，原则上建成的高标准农田全部用于粮食生产，遏制耕地“非农化”，防止“非粮化”。强化高标准农田目标监测与评价，严格耕地占用审批，依法批准占用高标准农田的要及时补充，确保高标准农田的数量和质量。</w:t>
      </w:r>
    </w:p>
    <w:p>
      <w:pPr>
        <w:tabs>
          <w:tab w:val="center" w:pos="4156"/>
          <w:tab w:val="left" w:pos="5385"/>
        </w:tabs>
        <w:snapToGrid w:val="0"/>
        <w:spacing w:beforeLines="50" w:afterLines="50" w:line="360" w:lineRule="auto"/>
        <w:ind w:firstLine="640"/>
        <w:rPr>
          <w:rStyle w:val="42"/>
          <w:b w:val="0"/>
          <w:bCs w:val="0"/>
        </w:rPr>
      </w:pPr>
      <w:bookmarkStart w:id="11" w:name="_Toc9666"/>
      <w:r>
        <w:rPr>
          <w:rStyle w:val="42"/>
          <w:rFonts w:hint="eastAsia"/>
          <w:b w:val="0"/>
          <w:bCs w:val="0"/>
        </w:rPr>
        <w:t>三、目标任务</w:t>
      </w:r>
    </w:p>
    <w:bookmarkEnd w:id="11"/>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（一）规划期限</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规划基准年为2020年，规划期为2021-2025年。</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（二）目标任务</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总体目标是：“田地平整肥沃、水利设施配套、田间道路畅通、林网建设适宜、科技先进适用、优质高产高效”。如皋市“十四五”期间高标准农田建设的总体目标是到2025年新增高标准农田24.26万亩。</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结合农业新品种、新技术推广应用和新型农业生产经营主体培育与扶持，建成的高标准农田亩均粮食综合年生产能力达到1000千克以上，农民人均收入增加300元以上，灌溉水利用系数0.70以上，主要农作物综合机械化作业水平90%以上，农业适度规模经营比重80%以上。</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规划区高标准农田建设目标实现后，进一步加大农业产业化推进力度，根据不同区域实际，大力推进优势特色农产品规模化发展。规划区优势特色农产品种植面积达到总面积的75%左右，重点发展水稻等优质粮油种植，以及优质蔬菜等经济作物，进一步做大做强如皋市长寿食品等特色农业品牌。规划区域新增龙头企业5-6家，培育家庭农场等新型农业经营主体10家，其中各级示范家庭农场5家。农产品商品化率达到65%以上，优质化率达到85%左右。</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通过拓展高标准农田建设内涵，加大对荒沟废塘、闲弃土地开发和利用力度，节约和集约利用土地资源，实现新建项目区新增土地占补平衡指标1%，即2420亩。</w:t>
      </w:r>
    </w:p>
    <w:p>
      <w:pPr>
        <w:snapToGrid w:val="0"/>
        <w:spacing w:line="360" w:lineRule="auto"/>
        <w:ind w:firstLine="681" w:firstLineChars="213"/>
        <w:rPr>
          <w:rFonts w:ascii="仿宋_GB2312" w:hAnsi="宋体" w:eastAsia="仿宋_GB2312"/>
          <w:sz w:val="32"/>
          <w:szCs w:val="32"/>
        </w:rPr>
      </w:pPr>
    </w:p>
    <w:p>
      <w:pPr>
        <w:rPr>
          <w:rFonts w:ascii="仿宋" w:hAnsi="仿宋" w:eastAsia="仿宋" w:cs="仿宋"/>
          <w:sz w:val="30"/>
          <w:szCs w:val="30"/>
        </w:rPr>
      </w:pPr>
      <w:r>
        <w:rPr>
          <w:rFonts w:hint="eastAsia" w:ascii="仿宋" w:hAnsi="仿宋" w:eastAsia="仿宋" w:cs="仿宋"/>
          <w:sz w:val="30"/>
          <w:szCs w:val="30"/>
        </w:rPr>
        <w:br w:type="page"/>
      </w:r>
    </w:p>
    <w:p>
      <w:pPr>
        <w:snapToGrid w:val="0"/>
        <w:spacing w:line="360" w:lineRule="auto"/>
        <w:ind w:firstLine="600" w:firstLineChars="200"/>
        <w:rPr>
          <w:rFonts w:ascii="仿宋" w:hAnsi="仿宋" w:eastAsia="仿宋" w:cs="仿宋"/>
          <w:sz w:val="30"/>
          <w:szCs w:val="30"/>
        </w:rPr>
      </w:pPr>
    </w:p>
    <w:p>
      <w:pPr>
        <w:pStyle w:val="2"/>
        <w:jc w:val="center"/>
        <w:rPr>
          <w:sz w:val="36"/>
          <w:szCs w:val="36"/>
        </w:rPr>
      </w:pPr>
      <w:bookmarkStart w:id="12" w:name="_Toc28230"/>
      <w:r>
        <w:rPr>
          <w:rFonts w:hint="eastAsia"/>
          <w:sz w:val="36"/>
          <w:szCs w:val="36"/>
        </w:rPr>
        <w:t>第三章 建设内容</w:t>
      </w:r>
      <w:bookmarkEnd w:id="12"/>
    </w:p>
    <w:p>
      <w:pPr>
        <w:tabs>
          <w:tab w:val="center" w:pos="4156"/>
          <w:tab w:val="left" w:pos="5385"/>
        </w:tabs>
        <w:snapToGrid w:val="0"/>
        <w:spacing w:beforeLines="50" w:afterLines="50" w:line="360" w:lineRule="auto"/>
        <w:ind w:firstLine="640"/>
        <w:rPr>
          <w:rStyle w:val="42"/>
          <w:b w:val="0"/>
          <w:bCs w:val="0"/>
        </w:rPr>
      </w:pPr>
      <w:bookmarkStart w:id="13" w:name="_Toc22549"/>
      <w:r>
        <w:rPr>
          <w:rStyle w:val="42"/>
          <w:rFonts w:hint="eastAsia"/>
          <w:b w:val="0"/>
          <w:bCs w:val="0"/>
        </w:rPr>
        <w:t>一、建设标准</w:t>
      </w:r>
    </w:p>
    <w:bookmarkEnd w:id="13"/>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根据《高标准农田建设 通则》（GB/T 30600-2014），以及江苏省和南通市相关要求，结合如皋市高标准农田建设实际，确定全市高标准农田建设的标准如下：</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（一）水利措施标准</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灌溉设计保证率达到90%以上，灌溉水利用系数0.7以上。固定泵站进行渠道灌溉时，根据各个区域和区快的具体情况，确定合适的泵站控制面积规模。渠道防渗形式，根据规划区的土质情况选择混凝土衬砌防渗措施。</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一般地区排涝设计标准为日降雨200毫米，雨后1天排出。农田地下水位埋深在雨后2～3天内，一般农田降至田间0.8米以下，沿江地区降至1.2米以下，圩区防洪标准为100年一遇，除涝标准为50年一遇。</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农田中沟以上灌排工程配套率和完好率达到100%，田间灌排工程配套率和完好率在95%以上，建筑物性能与技术性能达到规范标准。</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（二）农业措施标准</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农田集中连片。田地相对集中，以有林道路或较大沟渠为基准形成条格田，以满足农业机械化和田间管理要求，条田面积100亩以上。</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积极推广农业机械化作业。水稻等作物的播种（栽插）、收获等主要作业环节具备基本实现机械化的基础性条件。水稻等主要农作物综合机械化水平不低于80%。</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（三）田间道路标准</w:t>
      </w:r>
    </w:p>
    <w:p>
      <w:pPr>
        <w:snapToGrid w:val="0"/>
        <w:spacing w:line="360" w:lineRule="auto"/>
        <w:rPr>
          <w:rFonts w:ascii="仿宋_GB2312" w:hAnsi="宋体" w:eastAsia="仿宋_GB2312"/>
          <w:sz w:val="32"/>
          <w:szCs w:val="32"/>
        </w:rPr>
      </w:pPr>
      <w:r>
        <w:rPr>
          <w:rFonts w:hint="eastAsia" w:ascii="仿宋" w:hAnsi="仿宋" w:eastAsia="仿宋" w:cs="仿宋"/>
          <w:sz w:val="32"/>
          <w:szCs w:val="32"/>
        </w:rPr>
        <w:t>　　</w:t>
      </w:r>
      <w:r>
        <w:rPr>
          <w:rFonts w:hint="eastAsia" w:ascii="仿宋_GB2312" w:hAnsi="宋体" w:eastAsia="仿宋_GB2312"/>
          <w:sz w:val="32"/>
          <w:szCs w:val="32"/>
        </w:rPr>
        <w:t>按照高标准农田建设需要构建交通框架，机耕路建设分干道、支路两级，干道全部硬质化，并与乡村公路连接，满足5吨以上农用运输车辆的通行需要，支路能保证农机通行，晴雨天畅通，并配置桥、涵等设施，确保农产品运输便利。</w:t>
      </w:r>
    </w:p>
    <w:p>
      <w:pPr>
        <w:snapToGrid w:val="0"/>
        <w:spacing w:line="360" w:lineRule="auto"/>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（四）林业措施标准</w:t>
      </w:r>
    </w:p>
    <w:p>
      <w:pPr>
        <w:snapToGrid w:val="0"/>
        <w:spacing w:line="360" w:lineRule="auto"/>
        <w:rPr>
          <w:rFonts w:ascii="仿宋_GB2312" w:hAnsi="宋体" w:eastAsia="仿宋_GB2312"/>
          <w:sz w:val="32"/>
          <w:szCs w:val="32"/>
          <w:highlight w:val="yellow"/>
        </w:rPr>
      </w:pPr>
      <w:r>
        <w:rPr>
          <w:rFonts w:hint="eastAsia" w:ascii="仿宋" w:hAnsi="仿宋" w:eastAsia="仿宋" w:cs="仿宋"/>
          <w:sz w:val="32"/>
          <w:szCs w:val="32"/>
          <w:highlight w:val="none"/>
        </w:rPr>
        <w:t>　　</w:t>
      </w:r>
      <w:r>
        <w:rPr>
          <w:rFonts w:hint="eastAsia" w:ascii="仿宋_GB2312" w:hAnsi="宋体" w:eastAsia="仿宋_GB2312"/>
          <w:sz w:val="32"/>
          <w:szCs w:val="32"/>
          <w:highlight w:val="none"/>
        </w:rPr>
        <w:t>规划区的主要道路、沟渠、河道两侧全面栽种适宜苗木。三、四级河道两旁各栽种2～4行农田防护林，支渠、主干道两旁各栽种1排农田防护林，农渠和田间机耕道旁栽种1行农田防护林。农田林网达到二级以上标准，控制面积200～400亩/网格，绿化当年成活率和三年后保存率85%以上。在保证林网防护功能的同时，通过选择合适树种和提高养护水平，充分发挥林网的造景和美化作用，助推美丽乡村建设。</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（五）科技措施标准</w:t>
      </w:r>
    </w:p>
    <w:p>
      <w:pPr>
        <w:snapToGrid w:val="0"/>
        <w:spacing w:line="360" w:lineRule="auto"/>
        <w:rPr>
          <w:rFonts w:ascii="仿宋_GB2312" w:hAnsi="宋体" w:eastAsia="仿宋_GB2312"/>
          <w:sz w:val="32"/>
          <w:szCs w:val="32"/>
        </w:rPr>
      </w:pPr>
      <w:r>
        <w:rPr>
          <w:rFonts w:hint="eastAsia" w:ascii="仿宋" w:hAnsi="仿宋" w:eastAsia="仿宋" w:cs="仿宋"/>
          <w:sz w:val="32"/>
          <w:szCs w:val="32"/>
        </w:rPr>
        <w:t>　　</w:t>
      </w:r>
      <w:r>
        <w:rPr>
          <w:rFonts w:hint="eastAsia" w:ascii="仿宋_GB2312" w:hAnsi="宋体" w:eastAsia="仿宋_GB2312"/>
          <w:sz w:val="32"/>
          <w:szCs w:val="32"/>
        </w:rPr>
        <w:t>根据做优、做强规划区内优质主导产业的实际需求，突出优质粮油、蔬菜新品种、新技术的引进和推广，提高科技含量。每个规划区的项目镇（街、区），推广1个以上优良新品种，2项以上新技术，扶持1个农技服务组织，实现农业技术的标准化和推广应用的规范化，优良品种覆盖率达到90%左右，科技对农业的贡献份额达到65%以上。</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（六）其它标准</w:t>
      </w:r>
    </w:p>
    <w:p>
      <w:pPr>
        <w:snapToGrid w:val="0"/>
        <w:spacing w:line="360" w:lineRule="auto"/>
        <w:rPr>
          <w:rFonts w:ascii="仿宋" w:hAnsi="仿宋" w:eastAsia="仿宋" w:cs="仿宋"/>
          <w:b/>
          <w:bCs/>
          <w:sz w:val="32"/>
          <w:szCs w:val="32"/>
        </w:rPr>
      </w:pPr>
      <w:r>
        <w:rPr>
          <w:rFonts w:hint="eastAsia" w:ascii="仿宋" w:hAnsi="仿宋" w:eastAsia="仿宋" w:cs="仿宋"/>
          <w:b/>
          <w:bCs/>
          <w:sz w:val="32"/>
          <w:szCs w:val="32"/>
        </w:rPr>
        <w:t>　　1．生产经营</w:t>
      </w:r>
    </w:p>
    <w:p>
      <w:pPr>
        <w:snapToGrid w:val="0"/>
        <w:spacing w:line="360" w:lineRule="auto"/>
        <w:rPr>
          <w:rFonts w:ascii="仿宋_GB2312" w:hAnsi="宋体" w:eastAsia="仿宋_GB2312"/>
          <w:sz w:val="32"/>
          <w:szCs w:val="32"/>
        </w:rPr>
      </w:pPr>
      <w:r>
        <w:rPr>
          <w:rFonts w:hint="eastAsia" w:ascii="仿宋" w:hAnsi="仿宋" w:eastAsia="仿宋" w:cs="仿宋"/>
          <w:sz w:val="32"/>
          <w:szCs w:val="32"/>
        </w:rPr>
        <w:t>　</w:t>
      </w:r>
      <w:r>
        <w:rPr>
          <w:rFonts w:hint="eastAsia" w:ascii="仿宋_GB2312" w:hAnsi="宋体" w:eastAsia="仿宋_GB2312"/>
          <w:sz w:val="32"/>
          <w:szCs w:val="32"/>
        </w:rPr>
        <w:t>　主要农产品市场竞争力显著增强，农业生产专业化、社会化服务水平明显提高。规划区内农民专业合作社、农业龙头企业、农民种植大户等市场主体规模经营面积达60%以上。</w:t>
      </w:r>
    </w:p>
    <w:p>
      <w:pPr>
        <w:snapToGrid w:val="0"/>
        <w:spacing w:line="360" w:lineRule="auto"/>
        <w:rPr>
          <w:rFonts w:ascii="仿宋" w:hAnsi="仿宋" w:eastAsia="仿宋" w:cs="仿宋"/>
          <w:b/>
          <w:bCs/>
          <w:sz w:val="32"/>
          <w:szCs w:val="32"/>
        </w:rPr>
      </w:pPr>
      <w:r>
        <w:rPr>
          <w:rFonts w:hint="eastAsia" w:ascii="仿宋" w:hAnsi="仿宋" w:eastAsia="仿宋" w:cs="仿宋"/>
          <w:b/>
          <w:bCs/>
          <w:sz w:val="32"/>
          <w:szCs w:val="32"/>
        </w:rPr>
        <w:t>　　2．产能目标</w:t>
      </w:r>
    </w:p>
    <w:p>
      <w:pPr>
        <w:snapToGrid w:val="0"/>
        <w:spacing w:line="360" w:lineRule="auto"/>
        <w:rPr>
          <w:rFonts w:ascii="仿宋_GB2312" w:hAnsi="宋体" w:eastAsia="仿宋_GB2312"/>
          <w:sz w:val="32"/>
          <w:szCs w:val="32"/>
        </w:rPr>
      </w:pPr>
      <w:r>
        <w:rPr>
          <w:rFonts w:hint="eastAsia" w:ascii="仿宋" w:hAnsi="仿宋" w:eastAsia="仿宋" w:cs="仿宋"/>
          <w:sz w:val="32"/>
          <w:szCs w:val="32"/>
        </w:rPr>
        <w:t>　　建设的高标准农田的</w:t>
      </w:r>
      <w:r>
        <w:rPr>
          <w:rFonts w:hint="eastAsia" w:ascii="仿宋_GB2312" w:hAnsi="宋体" w:eastAsia="仿宋_GB2312"/>
          <w:sz w:val="32"/>
          <w:szCs w:val="32"/>
        </w:rPr>
        <w:t>粮食生产能力每亩稳定在1000千克以上，蔬菜等其他作物亩效益2000元以上。</w:t>
      </w:r>
    </w:p>
    <w:p>
      <w:pPr>
        <w:tabs>
          <w:tab w:val="center" w:pos="4156"/>
          <w:tab w:val="left" w:pos="5385"/>
        </w:tabs>
        <w:snapToGrid w:val="0"/>
        <w:spacing w:beforeLines="50" w:afterLines="50" w:line="360" w:lineRule="auto"/>
        <w:ind w:firstLine="640"/>
        <w:rPr>
          <w:rStyle w:val="42"/>
          <w:b w:val="0"/>
          <w:bCs w:val="0"/>
        </w:rPr>
      </w:pPr>
      <w:bookmarkStart w:id="14" w:name="_Toc12488"/>
      <w:r>
        <w:rPr>
          <w:rStyle w:val="42"/>
          <w:rFonts w:hint="eastAsia"/>
          <w:b w:val="0"/>
          <w:bCs w:val="0"/>
        </w:rPr>
        <w:t>二、建设内容</w:t>
      </w:r>
    </w:p>
    <w:bookmarkEnd w:id="14"/>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地平整、田成方、路相通、林成网、沟相连、渠通畅”的要求，达到“旱能灌、涝能排、渍能降、田方正、土肥沃”的标准，强化规划区基础设施建设，助推乡村振兴战略实施，改善农业生产基本条件，构建完善的农田配套设施，高效的农业生产格局，优质的土壤种植基础，良好的农业生态环境，为全市农村产业兴旺、生态宜居作出贡献。</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（一）整治田块</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土地利用总体规划确定的耕地和基本农田布局，充分考虑水资源承载能力和生态容量等因素，进一步优化农田结构布局。合理划分和适度归并田块，平整土地，减小农田地表坡降。根据地形地貌、作物种类、机械作业效率、灌排效率和防止风害等因素，合理确定田块长度和宽度。深翻深松土地，通过客土充填、剥离回填肥沃的表土层等措施，改善农田耕作层。</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（二）改良土壤</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采用农艺、生物等措施，对田间基础设施配套建设后的耕地进行土壤改良、地力培肥。通过施用有机肥、秸秆还田、种植绿肥翻埋还田等措施，提升土壤有机质含量。全面推广测土配方施肥，促进土壤养分平衡。推广保护性耕作、土壤轮耕等技术，改善耕作层土壤理化性状。</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（三）修筑灌排设施</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大中小微并举、蓄引提调结合的要求，加强水源工程建设。按照灌溉与排水并重、骨干工程与田间工程并进的要求，配套改造和建设输配水渠（管）道和排水沟（管）道、泵站及渠系建筑物，开展灌溉排水设施建设。因地制宜推广渠道防渗、管道输水、喷灌、微灌、沟畦灌等节水灌溉技术，提高农田灌溉保证率、排涝设计标准和灌溉水利用系数。大力推广生态排水沟建设，净化排水水质，降低农业面源污染。</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（四）整修田间道路</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方便生产、生活的原则，优化机耕路、生产路布局，合理确定路网密度，整修和新建机耕路、生产路，配套建设农机下田（地）坡道、桥涵等附属设施，提高农机作业便捷度。建成后田间道路能够全部直接通达，满足农机作业、农业物资运输等农业生产要求。</w:t>
      </w:r>
    </w:p>
    <w:p>
      <w:pPr>
        <w:snapToGrid w:val="0"/>
        <w:spacing w:line="360" w:lineRule="auto"/>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（五）完善农田防护与生态环境保持体系</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以生态脆弱农田保护为重点，加强农田防护与生态环境保持工程建设。根据防护需要，新建、修复农田防护林网，主要道路、沟、渠两侧适时、适地、选择合适的树种设置农田防护林带，提高农田林网建设水平。</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（六）推广应用先进农业科学技术</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围绕高产、优质、高效、安全、生态目标，大力引进和推广应用新品种、新技术，提高良种规模化种植水平；集成推广应用作物精确定量施肥技术、病虫害安全高效防控技术、高效农业规模化生产技术等先进适用技术。加快推进主要粮油作物、关键环节的生产机械化，加强农机与农艺结合，大力推广无人机等高性能植保机械，提高农业机械化水平。探索和推广土壤含水、肥力、有害物质自动监测，以及灌排设施自动监控等物联网技术，发展智慧农业。加强农民科技培训，引导和指导农民进行全过程规范化、标准化种植。</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（七）创新农业生产经营方式</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积极培育以农业龙头企业、农业技术服务中心、科技示范户、农民合作经济组织等为依托的多元化专业服务组织，提高农业生产性服务水平；因地制宜地大力推进土地流转经营、统一服务经营和农民合作经营等多种方式的农业适度规模经营，提高农业规模经营水平；围绕优质粮油生产和高效农业规模化的发展，完善农业产业发展链条，提升农业产业化经营水平。充分发挥南通市的区位优势，利用建成后的高标准农田，大力发展现代农业公园等休闲观光和体验农业，推动农业和农村一二三产融合发展。 </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br w:type="page"/>
      </w:r>
    </w:p>
    <w:p>
      <w:pPr>
        <w:ind w:firstLine="639" w:firstLineChars="213"/>
        <w:rPr>
          <w:rFonts w:ascii="仿宋" w:hAnsi="仿宋" w:eastAsia="仿宋" w:cs="仿宋"/>
          <w:sz w:val="30"/>
          <w:szCs w:val="30"/>
        </w:rPr>
      </w:pPr>
    </w:p>
    <w:p>
      <w:pPr>
        <w:pStyle w:val="2"/>
        <w:tabs>
          <w:tab w:val="center" w:pos="4213"/>
          <w:tab w:val="left" w:pos="6466"/>
        </w:tabs>
        <w:jc w:val="left"/>
        <w:rPr>
          <w:sz w:val="36"/>
          <w:szCs w:val="36"/>
        </w:rPr>
      </w:pPr>
      <w:r>
        <w:rPr>
          <w:rFonts w:hint="eastAsia"/>
          <w:sz w:val="36"/>
          <w:szCs w:val="36"/>
        </w:rPr>
        <w:tab/>
      </w:r>
      <w:bookmarkStart w:id="15" w:name="_Toc956"/>
      <w:r>
        <w:rPr>
          <w:rFonts w:hint="eastAsia"/>
          <w:sz w:val="36"/>
          <w:szCs w:val="36"/>
        </w:rPr>
        <w:t>第四章 区域分布</w:t>
      </w:r>
      <w:bookmarkEnd w:id="15"/>
      <w:r>
        <w:rPr>
          <w:rFonts w:hint="eastAsia"/>
          <w:sz w:val="36"/>
          <w:szCs w:val="36"/>
        </w:rPr>
        <w:tab/>
      </w:r>
    </w:p>
    <w:p>
      <w:pPr>
        <w:tabs>
          <w:tab w:val="center" w:pos="4156"/>
          <w:tab w:val="left" w:pos="5385"/>
        </w:tabs>
        <w:snapToGrid w:val="0"/>
        <w:spacing w:beforeLines="50" w:afterLines="50" w:line="360" w:lineRule="auto"/>
        <w:ind w:firstLine="640"/>
        <w:rPr>
          <w:rStyle w:val="42"/>
          <w:b w:val="0"/>
          <w:bCs w:val="0"/>
        </w:rPr>
      </w:pPr>
      <w:bookmarkStart w:id="16" w:name="_Toc21864"/>
      <w:r>
        <w:rPr>
          <w:rStyle w:val="42"/>
          <w:rFonts w:hint="eastAsia"/>
          <w:b w:val="0"/>
          <w:bCs w:val="0"/>
        </w:rPr>
        <w:t>一、分区建设重点</w:t>
      </w:r>
    </w:p>
    <w:bookmarkEnd w:id="16"/>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江苏省农业综合区划》，结合全市不同区域耕地特点和耕作习惯，将全市耕地划分为高沙土粮经复合区、沿江生态农业区和沿河高效粮油区等3个区域，因地制宜，采取针对性措施，确定不同区域高标准农田建设的重点内容，实行差别化管理。</w:t>
      </w:r>
    </w:p>
    <w:p>
      <w:pPr>
        <w:snapToGrid w:val="0"/>
        <w:spacing w:line="360" w:lineRule="auto"/>
        <w:ind w:firstLine="640" w:firstLineChars="200"/>
        <w:rPr>
          <w:rFonts w:ascii="楷体" w:hAnsi="楷体" w:eastAsia="楷体" w:cs="楷体"/>
          <w:bCs/>
          <w:sz w:val="32"/>
          <w:szCs w:val="32"/>
        </w:rPr>
      </w:pPr>
      <w:r>
        <w:rPr>
          <w:rFonts w:hint="eastAsia" w:ascii="楷体" w:hAnsi="楷体" w:eastAsia="楷体" w:cs="楷体"/>
          <w:bCs/>
          <w:sz w:val="32"/>
          <w:szCs w:val="32"/>
        </w:rPr>
        <w:t>（一）高沙土粮经复合区</w:t>
      </w:r>
    </w:p>
    <w:p>
      <w:pPr>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1.区域特征</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沙土区域是如皋市最大的农田区域。包括规划区域中的搬经、石庄、磨头、城北街道、江安、下原、白蒲、城南街道和九华的部分地区。本区属北亚热带季风气候区，四季气候分明，雨水充沛，日照较丰富，无霜期较长。本区水资源以降水和过境水为主，约80%的用水依靠通扬运河、如海运河、如泰运河等从长江自流引进河道。受潮汐和境内河网调蓄能力限制，长江水量虽然较大，但区内有效利用率较低。</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本区土壤多为灰潮土类型的高沙土，夹缠土较少，土质沙，保水、保肥性较差，养分含量较低，土体构造不良，板结较为严重，耕作层较浅，理化性状较差，易旱易涝，抗御自然灾害能力差。</w:t>
      </w:r>
    </w:p>
    <w:p>
      <w:pPr>
        <w:snapToGrid w:val="0"/>
        <w:spacing w:line="360" w:lineRule="auto"/>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2.建设重点</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（1）灌溉系统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灌排宜分开布置，规整格田，加强固定灌溉泵站建设与改造，固定灌溉泵站单站控制面积500亩以上。进行灌溉渠系优化调整，新建渠道全部采取衬砌，并逐步消灭未衬砌土渠，提高渠系水利用系数。在建设混凝土衬砌渠道灌溉的同时，大力推广应用地下暗管输水灌溉和喷滴灌等节水工程，提高输水效率，节约土地。</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（2）排水系统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对现有老旧排涝泵站进行更新改造，根据需要新建高标准排涝站，提高排涝能力。结合水环境治理，排涝泵站设置可根据内部水体换水需要，同时实施水系沟通与河道生态治理工程，整治沟河水系，连通排水河道，疏浚清淤，形成水网，使排水畅通以加强水体流动，改善水质。对现有排水系统进行改造及涵管改建，大力推进生态排水沟建设，提高排水工程配套率。</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（3）道路与林网</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机耕路主要干道硬质化。林网主要栽植大规格良种柳树、水（池）杉、枫杨、银杏、乌桕、枫香、樟树、女贞等。具体选择还要结合防护网和美丽乡村的需要，以及不同区域农民的喜好、习惯，将防护与美化和造景相结合。</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（4）土壤改良与培肥</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通过合理整地、秸秆还田、增施有机肥、扩种绿肥、水旱轮作等措施，积极做好水土保持、调整土壤沙粘比例、改善土壤质地，提高高沙土地区土壤有机质含量，增加土壤生物活动强度，提升耕地地力等级。</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（5）科技推广</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重点推广应用优质水稻、小麦和蔬菜等新品种及相应的优质、安全、生态栽培技术、现代信息技术、物联网技术等。</w:t>
      </w:r>
    </w:p>
    <w:p>
      <w:pPr>
        <w:snapToGrid w:val="0"/>
        <w:spacing w:line="360" w:lineRule="auto"/>
        <w:ind w:firstLine="640" w:firstLineChars="200"/>
        <w:rPr>
          <w:rFonts w:ascii="楷体" w:hAnsi="楷体" w:eastAsia="楷体" w:cs="楷体"/>
          <w:bCs/>
          <w:sz w:val="32"/>
          <w:szCs w:val="32"/>
        </w:rPr>
      </w:pPr>
      <w:r>
        <w:rPr>
          <w:rFonts w:hint="eastAsia" w:ascii="楷体" w:hAnsi="楷体" w:eastAsia="楷体" w:cs="楷体"/>
          <w:bCs/>
          <w:sz w:val="32"/>
          <w:szCs w:val="32"/>
        </w:rPr>
        <w:t>（二）沿江生态农业区</w:t>
      </w:r>
    </w:p>
    <w:p>
      <w:pPr>
        <w:snapToGrid w:val="0"/>
        <w:spacing w:line="360" w:lineRule="auto"/>
        <w:ind w:firstLine="643" w:firstLineChars="200"/>
        <w:rPr>
          <w:rFonts w:ascii="仿宋_GB2312" w:hAnsi="宋体" w:eastAsia="仿宋_GB2312"/>
          <w:b/>
          <w:bCs/>
          <w:sz w:val="32"/>
          <w:szCs w:val="32"/>
        </w:rPr>
      </w:pPr>
      <w:r>
        <w:rPr>
          <w:rFonts w:hint="eastAsia" w:ascii="仿宋_GB2312" w:hAnsi="宋体" w:eastAsia="仿宋_GB2312"/>
          <w:b/>
          <w:bCs/>
          <w:sz w:val="32"/>
          <w:szCs w:val="32"/>
        </w:rPr>
        <w:t>1.区域特征</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区主要位于宁通高速以南区域，主要包括长江镇和九华镇、石庄镇的部分区域。本规划中仅包括九华镇和石庄镇的部分区域。本区属北亚热带季风气候区，四季分明，雨水充沛，光照较足，无霜期长。本区地处长江下游，境内河网密布，水资源丰富。境内水网自上而下由一、二、三、四级河道与丰产沟构成，逐级派生，交织成网，引排调蓄能力较好。引入的长江水通境内河网输送至田间，保证农作物灌溉用水数量和质量。一般年份基本能达到旱能灌、涝能排。</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本区土壤大部分属长江冲积水稻土，土壤质地中壤，主要是淤泥土，少部分为盐潮土。</w:t>
      </w:r>
    </w:p>
    <w:p>
      <w:pPr>
        <w:snapToGrid w:val="0"/>
        <w:spacing w:line="360" w:lineRule="auto"/>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2.建设重点</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（1）灌溉系统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骨干工程灌排结合利用，田间工程灌排分开的模式，提高引江能力，加强灌溉泵站新建与改造，提高灌溉保证率。除设施农业外，固定泵站单站控制面积200亩以上。加强渠系配套建筑物建设，优化渠道设计，提高田间工程配套完善程度。大力推广低压管道、喷微灌等节水灌溉技术。</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（2）排涝系统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排水系统以自排为主，抽排为辅。即由田间排水沟进入小沟，再汇入中沟、大沟，通过通江口门排入长江，在低洼地区设立排涝站进行封闭提排。排水河道系统采用灌溉和排水相结合的模式，即灌溉时采用农渠向田间输水，而排水时农渠又作为排水沟使用，排水汇集到农渠后通过农渠末端涵洞汇入河道。大力推广生态排水沟建设。本区域一般不需要建设排涝泵站，但部分需要进行防洪闸站新建或改造，需要新建或改造排涝泵站的地区，排涝泵站选址结合农业联圩的调整，合理设置，每站控制排涝面积不小于</w:t>
      </w:r>
      <w:r>
        <w:rPr>
          <w:rFonts w:eastAsia="仿宋"/>
          <w:color w:val="000000"/>
          <w:sz w:val="32"/>
          <w:szCs w:val="32"/>
        </w:rPr>
        <w:t>1</w:t>
      </w:r>
      <w:r>
        <w:rPr>
          <w:rFonts w:hint="eastAsia" w:eastAsia="仿宋"/>
          <w:color w:val="000000"/>
          <w:sz w:val="32"/>
          <w:szCs w:val="32"/>
        </w:rPr>
        <w:t>500亩</w:t>
      </w:r>
      <w:r>
        <w:rPr>
          <w:rFonts w:eastAsia="仿宋"/>
          <w:color w:val="000000"/>
          <w:sz w:val="32"/>
          <w:szCs w:val="32"/>
        </w:rPr>
        <w:t>。</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（3）道路与林网</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机耕路主要干道硬质化。林网可选择女贞等常绿树种。具体选择要结合防护网和美丽乡村建设需要，以及农民种植习惯等方面因素综合考虑和选择。</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（4）土壤改良与培肥</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通过土地平整、拆除田间零星建筑形成规模连片农田，采取秸秆还田、增施有机肥、合理轮耕作等措施，解决水稻土有机质含量低、耕层浅、养分贫瘠等问题。</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（5）科技推广</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重点推广应用优质、高产稻麦和蔬菜新品种，高效安全生产技术、土壤改良技术、秸秆资源综合利用技术等。</w:t>
      </w:r>
    </w:p>
    <w:p>
      <w:pPr>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（三）沿河高产粮油区</w:t>
      </w:r>
    </w:p>
    <w:p>
      <w:pPr>
        <w:snapToGrid w:val="0"/>
        <w:spacing w:line="360" w:lineRule="auto"/>
        <w:ind w:firstLine="643" w:firstLineChars="200"/>
        <w:rPr>
          <w:rFonts w:ascii="仿宋_GB2312" w:hAnsi="宋体" w:eastAsia="仿宋_GB2312"/>
          <w:b/>
          <w:bCs/>
          <w:sz w:val="32"/>
          <w:szCs w:val="32"/>
        </w:rPr>
      </w:pPr>
      <w:r>
        <w:rPr>
          <w:rFonts w:hint="eastAsia" w:ascii="仿宋_GB2312" w:hAnsi="宋体" w:eastAsia="仿宋_GB2312"/>
          <w:b/>
          <w:bCs/>
          <w:sz w:val="32"/>
          <w:szCs w:val="32"/>
        </w:rPr>
        <w:t>1.区域特征</w:t>
      </w:r>
    </w:p>
    <w:p>
      <w:pPr>
        <w:snapToGrid w:val="0"/>
        <w:spacing w:line="360" w:lineRule="auto"/>
        <w:ind w:firstLine="640" w:firstLineChars="200"/>
        <w:rPr>
          <w:rFonts w:eastAsia="仿宋"/>
          <w:sz w:val="32"/>
          <w:szCs w:val="32"/>
        </w:rPr>
      </w:pPr>
      <w:r>
        <w:rPr>
          <w:rFonts w:hint="eastAsia" w:ascii="仿宋_GB2312" w:hAnsi="宋体" w:eastAsia="仿宋_GB2312"/>
          <w:sz w:val="32"/>
          <w:szCs w:val="32"/>
        </w:rPr>
        <w:t>本区位于如泰运河两侧，主要包括东陈、丁堰2镇。本区属亚热带湿润季风气候区，四季分明，气候温和，雨水充沛，气候条件较为优越。本次规划仅包括东城镇。本区属亚热带湿润季风气候区，四季分明，气候温和，雨水充沛，气候条件较为优越。本区土壤分为潮土、盐土、水稻土三大类。本区地处长江下游，如泰运河两侧，水资源丰富。灌溉水源为长江水，长江水通过遥望港河和如泰运河自流引入，通过区内的二、三、四级河道与丰产沟输送至田间。</w:t>
      </w:r>
    </w:p>
    <w:p>
      <w:pPr>
        <w:snapToGrid w:val="0"/>
        <w:spacing w:line="360" w:lineRule="auto"/>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2.建设重点</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（1）灌溉系统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疏浚沟渠，加强水源工程建设及灌溉泵站的新建与改造。推广灌水渠道混凝土衬砌防渗，积极拦蓄利用地表径流，增加可利用水资源，提高灌溉保证率。地表水固定泵站单站控制面积一般大于800亩。因地制宜推广管道输水、微喷灌等节水灌溉措施。</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（2）排水系统</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该地区除少部分低洼地区按排涝标准配置排涝泵站外，其余均为自流排水，一般不需要建设排涝泵站。对现有排水系统进行合理化改造及涵管改建，全面加强丰产沟建设整治，积极推广生态排水沟建设，打通农田排水“最后一公里”。</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（3）道路与林网</w:t>
      </w:r>
    </w:p>
    <w:p>
      <w:pPr>
        <w:snapToGrid w:val="0"/>
        <w:spacing w:line="36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该地区骨干河道如泰运河为灌排两用河道，土壤以砂壤土为主，易流失，机耕路主要干道硬质化。林网可选择杨树、刺槐、白榆、白蜡、柽柳、柳树、杂交柳、枫杨、泡桐、杜仲、香椿、紫穗槐等。具体选择要结合防护林网和美丽乡村建设需要，以及农民习惯、喜好综合考虑。</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（4）土壤改良与培肥</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采取秸秆还田、增施有机肥、种植绿肥、优化种植结构、合理轮作、测土配方施肥等途径，增加土壤有机质含量。</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（5）科技推广</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重点推广应用推广优质稻麦、油菜新品种及其高产、优质、高效栽培技术，现代信息技术、物联网技术，秸秆资源综合利用技术、农田节水培肥技术等。</w:t>
      </w:r>
    </w:p>
    <w:p>
      <w:pPr>
        <w:tabs>
          <w:tab w:val="center" w:pos="4156"/>
          <w:tab w:val="left" w:pos="5385"/>
        </w:tabs>
        <w:snapToGrid w:val="0"/>
        <w:spacing w:beforeLines="50" w:afterLines="50" w:line="360" w:lineRule="auto"/>
        <w:ind w:firstLine="640"/>
        <w:rPr>
          <w:rStyle w:val="42"/>
          <w:b w:val="0"/>
          <w:bCs w:val="0"/>
        </w:rPr>
      </w:pPr>
      <w:bookmarkStart w:id="17" w:name="_Toc7095"/>
      <w:r>
        <w:rPr>
          <w:rStyle w:val="42"/>
          <w:rFonts w:hint="eastAsia"/>
          <w:b w:val="0"/>
          <w:bCs w:val="0"/>
        </w:rPr>
        <w:t>二、任务安排</w:t>
      </w:r>
    </w:p>
    <w:bookmarkEnd w:id="17"/>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“十四五”期间全市高标准农田建设的任务安排坚持以农民自愿的原则，根据江苏省农业农村厅《关于做好“十四五”高标准农田建设规划编制工作的通知 》（苏农办建〔</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 xml:space="preserve">2 </w:t>
      </w:r>
      <w:r>
        <w:rPr>
          <w:rFonts w:hint="eastAsia" w:ascii="仿宋_GB2312" w:hAnsi="宋体" w:eastAsia="仿宋_GB2312"/>
          <w:sz w:val="32"/>
          <w:szCs w:val="32"/>
        </w:rPr>
        <w:t>号）要求，如皋市农业农村局组织各镇（街）填报建设需求表，并经过反复核实确定建设规模项目区域。同时要求所有申报建设任务的区域必须符合国土空间规划和其他控制性规划的要求，申报的区域不能与过去已经实施过项目并上图的区域相重叠。</w:t>
      </w:r>
    </w:p>
    <w:p>
      <w:pPr>
        <w:snapToGrid w:val="0"/>
        <w:spacing w:line="360" w:lineRule="auto"/>
        <w:ind w:firstLine="640" w:firstLineChars="200"/>
        <w:rPr>
          <w:rFonts w:ascii="仿宋_GB2312" w:hAnsi="宋体" w:eastAsia="仿宋_GB2312"/>
          <w:sz w:val="32"/>
          <w:szCs w:val="32"/>
        </w:rPr>
        <w:sectPr>
          <w:footerReference r:id="rId9" w:type="default"/>
          <w:pgSz w:w="11906" w:h="16838"/>
          <w:pgMar w:top="1440" w:right="1800" w:bottom="1440" w:left="1800" w:header="851" w:footer="992" w:gutter="0"/>
          <w:pgNumType w:start="1"/>
          <w:cols w:space="720" w:num="1"/>
          <w:docGrid w:type="lines" w:linePitch="312" w:charSpace="0"/>
        </w:sectPr>
      </w:pPr>
      <w:r>
        <w:rPr>
          <w:rFonts w:hint="eastAsia" w:ascii="仿宋_GB2312" w:hAnsi="宋体" w:eastAsia="仿宋_GB2312"/>
          <w:sz w:val="32"/>
          <w:szCs w:val="32"/>
        </w:rPr>
        <w:t>根据全市各镇申报、确认情况，结合如皋市耕地的总体状况和高标准农田建设情况，“十四五”期间高标准农田建设任务安排在下原镇等10个镇、街道，88个村（居），规划期共安排总面积为24.26万亩的高标准农田建设任务，其中2021年为7.1万亩，2022年为6.92万亩，2023年为4.32万亩,2024年2.4万亩，2025年3.52万亩。具体分年度、分镇（街）、村（居）任务安排见下表。</w:t>
      </w:r>
    </w:p>
    <w:p>
      <w:pPr>
        <w:snapToGrid w:val="0"/>
        <w:ind w:firstLine="600" w:firstLineChars="200"/>
        <w:jc w:val="center"/>
        <w:rPr>
          <w:rFonts w:ascii="楷体" w:hAnsi="楷体" w:eastAsia="楷体" w:cs="楷体"/>
          <w:sz w:val="30"/>
          <w:szCs w:val="30"/>
        </w:rPr>
      </w:pPr>
      <w:r>
        <w:rPr>
          <w:rFonts w:hint="eastAsia" w:ascii="楷体" w:hAnsi="楷体" w:eastAsia="楷体" w:cs="楷体"/>
          <w:sz w:val="30"/>
          <w:szCs w:val="30"/>
        </w:rPr>
        <w:t>表2 如皋市“十四五”高标准农田建设规划表</w:t>
      </w:r>
    </w:p>
    <w:p>
      <w:pPr>
        <w:snapToGrid w:val="0"/>
        <w:ind w:firstLine="420" w:firstLineChars="200"/>
        <w:jc w:val="right"/>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（单位：万亩）</w:t>
      </w:r>
    </w:p>
    <w:tbl>
      <w:tblPr>
        <w:tblStyle w:val="27"/>
        <w:tblW w:w="14145" w:type="dxa"/>
        <w:tblInd w:w="0" w:type="dxa"/>
        <w:tblLayout w:type="fixed"/>
        <w:tblCellMar>
          <w:top w:w="0" w:type="dxa"/>
          <w:left w:w="0" w:type="dxa"/>
          <w:bottom w:w="0" w:type="dxa"/>
          <w:right w:w="0" w:type="dxa"/>
        </w:tblCellMar>
      </w:tblPr>
      <w:tblGrid>
        <w:gridCol w:w="932"/>
        <w:gridCol w:w="894"/>
        <w:gridCol w:w="1723"/>
        <w:gridCol w:w="740"/>
        <w:gridCol w:w="1838"/>
        <w:gridCol w:w="624"/>
        <w:gridCol w:w="1762"/>
        <w:gridCol w:w="700"/>
        <w:gridCol w:w="1633"/>
        <w:gridCol w:w="830"/>
        <w:gridCol w:w="1707"/>
        <w:gridCol w:w="762"/>
      </w:tblGrid>
      <w:tr>
        <w:tblPrEx>
          <w:tblCellMar>
            <w:top w:w="0" w:type="dxa"/>
            <w:left w:w="0" w:type="dxa"/>
            <w:bottom w:w="0" w:type="dxa"/>
            <w:right w:w="0" w:type="dxa"/>
          </w:tblCellMar>
        </w:tblPrEx>
        <w:trPr>
          <w:trHeight w:val="467" w:hRule="atLeast"/>
        </w:trPr>
        <w:tc>
          <w:tcPr>
            <w:tcW w:w="9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镇别</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合计</w:t>
            </w:r>
          </w:p>
        </w:tc>
        <w:tc>
          <w:tcPr>
            <w:tcW w:w="2463"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2021年</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2022年</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2023年</w:t>
            </w:r>
          </w:p>
        </w:tc>
        <w:tc>
          <w:tcPr>
            <w:tcW w:w="246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2024年</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2025年</w:t>
            </w:r>
          </w:p>
        </w:tc>
      </w:tr>
      <w:tr>
        <w:tblPrEx>
          <w:tblCellMar>
            <w:top w:w="0" w:type="dxa"/>
            <w:left w:w="0" w:type="dxa"/>
            <w:bottom w:w="0" w:type="dxa"/>
            <w:right w:w="0" w:type="dxa"/>
          </w:tblCellMar>
        </w:tblPrEx>
        <w:trPr>
          <w:trHeight w:val="552" w:hRule="atLeast"/>
        </w:trPr>
        <w:tc>
          <w:tcPr>
            <w:tcW w:w="93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89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2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218" w:firstLineChars="104"/>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涉及村</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面积</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涉及村</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面积</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涉及村</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面积</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涉及村</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面积</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涉及村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面积</w:t>
            </w:r>
          </w:p>
        </w:tc>
      </w:tr>
      <w:tr>
        <w:tblPrEx>
          <w:tblCellMar>
            <w:top w:w="0" w:type="dxa"/>
            <w:left w:w="0" w:type="dxa"/>
            <w:bottom w:w="0" w:type="dxa"/>
            <w:right w:w="0" w:type="dxa"/>
          </w:tblCellMar>
        </w:tblPrEx>
        <w:trPr>
          <w:trHeight w:val="541" w:hRule="atLeast"/>
        </w:trPr>
        <w:tc>
          <w:tcPr>
            <w:tcW w:w="932"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下原镇</w:t>
            </w:r>
          </w:p>
        </w:tc>
        <w:tc>
          <w:tcPr>
            <w:tcW w:w="894"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0.88 </w:t>
            </w:r>
          </w:p>
        </w:tc>
        <w:tc>
          <w:tcPr>
            <w:tcW w:w="1723" w:type="dxa"/>
            <w:tcBorders>
              <w:top w:val="single" w:color="000000" w:sz="4" w:space="0"/>
              <w:left w:val="single" w:color="auto"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下原居、沈阳</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0.74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老坝</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0.14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527" w:hRule="atLeast"/>
        </w:trPr>
        <w:tc>
          <w:tcPr>
            <w:tcW w:w="932" w:type="dxa"/>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白蒲镇</w:t>
            </w:r>
          </w:p>
        </w:tc>
        <w:tc>
          <w:tcPr>
            <w:tcW w:w="894"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5.90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斜庄、新陆</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1.00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朱窑、蒲东</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0.80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朱家桥、松杨、林梓居</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1.30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黄行、前进、文著</w:t>
            </w: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1.10 </w:t>
            </w: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姚家园、蒋殿、桥口</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1.70 </w:t>
            </w:r>
          </w:p>
        </w:tc>
      </w:tr>
      <w:tr>
        <w:tblPrEx>
          <w:tblCellMar>
            <w:top w:w="0" w:type="dxa"/>
            <w:left w:w="0" w:type="dxa"/>
            <w:bottom w:w="0" w:type="dxa"/>
            <w:right w:w="0" w:type="dxa"/>
          </w:tblCellMar>
        </w:tblPrEx>
        <w:trPr>
          <w:trHeight w:val="664"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搬经镇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2.77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高明庄、刘庄、楼冯村、晓庄</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1.04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鲍庄、中心社区</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1.10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兴夏、朱夏社区</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0.63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446"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东陈镇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2.72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万富、刘杨、刘亮</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1.13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徐湾、尚书</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0.80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范桥、杭桥、山河</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0.79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870"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九华镇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2.29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龙舌、郑甸、小马桥、姜园、云屏</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1.17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二甲、如海、赵元、马桥、营防、营西、四圩</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1.12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542"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江安镇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0.95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黄建、徐柴、胜利</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0.64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佘圩、周群、郎庙</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0.31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rPr>
                <w:rFonts w:ascii="楷体_GB2312" w:hAnsi="楷体_GB2312" w:eastAsia="楷体_GB2312" w:cs="楷体_GB2312"/>
                <w:color w:val="000000"/>
                <w:szCs w:val="21"/>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409"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城南街道</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0.64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明池、育华</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0.64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801"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城北街道</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2.08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浦东</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0.40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顾巷、八角、天河桥、双龙</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0.86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十里墩、纪港、陆姚、何庄、野林</w:t>
            </w: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0.82 </w:t>
            </w: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r>
      <w:tr>
        <w:tblPrEx>
          <w:tblCellMar>
            <w:top w:w="0" w:type="dxa"/>
            <w:left w:w="0" w:type="dxa"/>
            <w:bottom w:w="0" w:type="dxa"/>
            <w:right w:w="0" w:type="dxa"/>
          </w:tblCellMar>
        </w:tblPrEx>
        <w:trPr>
          <w:trHeight w:val="843"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磨头镇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3.42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高李、高庄、顾沈（司马港南）、新徐</w:t>
            </w: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0.98 </w:t>
            </w: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严狄、星港、磨居、曹石</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0.69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rPr>
                <w:rFonts w:ascii="楷体_GB2312" w:hAnsi="楷体_GB2312" w:eastAsia="楷体_GB2312" w:cs="楷体_GB2312"/>
                <w:color w:val="000000"/>
                <w:szCs w:val="21"/>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新联、场东、十字桥（大寨河南）、董堡、老户</w:t>
            </w: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1.30 </w:t>
            </w: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场西、郎张、天阳</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0.45 </w:t>
            </w:r>
          </w:p>
        </w:tc>
      </w:tr>
      <w:tr>
        <w:tblPrEx>
          <w:tblCellMar>
            <w:top w:w="0" w:type="dxa"/>
            <w:left w:w="0" w:type="dxa"/>
            <w:bottom w:w="0" w:type="dxa"/>
            <w:right w:w="0" w:type="dxa"/>
          </w:tblCellMar>
        </w:tblPrEx>
        <w:trPr>
          <w:trHeight w:val="700" w:hRule="atLeast"/>
        </w:trPr>
        <w:tc>
          <w:tcPr>
            <w:tcW w:w="93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石庄镇</w:t>
            </w:r>
          </w:p>
        </w:tc>
        <w:tc>
          <w:tcPr>
            <w:tcW w:w="89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2.61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8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洪港、石庄、新生港、杨庄、石南、闸口、</w:t>
            </w:r>
          </w:p>
        </w:tc>
        <w:tc>
          <w:tcPr>
            <w:tcW w:w="62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1.24 </w:t>
            </w:r>
          </w:p>
        </w:tc>
        <w:tc>
          <w:tcPr>
            <w:tcW w:w="17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napToGrid w:val="0"/>
              <w:rPr>
                <w:rFonts w:ascii="楷体_GB2312" w:hAnsi="楷体_GB2312" w:eastAsia="楷体_GB2312" w:cs="楷体_GB2312"/>
                <w:color w:val="000000"/>
                <w:szCs w:val="21"/>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海圩、思江、杨园、唐埠</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1.37 </w:t>
            </w:r>
          </w:p>
        </w:tc>
      </w:tr>
      <w:tr>
        <w:tblPrEx>
          <w:tblCellMar>
            <w:top w:w="0" w:type="dxa"/>
            <w:left w:w="0" w:type="dxa"/>
            <w:bottom w:w="0" w:type="dxa"/>
            <w:right w:w="0" w:type="dxa"/>
          </w:tblCellMar>
        </w:tblPrEx>
        <w:trPr>
          <w:trHeight w:val="538"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合计</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24.26 </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7.10 </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6.92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4.32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楷体_GB2312" w:hAnsi="楷体_GB2312" w:eastAsia="楷体_GB2312" w:cs="楷体_GB2312"/>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2.40 </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218" w:firstLineChars="104"/>
              <w:rPr>
                <w:rFonts w:ascii="楷体_GB2312" w:hAnsi="楷体_GB2312" w:eastAsia="楷体_GB2312" w:cs="楷体_GB2312"/>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楷体_GB2312" w:hAnsi="楷体_GB2312" w:eastAsia="楷体_GB2312" w:cs="楷体_GB2312"/>
                <w:color w:val="000000"/>
                <w:szCs w:val="21"/>
              </w:rPr>
            </w:pPr>
            <w:r>
              <w:rPr>
                <w:rFonts w:hint="eastAsia" w:ascii="楷体_GB2312" w:hAnsi="楷体_GB2312" w:eastAsia="楷体_GB2312" w:cs="楷体_GB2312"/>
                <w:color w:val="000000"/>
                <w:kern w:val="0"/>
                <w:szCs w:val="21"/>
              </w:rPr>
              <w:t xml:space="preserve">3.52 </w:t>
            </w:r>
          </w:p>
        </w:tc>
      </w:tr>
    </w:tbl>
    <w:p>
      <w:pPr>
        <w:snapToGrid w:val="0"/>
        <w:spacing w:line="360" w:lineRule="auto"/>
        <w:ind w:firstLine="640" w:firstLineChars="200"/>
        <w:rPr>
          <w:rFonts w:ascii="仿宋_GB2312" w:hAnsi="宋体" w:eastAsia="仿宋_GB2312"/>
          <w:sz w:val="32"/>
          <w:szCs w:val="32"/>
        </w:rPr>
        <w:sectPr>
          <w:pgSz w:w="16838" w:h="11906" w:orient="landscape"/>
          <w:pgMar w:top="1380" w:right="1440" w:bottom="1066" w:left="1440" w:header="851" w:footer="992" w:gutter="0"/>
          <w:cols w:space="720" w:num="1"/>
          <w:docGrid w:type="lines" w:linePitch="312" w:charSpace="0"/>
        </w:sectPr>
      </w:pPr>
    </w:p>
    <w:p>
      <w:pPr>
        <w:rPr>
          <w:sz w:val="32"/>
          <w:szCs w:val="32"/>
        </w:rPr>
      </w:pPr>
    </w:p>
    <w:p>
      <w:pPr>
        <w:pStyle w:val="2"/>
        <w:jc w:val="center"/>
        <w:rPr>
          <w:sz w:val="36"/>
          <w:szCs w:val="36"/>
        </w:rPr>
      </w:pPr>
      <w:bookmarkStart w:id="18" w:name="_Toc1540"/>
      <w:r>
        <w:rPr>
          <w:rFonts w:hint="eastAsia"/>
          <w:sz w:val="36"/>
          <w:szCs w:val="36"/>
        </w:rPr>
        <w:t>第五章 投资估算</w:t>
      </w:r>
      <w:bookmarkEnd w:id="18"/>
    </w:p>
    <w:p>
      <w:pPr>
        <w:tabs>
          <w:tab w:val="center" w:pos="4156"/>
          <w:tab w:val="left" w:pos="5385"/>
        </w:tabs>
        <w:snapToGrid w:val="0"/>
        <w:spacing w:beforeLines="50" w:afterLines="50" w:line="360" w:lineRule="auto"/>
        <w:ind w:firstLine="640"/>
        <w:rPr>
          <w:rStyle w:val="42"/>
          <w:b w:val="0"/>
          <w:bCs w:val="0"/>
        </w:rPr>
      </w:pPr>
      <w:bookmarkStart w:id="19" w:name="_Toc479"/>
      <w:r>
        <w:rPr>
          <w:rStyle w:val="42"/>
          <w:rFonts w:hint="eastAsia"/>
          <w:b w:val="0"/>
          <w:bCs w:val="0"/>
        </w:rPr>
        <w:t>一、投资估算</w:t>
      </w:r>
    </w:p>
    <w:bookmarkEnd w:id="19"/>
    <w:p>
      <w:pPr>
        <w:widowControl/>
        <w:spacing w:line="48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根据上级相关要求，依据《关于印发江苏省农业综合开发项目工程概估算编制办法的通知》（苏农开规[2018]1号），参照《农田建设项目管理办法》（农业农村部令 2019年第4号），《农田建设补助资金管理办法》（财农〔2019〕46号），《江苏省农田建设项目管理实施办法》（苏农规〔2019〕10号）等文件精神，结合规划的高标准农田建设的主要内容，本次规划按3500元/亩投资标准估算。“十四五”期间全市高标准农田建设共需投资84910万元。分镇（街道）、分年度估算如下：</w:t>
      </w:r>
    </w:p>
    <w:p>
      <w:pPr>
        <w:spacing w:line="480" w:lineRule="auto"/>
        <w:jc w:val="center"/>
        <w:rPr>
          <w:rFonts w:ascii="楷体" w:hAnsi="楷体" w:eastAsia="楷体" w:cs="楷体"/>
          <w:sz w:val="30"/>
          <w:szCs w:val="30"/>
        </w:rPr>
      </w:pPr>
      <w:r>
        <w:rPr>
          <w:rFonts w:hint="eastAsia" w:ascii="楷体" w:hAnsi="楷体" w:eastAsia="楷体" w:cs="楷体"/>
          <w:sz w:val="30"/>
          <w:szCs w:val="30"/>
        </w:rPr>
        <w:t>表3 如皋市“十四五”高标准农田建设投资估算表</w:t>
      </w:r>
    </w:p>
    <w:p>
      <w:pPr>
        <w:snapToGrid w:val="0"/>
        <w:spacing w:line="360" w:lineRule="auto"/>
        <w:ind w:firstLine="600" w:firstLineChars="200"/>
        <w:jc w:val="right"/>
        <w:rPr>
          <w:rFonts w:ascii="仿宋_GB2312" w:hAnsi="宋体" w:eastAsia="仿宋_GB2312"/>
          <w:sz w:val="30"/>
          <w:szCs w:val="30"/>
        </w:rPr>
      </w:pPr>
      <w:r>
        <w:rPr>
          <w:rFonts w:hint="eastAsia" w:ascii="仿宋_GB2312" w:hAnsi="宋体" w:eastAsia="仿宋_GB2312"/>
          <w:sz w:val="30"/>
          <w:szCs w:val="30"/>
        </w:rPr>
        <w:t>单位：万元</w:t>
      </w:r>
    </w:p>
    <w:tbl>
      <w:tblPr>
        <w:tblStyle w:val="27"/>
        <w:tblW w:w="8278" w:type="dxa"/>
        <w:tblInd w:w="0" w:type="dxa"/>
        <w:tblLayout w:type="fixed"/>
        <w:tblCellMar>
          <w:top w:w="0" w:type="dxa"/>
          <w:left w:w="0" w:type="dxa"/>
          <w:bottom w:w="0" w:type="dxa"/>
          <w:right w:w="0" w:type="dxa"/>
        </w:tblCellMar>
      </w:tblPr>
      <w:tblGrid>
        <w:gridCol w:w="1326"/>
        <w:gridCol w:w="1158"/>
        <w:gridCol w:w="1158"/>
        <w:gridCol w:w="1158"/>
        <w:gridCol w:w="1158"/>
        <w:gridCol w:w="1158"/>
        <w:gridCol w:w="1162"/>
      </w:tblGrid>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镇别</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合计</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2021年</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2022年</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2023年</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2024年</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2025年</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下原镇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3080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2590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490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白蒲镇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20650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3500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2800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4550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3850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5950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搬经镇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9695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3640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3850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2205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东陈镇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9520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3955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2800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2765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九华镇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8015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4095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3920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江安镇</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3325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2240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1085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68"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城南街道</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2240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2240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75" w:hRule="atLeast"/>
        </w:trPr>
        <w:tc>
          <w:tcPr>
            <w:tcW w:w="13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城北街道</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7280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1400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3010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2870 </w:t>
            </w:r>
          </w:p>
        </w:tc>
        <w:tc>
          <w:tcPr>
            <w:tcW w:w="11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r>
      <w:tr>
        <w:tblPrEx>
          <w:tblCellMar>
            <w:top w:w="0" w:type="dxa"/>
            <w:left w:w="0" w:type="dxa"/>
            <w:bottom w:w="0" w:type="dxa"/>
            <w:right w:w="0" w:type="dxa"/>
          </w:tblCellMar>
        </w:tblPrEx>
        <w:trPr>
          <w:trHeight w:val="530" w:hRule="atLeast"/>
        </w:trPr>
        <w:tc>
          <w:tcPr>
            <w:tcW w:w="132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磨头镇</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11970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3430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2415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4550 </w:t>
            </w:r>
          </w:p>
        </w:tc>
        <w:tc>
          <w:tcPr>
            <w:tcW w:w="116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1575 </w:t>
            </w:r>
          </w:p>
        </w:tc>
      </w:tr>
      <w:tr>
        <w:tblPrEx>
          <w:tblCellMar>
            <w:top w:w="0" w:type="dxa"/>
            <w:left w:w="0" w:type="dxa"/>
            <w:bottom w:w="0" w:type="dxa"/>
            <w:right w:w="0" w:type="dxa"/>
          </w:tblCellMar>
        </w:tblPrEx>
        <w:trPr>
          <w:trHeight w:val="530" w:hRule="atLeast"/>
        </w:trPr>
        <w:tc>
          <w:tcPr>
            <w:tcW w:w="132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石庄镇</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9135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4340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58"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0 </w:t>
            </w:r>
          </w:p>
        </w:tc>
        <w:tc>
          <w:tcPr>
            <w:tcW w:w="116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4795 </w:t>
            </w:r>
          </w:p>
        </w:tc>
      </w:tr>
      <w:tr>
        <w:tblPrEx>
          <w:tblCellMar>
            <w:top w:w="0" w:type="dxa"/>
            <w:left w:w="0" w:type="dxa"/>
            <w:bottom w:w="0" w:type="dxa"/>
            <w:right w:w="0" w:type="dxa"/>
          </w:tblCellMar>
        </w:tblPrEx>
        <w:trPr>
          <w:trHeight w:val="530" w:hRule="atLeast"/>
        </w:trPr>
        <w:tc>
          <w:tcPr>
            <w:tcW w:w="132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合计</w:t>
            </w:r>
          </w:p>
        </w:tc>
        <w:tc>
          <w:tcPr>
            <w:tcW w:w="115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84910 </w:t>
            </w:r>
          </w:p>
        </w:tc>
        <w:tc>
          <w:tcPr>
            <w:tcW w:w="115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24850 </w:t>
            </w:r>
          </w:p>
        </w:tc>
        <w:tc>
          <w:tcPr>
            <w:tcW w:w="115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24220 </w:t>
            </w:r>
          </w:p>
        </w:tc>
        <w:tc>
          <w:tcPr>
            <w:tcW w:w="115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15120 </w:t>
            </w:r>
          </w:p>
        </w:tc>
        <w:tc>
          <w:tcPr>
            <w:tcW w:w="115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8400 </w:t>
            </w:r>
          </w:p>
        </w:tc>
        <w:tc>
          <w:tcPr>
            <w:tcW w:w="116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 xml:space="preserve">12320 </w:t>
            </w:r>
          </w:p>
        </w:tc>
      </w:tr>
    </w:tbl>
    <w:p>
      <w:pPr>
        <w:snapToGrid w:val="0"/>
        <w:spacing w:line="360" w:lineRule="auto"/>
        <w:ind w:firstLine="600" w:firstLineChars="200"/>
        <w:jc w:val="right"/>
        <w:rPr>
          <w:rFonts w:ascii="仿宋_GB2312" w:hAnsi="宋体" w:eastAsia="仿宋_GB2312"/>
          <w:sz w:val="30"/>
          <w:szCs w:val="30"/>
        </w:rPr>
      </w:pP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具体建设内容和投资估算额详细见下表：</w:t>
      </w:r>
    </w:p>
    <w:p>
      <w:pPr>
        <w:snapToGrid w:val="0"/>
        <w:spacing w:line="360" w:lineRule="auto"/>
        <w:jc w:val="center"/>
        <w:rPr>
          <w:rFonts w:ascii="楷体" w:hAnsi="楷体" w:eastAsia="楷体" w:cs="楷体"/>
          <w:sz w:val="30"/>
          <w:szCs w:val="30"/>
        </w:rPr>
      </w:pPr>
      <w:r>
        <w:rPr>
          <w:rFonts w:hint="eastAsia" w:ascii="楷体" w:hAnsi="楷体" w:eastAsia="楷体" w:cs="楷体"/>
          <w:sz w:val="30"/>
          <w:szCs w:val="30"/>
        </w:rPr>
        <w:t>表4  如皋市“十四五”高标准农田建设内容规划表</w:t>
      </w:r>
    </w:p>
    <w:p>
      <w:pPr>
        <w:snapToGrid w:val="0"/>
        <w:spacing w:line="360" w:lineRule="auto"/>
        <w:jc w:val="right"/>
        <w:rPr>
          <w:szCs w:val="21"/>
        </w:rPr>
      </w:pPr>
      <w:r>
        <w:rPr>
          <w:rFonts w:hint="eastAsia"/>
          <w:szCs w:val="21"/>
        </w:rPr>
        <w:t>单位：万元</w:t>
      </w:r>
    </w:p>
    <w:tbl>
      <w:tblPr>
        <w:tblStyle w:val="27"/>
        <w:tblW w:w="8839" w:type="dxa"/>
        <w:tblInd w:w="0" w:type="dxa"/>
        <w:tblLayout w:type="fixed"/>
        <w:tblCellMar>
          <w:top w:w="0" w:type="dxa"/>
          <w:left w:w="0" w:type="dxa"/>
          <w:bottom w:w="0" w:type="dxa"/>
          <w:right w:w="0" w:type="dxa"/>
        </w:tblCellMar>
      </w:tblPr>
      <w:tblGrid>
        <w:gridCol w:w="646"/>
        <w:gridCol w:w="2641"/>
        <w:gridCol w:w="1388"/>
        <w:gridCol w:w="1388"/>
        <w:gridCol w:w="1388"/>
        <w:gridCol w:w="1388"/>
      </w:tblGrid>
      <w:tr>
        <w:tblPrEx>
          <w:tblCellMar>
            <w:top w:w="0" w:type="dxa"/>
            <w:left w:w="0" w:type="dxa"/>
            <w:bottom w:w="0" w:type="dxa"/>
            <w:right w:w="0" w:type="dxa"/>
          </w:tblCellMar>
        </w:tblPrEx>
        <w:trPr>
          <w:trHeight w:val="550" w:hRule="atLeast"/>
        </w:trPr>
        <w:tc>
          <w:tcPr>
            <w:tcW w:w="646"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rPr>
              <w:t>序号</w:t>
            </w:r>
          </w:p>
        </w:tc>
        <w:tc>
          <w:tcPr>
            <w:tcW w:w="2641"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主要建设内容</w:t>
            </w:r>
          </w:p>
        </w:tc>
        <w:tc>
          <w:tcPr>
            <w:tcW w:w="138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38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138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w:t>
            </w:r>
          </w:p>
        </w:tc>
        <w:tc>
          <w:tcPr>
            <w:tcW w:w="1388"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投资</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水利工程</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47050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电灌站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座</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250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35</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8750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防渗渠</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千米</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15</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4500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地下暗渠</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千米</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500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35</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17500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高效节水灌溉</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50000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0.15</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7500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5</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涵</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座</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1600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1.5</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2400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6</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渠系建筑物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座</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4000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7</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生态排水沟</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千米</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6</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2400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二</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农业工程</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4060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土地平整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10000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0.1</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1000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废沟呆塘整治</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3000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土壤改良</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0.02</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田间污水生态净化工程</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座</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三</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道路工程</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27800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主干道路</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千米</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50</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15000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2</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田间支路</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千米</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320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40</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olor w:val="000000"/>
                <w:sz w:val="24"/>
              </w:rPr>
            </w:pPr>
            <w:r>
              <w:rPr>
                <w:rFonts w:hint="eastAsia" w:ascii="宋体" w:hAnsi="宋体"/>
                <w:color w:val="000000"/>
                <w:sz w:val="24"/>
              </w:rPr>
              <w:t>12800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四</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林业工程</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5000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0.4</w:t>
            </w: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2000</w:t>
            </w:r>
          </w:p>
        </w:tc>
      </w:tr>
      <w:tr>
        <w:tblPrEx>
          <w:tblCellMar>
            <w:top w:w="0" w:type="dxa"/>
            <w:left w:w="0" w:type="dxa"/>
            <w:bottom w:w="0" w:type="dxa"/>
            <w:right w:w="0" w:type="dxa"/>
          </w:tblCellMar>
        </w:tblPrEx>
        <w:trPr>
          <w:trHeight w:val="550" w:hRule="atLeast"/>
        </w:trPr>
        <w:tc>
          <w:tcPr>
            <w:tcW w:w="646"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五、</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管护费用</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4000</w:t>
            </w:r>
          </w:p>
        </w:tc>
      </w:tr>
      <w:tr>
        <w:tblPrEx>
          <w:tblCellMar>
            <w:top w:w="0" w:type="dxa"/>
            <w:left w:w="0" w:type="dxa"/>
            <w:bottom w:w="0" w:type="dxa"/>
            <w:right w:w="0" w:type="dxa"/>
          </w:tblCellMar>
        </w:tblPrEx>
        <w:trPr>
          <w:trHeight w:val="550" w:hRule="atLeast"/>
        </w:trPr>
        <w:tc>
          <w:tcPr>
            <w:tcW w:w="3287" w:type="dxa"/>
            <w:gridSpan w:val="2"/>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合计</w:t>
            </w:r>
          </w:p>
        </w:tc>
        <w:tc>
          <w:tcPr>
            <w:tcW w:w="13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宋体" w:hAnsi="宋体"/>
                <w:b/>
                <w:bCs/>
                <w:color w:val="000000"/>
                <w:sz w:val="24"/>
              </w:rPr>
            </w:pPr>
          </w:p>
        </w:tc>
        <w:tc>
          <w:tcPr>
            <w:tcW w:w="1388"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b/>
                <w:bCs/>
                <w:color w:val="000000"/>
                <w:sz w:val="24"/>
              </w:rPr>
            </w:pPr>
            <w:r>
              <w:rPr>
                <w:rFonts w:hint="eastAsia" w:ascii="宋体" w:hAnsi="宋体"/>
                <w:b/>
                <w:bCs/>
                <w:color w:val="000000"/>
                <w:sz w:val="24"/>
              </w:rPr>
              <w:t>84910</w:t>
            </w:r>
          </w:p>
        </w:tc>
      </w:tr>
    </w:tbl>
    <w:p>
      <w:pPr>
        <w:snapToGrid w:val="0"/>
        <w:spacing w:line="360" w:lineRule="auto"/>
        <w:ind w:firstLine="600" w:firstLineChars="200"/>
        <w:rPr>
          <w:rFonts w:ascii="仿宋_GB2312" w:hAnsi="宋体" w:eastAsia="仿宋_GB2312"/>
          <w:sz w:val="30"/>
          <w:szCs w:val="30"/>
        </w:rPr>
      </w:pPr>
    </w:p>
    <w:p>
      <w:pPr>
        <w:tabs>
          <w:tab w:val="center" w:pos="4156"/>
          <w:tab w:val="left" w:pos="5385"/>
        </w:tabs>
        <w:snapToGrid w:val="0"/>
        <w:spacing w:beforeLines="50" w:afterLines="50" w:line="360" w:lineRule="auto"/>
        <w:ind w:firstLine="640"/>
        <w:rPr>
          <w:rStyle w:val="42"/>
          <w:b w:val="0"/>
          <w:bCs w:val="0"/>
        </w:rPr>
      </w:pPr>
      <w:bookmarkStart w:id="20" w:name="_Toc18103"/>
      <w:r>
        <w:rPr>
          <w:rStyle w:val="42"/>
          <w:rFonts w:hint="eastAsia"/>
          <w:b w:val="0"/>
          <w:bCs w:val="0"/>
        </w:rPr>
        <w:t>二、资金筹措</w:t>
      </w:r>
    </w:p>
    <w:bookmarkEnd w:id="20"/>
    <w:p>
      <w:pPr>
        <w:ind w:firstLine="640" w:firstLineChars="200"/>
        <w:rPr>
          <w:rFonts w:ascii="仿宋_GB2312" w:eastAsia="仿宋_GB2312"/>
          <w:sz w:val="32"/>
          <w:szCs w:val="32"/>
        </w:rPr>
      </w:pPr>
      <w:r>
        <w:rPr>
          <w:rFonts w:hint="eastAsia" w:ascii="仿宋_GB2312" w:eastAsia="仿宋_GB2312"/>
          <w:sz w:val="32"/>
          <w:szCs w:val="32"/>
        </w:rPr>
        <w:t>根据估算，“十四五”期间全市高标准农田建设项目计划总投资84910万元，均为财政资金，拟通过积极申请上级财政投资，争取各级配套资金，确保资金落实到位。财政资金来源包括中央财政、省级财政和如皋市本级财政，以及南通市对上交占补平衡指标奖励的资金。其中国家、省和如皋市本级财政资金为每亩1750元，总计为42455万元。具体筹资比例根据相关文件精神确定。南通市对占补平衡指标上交奖励</w:t>
      </w:r>
      <w:r>
        <w:rPr>
          <w:rFonts w:hint="eastAsia" w:ascii="仿宋_GB2312" w:eastAsia="仿宋_GB2312"/>
          <w:sz w:val="32"/>
          <w:szCs w:val="32"/>
          <w:lang w:val="en-US" w:eastAsia="zh-CN"/>
        </w:rPr>
        <w:t>资金安排</w:t>
      </w:r>
      <w:r>
        <w:rPr>
          <w:rFonts w:hint="eastAsia" w:ascii="仿宋_GB2312" w:eastAsia="仿宋_GB2312"/>
          <w:sz w:val="32"/>
          <w:szCs w:val="32"/>
        </w:rPr>
        <w:t>每亩1750元，总计为42455万元，由如皋市财政</w:t>
      </w:r>
      <w:r>
        <w:rPr>
          <w:rFonts w:hint="eastAsia" w:ascii="仿宋_GB2312" w:eastAsia="仿宋_GB2312"/>
          <w:sz w:val="32"/>
          <w:szCs w:val="32"/>
          <w:lang w:val="en-US" w:eastAsia="zh-CN"/>
        </w:rPr>
        <w:t>统筹</w:t>
      </w:r>
      <w:r>
        <w:rPr>
          <w:rFonts w:hint="eastAsia" w:ascii="仿宋_GB2312" w:eastAsia="仿宋_GB2312"/>
          <w:sz w:val="32"/>
          <w:szCs w:val="32"/>
        </w:rPr>
        <w:t>安排。</w:t>
      </w:r>
    </w:p>
    <w:p>
      <w:pPr>
        <w:rPr>
          <w:rStyle w:val="42"/>
          <w:b w:val="0"/>
          <w:bCs w:val="0"/>
        </w:rPr>
      </w:pPr>
      <w:r>
        <w:rPr>
          <w:rStyle w:val="42"/>
          <w:rFonts w:hint="eastAsia"/>
          <w:b w:val="0"/>
          <w:bCs w:val="0"/>
        </w:rPr>
        <w:br w:type="page"/>
      </w:r>
    </w:p>
    <w:p>
      <w:pPr>
        <w:pStyle w:val="2"/>
        <w:jc w:val="center"/>
        <w:rPr>
          <w:sz w:val="36"/>
          <w:szCs w:val="36"/>
        </w:rPr>
      </w:pPr>
    </w:p>
    <w:p>
      <w:pPr>
        <w:pStyle w:val="2"/>
        <w:jc w:val="center"/>
        <w:rPr>
          <w:sz w:val="36"/>
          <w:szCs w:val="36"/>
        </w:rPr>
      </w:pPr>
      <w:bookmarkStart w:id="21" w:name="_Toc21735"/>
      <w:r>
        <w:rPr>
          <w:rFonts w:hint="eastAsia"/>
          <w:sz w:val="36"/>
          <w:szCs w:val="36"/>
        </w:rPr>
        <w:t>第六章 效益分析</w:t>
      </w:r>
      <w:bookmarkEnd w:id="21"/>
    </w:p>
    <w:p>
      <w:pPr>
        <w:tabs>
          <w:tab w:val="center" w:pos="4156"/>
          <w:tab w:val="left" w:pos="5385"/>
        </w:tabs>
        <w:snapToGrid w:val="0"/>
        <w:spacing w:beforeLines="50" w:afterLines="50" w:line="360" w:lineRule="auto"/>
        <w:ind w:firstLine="640"/>
        <w:rPr>
          <w:rStyle w:val="42"/>
          <w:b w:val="0"/>
          <w:bCs w:val="0"/>
        </w:rPr>
      </w:pPr>
      <w:bookmarkStart w:id="22" w:name="_Toc16997"/>
      <w:r>
        <w:rPr>
          <w:rStyle w:val="42"/>
          <w:rFonts w:hint="eastAsia"/>
          <w:b w:val="0"/>
          <w:bCs w:val="0"/>
        </w:rPr>
        <w:t>一、社会效益</w:t>
      </w:r>
    </w:p>
    <w:bookmarkEnd w:id="22"/>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（一）提高农业科技水平，推动传统农业改造升级</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高标准农田建设，为农业新技术、新品种、新模式、新装备示范推广创造有利条件，促进良种、良法、良田、良制的有效结合，提高规划区农业科技水平。通过加大科技投入，着力加强规划区农民培训，培养一批懂技术、善经营、会管理的新型农民；通过推广科技含量高、市场潜力大、经济效益好的优良品种和节水灌溉、测土配方施肥等先进适用技术，可以对市内其他地区起到良好的示范和带动作用，对推动全市传统农业改造和产业升级、促进现代农业高质量发展具有积极的意义。</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（二）壮大新型经营主体，加快现代农业发展步伐</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将为新型农业经营主体发展规模经营提供良好条件，发展种植大户、家庭农场、农民专业合作社等多种形式的适度规模经营，有利于推进农业集约化、专业化、组织化和社会化进程，加速培育特色产业，着力推动农业结构调整，优化产业布局，加快全市现代农业发展步伐。</w:t>
      </w:r>
    </w:p>
    <w:p>
      <w:pPr>
        <w:autoSpaceDE w:val="0"/>
        <w:autoSpaceDN w:val="0"/>
        <w:adjustRightInd w:val="0"/>
        <w:snapToGrid w:val="0"/>
        <w:spacing w:line="360" w:lineRule="auto"/>
        <w:ind w:firstLine="640" w:firstLineChars="200"/>
        <w:rPr>
          <w:rFonts w:ascii="楷体" w:hAnsi="楷体" w:eastAsia="楷体" w:cs="仿宋"/>
          <w:color w:val="000000"/>
          <w:kern w:val="0"/>
          <w:sz w:val="32"/>
          <w:szCs w:val="32"/>
        </w:rPr>
      </w:pPr>
      <w:r>
        <w:rPr>
          <w:rFonts w:hint="eastAsia" w:ascii="楷体" w:hAnsi="楷体" w:eastAsia="楷体" w:cs="仿宋"/>
          <w:color w:val="000000"/>
          <w:kern w:val="0"/>
          <w:sz w:val="32"/>
          <w:szCs w:val="32"/>
        </w:rPr>
        <w:t>（三）促进农民增收，推进乡村振兴战略实施</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将切实改善农业生产、农民生活条件，满足群众迫切需求，同时带动农民增收。规划目标思想和有望年增加农民收入3300万元。同时使农村管理更趋于科学、民主，农民的综合素质得到提高，有利于密切农村党群、干群关系，形成良好的民风，促进和谐农村、美丽乡村建设。</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（四）实现占补平衡，促进经济社会全面发展</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高标准农田建设规划目标实现后，将新增占补平衡建设用地指标2420亩，对促进经济社会全面协调发展将起到很大的促进作用。</w:t>
      </w:r>
    </w:p>
    <w:p>
      <w:pPr>
        <w:tabs>
          <w:tab w:val="center" w:pos="4156"/>
          <w:tab w:val="left" w:pos="5385"/>
        </w:tabs>
        <w:snapToGrid w:val="0"/>
        <w:spacing w:beforeLines="50" w:afterLines="50" w:line="360" w:lineRule="auto"/>
        <w:ind w:firstLine="640"/>
        <w:rPr>
          <w:rStyle w:val="42"/>
          <w:b w:val="0"/>
          <w:bCs w:val="0"/>
        </w:rPr>
      </w:pPr>
      <w:bookmarkStart w:id="23" w:name="_Toc26414"/>
      <w:r>
        <w:rPr>
          <w:rStyle w:val="42"/>
          <w:rFonts w:hint="eastAsia"/>
          <w:b w:val="0"/>
          <w:bCs w:val="0"/>
        </w:rPr>
        <w:t>二、经济效益</w:t>
      </w:r>
    </w:p>
    <w:bookmarkEnd w:id="23"/>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（一）提高生产效益，促进农民增收</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根据如皋市高标准农田建设实践，本规划目标实现后，规划区域农业生产效率和效益将明显提升，项目区每年可以增加粮食产能1200万千克，其中优质粮食产能750万千克左右，新增优质蔬菜产能800万千克，新增种植业产值1.20亿元左右，带动农民年增收3300万元左右。同时还可以节本增收，增加农民投工投劳机会，提高农民收入。</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（二）保障粮食安全，助推供给侧结构改革</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规划实施，全市高标准农田规模进一步扩大，占比显著提高，农业生产能力和效率和提升。根据以往高标准农田建设的经验，规划实施后项目区农田粮食亩单产将稳定在1000千克以上，对保障国家粮食安全具有积极意义。随着农田质量提高，配套设施改善，设施农业、休闲农业将更快、更好发展，农产品的花色品种增加，产品质量安全水平明显提高，对加快农业供给侧结构改革，促进农业的转型升级、高质量发展将发挥重要作用。</w:t>
      </w:r>
    </w:p>
    <w:p>
      <w:pPr>
        <w:snapToGrid w:val="0"/>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（三）改善生产条件，增强抵御自然灾害能力</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项目区将采取新建、改造电灌站，灌排水渠道、管网，推广节水灌溉技术等措施，改善灌溉面积10万亩，新增灌溉面积3万亩，新增高效节水灌溉面积近3万亩，除涝面积5万亩，新增农田林网面积3000亩，农田林网防护面积12万亩。农业生产条件将明显改善，抵御台风、干旱、暴雨等自然灾害的能力明显提高，为农业稳产高产创造良好的条件。高标准农田建设将有效解决规划区农田基础条件差、地力水平不高的问题，提高土、肥、水资源利用率。</w:t>
      </w:r>
    </w:p>
    <w:p>
      <w:pPr>
        <w:tabs>
          <w:tab w:val="center" w:pos="4156"/>
          <w:tab w:val="left" w:pos="5385"/>
        </w:tabs>
        <w:snapToGrid w:val="0"/>
        <w:spacing w:beforeLines="50" w:afterLines="50" w:line="360" w:lineRule="auto"/>
        <w:ind w:firstLine="640"/>
        <w:rPr>
          <w:rStyle w:val="42"/>
          <w:b w:val="0"/>
          <w:bCs w:val="0"/>
        </w:rPr>
      </w:pPr>
      <w:bookmarkStart w:id="24" w:name="_Toc20662"/>
      <w:r>
        <w:rPr>
          <w:rStyle w:val="42"/>
          <w:rFonts w:hint="eastAsia"/>
          <w:b w:val="0"/>
          <w:bCs w:val="0"/>
        </w:rPr>
        <w:t>三、生态效益</w:t>
      </w:r>
    </w:p>
    <w:bookmarkEnd w:id="24"/>
    <w:p>
      <w:pPr>
        <w:snapToGrid w:val="0"/>
        <w:spacing w:line="360" w:lineRule="auto"/>
        <w:ind w:firstLine="640" w:firstLineChars="200"/>
        <w:rPr>
          <w:rFonts w:ascii="楷体" w:hAnsi="楷体" w:eastAsia="楷体" w:cs="楷体"/>
          <w:sz w:val="32"/>
          <w:szCs w:val="32"/>
        </w:rPr>
      </w:pPr>
      <w:bookmarkStart w:id="25" w:name="_Toc261860989"/>
      <w:bookmarkStart w:id="26" w:name="_Toc261860652"/>
      <w:bookmarkStart w:id="27" w:name="_Toc266735559"/>
      <w:bookmarkStart w:id="28" w:name="_Toc420052274"/>
      <w:bookmarkStart w:id="29" w:name="_Toc424114055"/>
      <w:bookmarkStart w:id="30" w:name="_Toc424113980"/>
      <w:r>
        <w:rPr>
          <w:rFonts w:hint="eastAsia" w:ascii="楷体" w:hAnsi="楷体" w:eastAsia="楷体" w:cs="楷体"/>
          <w:sz w:val="32"/>
          <w:szCs w:val="32"/>
        </w:rPr>
        <w:t>（一）提高水资源利用效率</w:t>
      </w:r>
      <w:bookmarkEnd w:id="25"/>
      <w:bookmarkEnd w:id="26"/>
      <w:bookmarkEnd w:id="27"/>
      <w:bookmarkEnd w:id="28"/>
      <w:bookmarkEnd w:id="29"/>
      <w:bookmarkEnd w:id="30"/>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高标准农田建设中，通过衬砌渠道、配套田间水利工程、新建与改造机电排灌站、推广喷滴灌等措施，可加快灌溉水流速、减少渗漏、节约用水，提高水资源利用率和灌溉效率；通过营造农田防护林和水源涵养林，可涵养水分，减少蒸发蒸腾损耗；通过修建农田排水沟渠等措施，可控制过高地下水，改善区域内水资源供需平衡状况。</w:t>
      </w:r>
    </w:p>
    <w:p>
      <w:pPr>
        <w:snapToGrid w:val="0"/>
        <w:spacing w:line="360" w:lineRule="auto"/>
        <w:ind w:firstLine="640" w:firstLineChars="200"/>
        <w:rPr>
          <w:rFonts w:ascii="楷体" w:hAnsi="楷体" w:eastAsia="楷体" w:cs="楷体"/>
          <w:sz w:val="32"/>
          <w:szCs w:val="32"/>
        </w:rPr>
      </w:pPr>
      <w:bookmarkStart w:id="31" w:name="_Toc424114056"/>
      <w:bookmarkStart w:id="32" w:name="_Toc424113981"/>
      <w:bookmarkStart w:id="33" w:name="_Toc266735560"/>
      <w:bookmarkStart w:id="34" w:name="_Toc420052275"/>
      <w:bookmarkStart w:id="35" w:name="_Toc261860990"/>
      <w:bookmarkStart w:id="36" w:name="_Toc261860653"/>
      <w:r>
        <w:rPr>
          <w:rFonts w:hint="eastAsia" w:ascii="楷体" w:hAnsi="楷体" w:eastAsia="楷体" w:cs="楷体"/>
          <w:sz w:val="32"/>
          <w:szCs w:val="32"/>
        </w:rPr>
        <w:t>（二）</w:t>
      </w:r>
      <w:bookmarkEnd w:id="31"/>
      <w:bookmarkEnd w:id="32"/>
      <w:bookmarkEnd w:id="33"/>
      <w:bookmarkEnd w:id="34"/>
      <w:r>
        <w:rPr>
          <w:rFonts w:hint="eastAsia" w:ascii="楷体" w:hAnsi="楷体" w:eastAsia="楷体" w:cs="楷体"/>
          <w:sz w:val="32"/>
          <w:szCs w:val="32"/>
        </w:rPr>
        <w:t>有效防止水土流失现象</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小型泵站建设与维修、开挖沟渠、衬砌、整修农田道路和建设农田防护林网等措施，农田基础设施、防护林网等将得到完善，可有效拦截泥沙、保水保肥，减轻土壤侵蚀强度，对防治水土流失、改善生态环境将起到积极作用。</w:t>
      </w:r>
    </w:p>
    <w:bookmarkEnd w:id="35"/>
    <w:bookmarkEnd w:id="36"/>
    <w:p>
      <w:pPr>
        <w:snapToGrid w:val="0"/>
        <w:spacing w:line="360" w:lineRule="auto"/>
        <w:ind w:firstLine="640" w:firstLineChars="200"/>
        <w:rPr>
          <w:rFonts w:ascii="楷体" w:hAnsi="楷体" w:eastAsia="楷体" w:cs="楷体"/>
          <w:sz w:val="32"/>
          <w:szCs w:val="32"/>
        </w:rPr>
      </w:pPr>
      <w:bookmarkStart w:id="37" w:name="_Toc261860991"/>
      <w:bookmarkStart w:id="38" w:name="_Toc420052276"/>
      <w:bookmarkStart w:id="39" w:name="_Toc424114057"/>
      <w:bookmarkStart w:id="40" w:name="_Toc266735561"/>
      <w:bookmarkStart w:id="41" w:name="_Toc261860654"/>
      <w:bookmarkStart w:id="42" w:name="_Toc424113982"/>
      <w:r>
        <w:rPr>
          <w:rFonts w:hint="eastAsia" w:ascii="楷体" w:hAnsi="楷体" w:eastAsia="楷体" w:cs="楷体"/>
          <w:sz w:val="32"/>
          <w:szCs w:val="32"/>
        </w:rPr>
        <w:t>（三）</w:t>
      </w:r>
      <w:bookmarkEnd w:id="37"/>
      <w:bookmarkEnd w:id="38"/>
      <w:bookmarkEnd w:id="39"/>
      <w:bookmarkEnd w:id="40"/>
      <w:bookmarkEnd w:id="41"/>
      <w:bookmarkEnd w:id="42"/>
      <w:r>
        <w:rPr>
          <w:rFonts w:hint="eastAsia" w:ascii="楷体" w:hAnsi="楷体" w:eastAsia="楷体" w:cs="楷体"/>
          <w:sz w:val="32"/>
          <w:szCs w:val="32"/>
        </w:rPr>
        <w:t>助推美丽乡村建设</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项目的实施，在进行农业基础设施建设、提高农业综合生产能力的同时，结合乡村振兴、美丽乡村建设的实际需要，加强道路建设，改善农村环境，使规划区内的沟河能排、能灌，水质清澈，空气清新，交通更加便利，农村面貌和农民生活条件将会有明显改变。</w:t>
      </w:r>
    </w:p>
    <w:p>
      <w:pPr>
        <w:rPr>
          <w:rFonts w:ascii="仿宋" w:hAnsi="仿宋" w:eastAsia="仿宋" w:cs="仿宋"/>
          <w:sz w:val="32"/>
          <w:szCs w:val="32"/>
        </w:rPr>
      </w:pPr>
      <w:r>
        <w:rPr>
          <w:rFonts w:hint="eastAsia" w:ascii="仿宋" w:hAnsi="仿宋" w:eastAsia="仿宋" w:cs="仿宋"/>
          <w:sz w:val="32"/>
          <w:szCs w:val="32"/>
        </w:rPr>
        <w:br w:type="page"/>
      </w:r>
    </w:p>
    <w:p>
      <w:pPr>
        <w:pStyle w:val="2"/>
        <w:jc w:val="center"/>
        <w:rPr>
          <w:sz w:val="36"/>
          <w:szCs w:val="36"/>
        </w:rPr>
      </w:pPr>
    </w:p>
    <w:p>
      <w:pPr>
        <w:pStyle w:val="2"/>
        <w:jc w:val="center"/>
        <w:rPr>
          <w:sz w:val="36"/>
          <w:szCs w:val="36"/>
        </w:rPr>
      </w:pPr>
      <w:bookmarkStart w:id="43" w:name="_Toc28005"/>
      <w:r>
        <w:rPr>
          <w:rFonts w:hint="eastAsia"/>
          <w:sz w:val="36"/>
          <w:szCs w:val="36"/>
        </w:rPr>
        <w:t>第七章 环境影响分析</w:t>
      </w:r>
      <w:bookmarkEnd w:id="43"/>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高标准农田建设除了对提高农田质量，促进农业丰产丰收有积极意义外，对保护和改善项目区环境，推动美丽乡村建设也有十分重要的意义。</w:t>
      </w:r>
    </w:p>
    <w:p>
      <w:pPr>
        <w:tabs>
          <w:tab w:val="center" w:pos="4156"/>
          <w:tab w:val="left" w:pos="5385"/>
        </w:tabs>
        <w:snapToGrid w:val="0"/>
        <w:spacing w:beforeLines="50" w:afterLines="50" w:line="360" w:lineRule="auto"/>
        <w:ind w:firstLine="640"/>
        <w:rPr>
          <w:rStyle w:val="42"/>
          <w:b w:val="0"/>
          <w:bCs w:val="0"/>
        </w:rPr>
      </w:pPr>
      <w:bookmarkStart w:id="44" w:name="_Toc10424"/>
      <w:r>
        <w:rPr>
          <w:rStyle w:val="42"/>
          <w:rFonts w:hint="eastAsia"/>
          <w:b w:val="0"/>
          <w:bCs w:val="0"/>
        </w:rPr>
        <w:t>一、对区域水资源平衡的影响分析</w:t>
      </w:r>
    </w:p>
    <w:bookmarkEnd w:id="44"/>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如皋市濒临长江，陆域内河道纵横，水资源丰富。但是由于城乡生产生活、农业面源污染，以及长江径流带来的污染源影响，加上部分河道没有及时清淤疏通，全市又是一个水质性缺水地区。通过高标准农田建设，特别是灌溉泵站、输水管道或衬砌渠道建设，可有效改善灌溉条件，提高农田排灌能力，改善灌溉水质，节约水资源，更好地实现区域水资源平衡。据初步测算，项目全部实施完成后，全市将新增灌溉面积3万亩，改善灌溉面积10万亩，新增节水灌溉面积3万亩，年节约农业用水量1000万立方米。</w:t>
      </w:r>
    </w:p>
    <w:p>
      <w:pPr>
        <w:tabs>
          <w:tab w:val="center" w:pos="4156"/>
          <w:tab w:val="left" w:pos="5385"/>
        </w:tabs>
        <w:snapToGrid w:val="0"/>
        <w:spacing w:beforeLines="50" w:afterLines="50" w:line="360" w:lineRule="auto"/>
        <w:ind w:firstLine="640"/>
        <w:rPr>
          <w:rStyle w:val="42"/>
          <w:b w:val="0"/>
          <w:bCs w:val="0"/>
        </w:rPr>
      </w:pPr>
      <w:bookmarkStart w:id="45" w:name="_Toc11024"/>
      <w:r>
        <w:rPr>
          <w:rStyle w:val="42"/>
          <w:rFonts w:hint="eastAsia"/>
          <w:b w:val="0"/>
          <w:bCs w:val="0"/>
        </w:rPr>
        <w:t>二、对防治水土流失的影响分析</w:t>
      </w:r>
    </w:p>
    <w:bookmarkEnd w:id="45"/>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实施高标准农田建设项目，农田得到有效整治，田间道路建设在方便农业机械和农民下田工作的同时，还可以有效地防止了水土流失。农田防护林体系建设对减轻台风、暴雨等气象灾害对农田和农业的伤害，防止水土流失将起到积极作用。据初步估计，全市高标准农田建设目标和任务全部完成后，全市将新增控制水土流失面积25平方千米。</w:t>
      </w:r>
    </w:p>
    <w:p>
      <w:pPr>
        <w:tabs>
          <w:tab w:val="center" w:pos="4156"/>
          <w:tab w:val="left" w:pos="5385"/>
        </w:tabs>
        <w:snapToGrid w:val="0"/>
        <w:spacing w:beforeLines="50" w:afterLines="50" w:line="360" w:lineRule="auto"/>
        <w:ind w:firstLine="640" w:firstLineChars="200"/>
        <w:rPr>
          <w:rStyle w:val="42"/>
          <w:b w:val="0"/>
          <w:bCs w:val="0"/>
        </w:rPr>
      </w:pPr>
      <w:bookmarkStart w:id="46" w:name="_Toc3521"/>
      <w:r>
        <w:rPr>
          <w:rStyle w:val="42"/>
          <w:rFonts w:hint="eastAsia"/>
          <w:b w:val="0"/>
          <w:bCs w:val="0"/>
        </w:rPr>
        <w:t>三、农业投入品对环境的影响分析</w:t>
      </w:r>
    </w:p>
    <w:bookmarkEnd w:id="46"/>
    <w:p>
      <w:pPr>
        <w:pStyle w:val="25"/>
        <w:snapToGrid w:val="0"/>
        <w:spacing w:line="360" w:lineRule="auto"/>
        <w:ind w:firstLine="681" w:firstLineChars="213"/>
        <w:jc w:val="both"/>
        <w:rPr>
          <w:rFonts w:ascii="仿宋_GB2312" w:eastAsia="仿宋_GB2312" w:cs="Times New Roman"/>
          <w:kern w:val="2"/>
          <w:sz w:val="32"/>
          <w:szCs w:val="32"/>
        </w:rPr>
      </w:pPr>
      <w:r>
        <w:rPr>
          <w:rFonts w:hint="eastAsia" w:ascii="仿宋_GB2312" w:eastAsia="仿宋_GB2312" w:cs="Times New Roman"/>
          <w:kern w:val="2"/>
          <w:sz w:val="32"/>
          <w:szCs w:val="32"/>
        </w:rPr>
        <w:t>通过高标准农田建设，提高土壤肥力，改善农田小气候，可减轻对化肥和农药的依赖。通过推广应用科学施肥、秸秆还田、病虫害综合防治等技术，使用高效、低毒、低残留农药和生物农药，提高化肥和农药的使用效率，可降低化肥和农药的使用量，减少农业面源污染。通过建立健全农业面源污染监测预警体系，强化监测手段，加快实施化肥农药减施替代工程，推广精准化施肥、施药等环境友好型农业生产技术，既可以保护生态环境，又能提高农产品质量与安全保障水平。</w:t>
      </w:r>
    </w:p>
    <w:p>
      <w:pPr>
        <w:rPr>
          <w:rStyle w:val="42"/>
          <w:b w:val="0"/>
          <w:bCs w:val="0"/>
        </w:rPr>
      </w:pPr>
      <w:r>
        <w:rPr>
          <w:rStyle w:val="42"/>
          <w:rFonts w:hint="eastAsia"/>
          <w:b w:val="0"/>
          <w:bCs w:val="0"/>
        </w:rPr>
        <w:br w:type="page"/>
      </w:r>
    </w:p>
    <w:p>
      <w:pPr>
        <w:rPr>
          <w:rStyle w:val="42"/>
          <w:b w:val="0"/>
          <w:bCs w:val="0"/>
        </w:rPr>
      </w:pPr>
    </w:p>
    <w:p>
      <w:pPr>
        <w:pStyle w:val="2"/>
        <w:jc w:val="center"/>
        <w:rPr>
          <w:sz w:val="36"/>
          <w:szCs w:val="36"/>
        </w:rPr>
      </w:pPr>
      <w:bookmarkStart w:id="47" w:name="_Toc21615"/>
      <w:r>
        <w:rPr>
          <w:rFonts w:hint="eastAsia"/>
          <w:sz w:val="36"/>
          <w:szCs w:val="36"/>
        </w:rPr>
        <w:t>第八章 保障措施</w:t>
      </w:r>
      <w:bookmarkEnd w:id="47"/>
    </w:p>
    <w:p>
      <w:pPr>
        <w:pStyle w:val="3"/>
        <w:snapToGrid w:val="0"/>
        <w:spacing w:line="360" w:lineRule="auto"/>
        <w:ind w:firstLine="640" w:firstLineChars="200"/>
        <w:rPr>
          <w:b w:val="0"/>
        </w:rPr>
      </w:pPr>
      <w:bookmarkStart w:id="48" w:name="_Toc13151"/>
      <w:bookmarkStart w:id="49" w:name="_Toc28755"/>
      <w:r>
        <w:rPr>
          <w:rFonts w:hint="eastAsia"/>
          <w:b w:val="0"/>
        </w:rPr>
        <w:t>一、组织保障</w:t>
      </w:r>
      <w:bookmarkEnd w:id="48"/>
      <w:bookmarkEnd w:id="49"/>
    </w:p>
    <w:p>
      <w:pPr>
        <w:pStyle w:val="25"/>
        <w:snapToGrid w:val="0"/>
        <w:spacing w:line="360" w:lineRule="auto"/>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高标准农田建设是一项复杂的系统工程，涉及到方方面面。为扎实推进高标准农田建设，必须继续加强组织领导，建立和完善推进高标准农田建设的领导和组织协调机制，完善市委、市政府领导牵头，发改委、财政局、自然资源和规划局、水务局、供电局、农业农村局等相关部门参加的高标准农田建设领导小组，及时分析研究上级相关政策，解决高标准农田建设推进中遇到的问题，形成合力，协同推进。镇（区、街）也要不断完善高标准农田项目建设的领导和工作机制，具体承担相关项目管理和实施责任。通过加强领导，精心组织，把高标准农田建设的各项目标和措施落到实处，为规划目标实现提供组织保障，更好地发挥高标准农田建设在促进农业增效、农村发展和农民增收中的作用。</w:t>
      </w:r>
    </w:p>
    <w:p>
      <w:pPr>
        <w:pStyle w:val="3"/>
        <w:snapToGrid w:val="0"/>
        <w:spacing w:line="360" w:lineRule="auto"/>
        <w:ind w:firstLine="640" w:firstLineChars="200"/>
        <w:rPr>
          <w:b w:val="0"/>
        </w:rPr>
      </w:pPr>
      <w:bookmarkStart w:id="50" w:name="_Toc22611"/>
      <w:bookmarkStart w:id="51" w:name="_Toc9278"/>
      <w:r>
        <w:rPr>
          <w:rFonts w:hint="eastAsia"/>
          <w:b w:val="0"/>
        </w:rPr>
        <w:t>二、资金保障</w:t>
      </w:r>
      <w:bookmarkEnd w:id="50"/>
      <w:bookmarkEnd w:id="51"/>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规划布局和部署，在安排有关高标准农田建设相关资金时，要进一步突出重点，优化结构，稳定规模，保证建设需求。如皋市本级财政将调整支出结构，根据上级相关要求，把需本级安排的高标准农田建设配套资金纳入年度预算，优先安排，足额到位。继续按照“规划标准统一、资金渠道不变、相互协调配合、信息互通共享、积极推进整合、共同完成目标”的原则，加强不同渠道资金的有机整合，连片治理，整体推进，提高资金使用效率。建立多元化筹资机制，不断拓宽高标准农田建设资金投入渠道，形成建设合力。充分发挥财政资金的引导作用，制定优惠政策，积极吸引社会资本和农民投入到高标准农田建设完成后的产业化和规模化开发、社会化服务体系建设和科技推广等领域，提升高标准农田建设项目的效益。</w:t>
      </w:r>
    </w:p>
    <w:p>
      <w:pPr>
        <w:pStyle w:val="3"/>
        <w:snapToGrid w:val="0"/>
        <w:spacing w:line="360" w:lineRule="auto"/>
        <w:ind w:firstLine="640" w:firstLineChars="200"/>
        <w:rPr>
          <w:b w:val="0"/>
        </w:rPr>
      </w:pPr>
      <w:bookmarkStart w:id="52" w:name="_Toc2815"/>
      <w:bookmarkStart w:id="53" w:name="_Toc894"/>
      <w:r>
        <w:rPr>
          <w:rFonts w:hint="eastAsia"/>
          <w:b w:val="0"/>
        </w:rPr>
        <w:t>三、制度保障</w:t>
      </w:r>
      <w:bookmarkEnd w:id="52"/>
      <w:bookmarkEnd w:id="53"/>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不断完善、贯彻落实高标准农田建设的管理制度体系。一是继续坚持和完善有关高标准农田建设的会商、会办机制，推行行之有效的周例会、周报表、月点评、季现场、年（半年）总结的推进机制。二是继续大力执行公开竞争立项制、项目公示制、项目资金国库集中支付制、土建工程和物资招投标采购制、工程建设监理制和项目竣工验收制等行之有效的高标准农田建设管理制度，提高项目实施质量。三是继续推进高标准农田建设的制度创新，包含相关管理制度和项目实施管理、运行机制等，不断提高项目实施水平。</w:t>
      </w:r>
    </w:p>
    <w:p>
      <w:pPr>
        <w:pStyle w:val="3"/>
        <w:snapToGrid w:val="0"/>
        <w:spacing w:line="360" w:lineRule="auto"/>
        <w:ind w:firstLine="640" w:firstLineChars="200"/>
        <w:rPr>
          <w:b w:val="0"/>
        </w:rPr>
      </w:pPr>
      <w:bookmarkStart w:id="54" w:name="_Toc6629"/>
      <w:bookmarkStart w:id="55" w:name="_Toc2392"/>
      <w:r>
        <w:rPr>
          <w:rFonts w:hint="eastAsia"/>
          <w:b w:val="0"/>
        </w:rPr>
        <w:t>四、管理保障</w:t>
      </w:r>
      <w:bookmarkEnd w:id="54"/>
      <w:bookmarkEnd w:id="55"/>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切实加强，不断提升高标准农田建设的管理水平。一是加强立项管理。按照相关制度和规定，选好、选准项目。本着农民自愿的基本原则，对项目进行认真评估、筛选、论证，综合考虑资源条件、生产基础、市场环境及资金、技术和镇（区、街）政府积极性、组织实施项目的综合能力等方面因素，实现优中选优。二是加强规划管理，根据项目区的实际，对照高标准农田建设标准，做到缺什么、补什么、建什么，确保规划设计科学、合理，充分发挥项目资金的作用。三是严格资金管理。严格执行项目投资计划，项目资金专账核算、专款专用。实行国库集中支付制，严禁截留、挪用、套取项目建设资金行为。加强资金使用的监督检查，开展资金审计和绩效评估工作，确保各类项目资金真正用到高标准农田建设上。四是加大考核力度。将高标准农田建设作为全市农业农村工作和对镇（街、区）的重要考核内容，加大工作推进力度，建立必要的绩效考评和激励机制。</w:t>
      </w:r>
    </w:p>
    <w:p>
      <w:pPr>
        <w:pStyle w:val="3"/>
        <w:snapToGrid w:val="0"/>
        <w:spacing w:line="360" w:lineRule="auto"/>
        <w:ind w:firstLine="640" w:firstLineChars="200"/>
        <w:rPr>
          <w:b w:val="0"/>
        </w:rPr>
      </w:pPr>
      <w:bookmarkStart w:id="56" w:name="_Toc936"/>
      <w:r>
        <w:rPr>
          <w:rFonts w:hint="eastAsia"/>
          <w:b w:val="0"/>
        </w:rPr>
        <w:t>五、建后管护</w:t>
      </w:r>
      <w:bookmarkEnd w:id="56"/>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继续完善项目建后管护机制，按照“建管结合、建管并重”的要求，落实高标准农田管护主体、管护责任和管护资金，健全和完善管护制度。引导和鼓励专业大户、家庭农场、农民合作社、涉农企业等参与高标准农田设施的日常管护。采取切实有效措施落实维修养护经费，建立长效管护机制，探索长效管护模式，将高标准农田相关设施的日常管理与农村环境“七位一体”长效管理机制等有机结合起来，建立相关考评机制。将高标准农田建设情况纳入相关信息管理系统，实施信息化管理，提高管理水平。加强对项目工程管护工作的督查、指导和监测评价，确保工程长久发挥作用和效益。</w:t>
      </w:r>
    </w:p>
    <w:p>
      <w:pPr>
        <w:snapToGrid w:val="0"/>
        <w:spacing w:line="360" w:lineRule="auto"/>
        <w:ind w:firstLine="640" w:firstLineChars="200"/>
        <w:rPr>
          <w:rFonts w:ascii="仿宋_GB2312" w:hAnsi="宋体" w:eastAsia="仿宋_GB2312"/>
          <w:sz w:val="32"/>
          <w:szCs w:val="32"/>
        </w:rPr>
        <w:sectPr>
          <w:footerReference r:id="rId10" w:type="default"/>
          <w:pgSz w:w="11906" w:h="16838"/>
          <w:pgMar w:top="1440" w:right="1800" w:bottom="1440" w:left="1800" w:header="851" w:footer="992" w:gutter="0"/>
          <w:cols w:space="720" w:num="1"/>
          <w:docGrid w:type="lines" w:linePitch="312" w:charSpace="0"/>
        </w:sectPr>
      </w:pPr>
    </w:p>
    <w:p>
      <w:pPr>
        <w:pStyle w:val="2"/>
        <w:jc w:val="center"/>
        <w:rPr>
          <w:sz w:val="36"/>
          <w:szCs w:val="36"/>
        </w:rPr>
      </w:pPr>
      <w:bookmarkStart w:id="57" w:name="_Toc8560"/>
      <w:r>
        <w:rPr>
          <w:rFonts w:hint="eastAsia"/>
          <w:sz w:val="36"/>
          <w:szCs w:val="36"/>
        </w:rPr>
        <w:t>附表1 如皋市“十四五”高标准农田建设规划现状基本情况表</w:t>
      </w:r>
      <w:bookmarkEnd w:id="57"/>
    </w:p>
    <w:p>
      <w:pPr>
        <w:pStyle w:val="15"/>
        <w:rPr>
          <w:sz w:val="30"/>
          <w:szCs w:val="30"/>
        </w:rPr>
      </w:pPr>
    </w:p>
    <w:tbl>
      <w:tblPr>
        <w:tblStyle w:val="27"/>
        <w:tblW w:w="14460" w:type="dxa"/>
        <w:tblInd w:w="0" w:type="dxa"/>
        <w:tblLayout w:type="fixed"/>
        <w:tblCellMar>
          <w:top w:w="0" w:type="dxa"/>
          <w:left w:w="0" w:type="dxa"/>
          <w:bottom w:w="0" w:type="dxa"/>
          <w:right w:w="0" w:type="dxa"/>
        </w:tblCellMar>
      </w:tblPr>
      <w:tblGrid>
        <w:gridCol w:w="1845"/>
        <w:gridCol w:w="1320"/>
        <w:gridCol w:w="1320"/>
        <w:gridCol w:w="1320"/>
        <w:gridCol w:w="1320"/>
        <w:gridCol w:w="1200"/>
        <w:gridCol w:w="1320"/>
        <w:gridCol w:w="1320"/>
        <w:gridCol w:w="1230"/>
        <w:gridCol w:w="1185"/>
        <w:gridCol w:w="1080"/>
      </w:tblGrid>
      <w:tr>
        <w:tblPrEx>
          <w:tblCellMar>
            <w:top w:w="0" w:type="dxa"/>
            <w:left w:w="0" w:type="dxa"/>
            <w:bottom w:w="0" w:type="dxa"/>
            <w:right w:w="0" w:type="dxa"/>
          </w:tblCellMar>
        </w:tblPrEx>
        <w:trPr>
          <w:trHeight w:val="66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市、县（市、区）</w:t>
            </w:r>
          </w:p>
        </w:tc>
        <w:tc>
          <w:tcPr>
            <w:tcW w:w="52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耕地资源</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粮食产量</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棉花产量</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油料产量</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总人口</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农业人口</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农民人均收入</w:t>
            </w:r>
          </w:p>
        </w:tc>
      </w:tr>
      <w:tr>
        <w:tblPrEx>
          <w:tblCellMar>
            <w:top w:w="0" w:type="dxa"/>
            <w:left w:w="0" w:type="dxa"/>
            <w:bottom w:w="0" w:type="dxa"/>
            <w:right w:w="0" w:type="dxa"/>
          </w:tblCellMar>
        </w:tblPrEx>
        <w:trPr>
          <w:trHeight w:val="66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耕地面积</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耕地坡度</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r>
      <w:tr>
        <w:tblPrEx>
          <w:tblCellMar>
            <w:top w:w="0" w:type="dxa"/>
            <w:left w:w="0" w:type="dxa"/>
            <w:bottom w:w="0" w:type="dxa"/>
            <w:right w:w="0" w:type="dxa"/>
          </w:tblCellMar>
        </w:tblPrEx>
        <w:trPr>
          <w:trHeight w:val="84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耕地坡度小于等于2度面积</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耕地坡度在2度至25度之间面积</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耕地坡度等于大于25度面积</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r>
      <w:tr>
        <w:tblPrEx>
          <w:tblCellMar>
            <w:top w:w="0" w:type="dxa"/>
            <w:left w:w="0" w:type="dxa"/>
            <w:bottom w:w="0" w:type="dxa"/>
            <w:right w:w="0" w:type="dxa"/>
          </w:tblCellMar>
        </w:tblPrEx>
        <w:trPr>
          <w:trHeight w:val="66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万亩</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万公斤</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万公斤</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万公斤</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万元</w:t>
            </w:r>
          </w:p>
        </w:tc>
      </w:tr>
      <w:tr>
        <w:tblPrEx>
          <w:tblCellMar>
            <w:top w:w="0" w:type="dxa"/>
            <w:left w:w="0" w:type="dxa"/>
            <w:bottom w:w="0" w:type="dxa"/>
            <w:right w:w="0" w:type="dxa"/>
          </w:tblCellMar>
        </w:tblPrEx>
        <w:trPr>
          <w:trHeight w:val="66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sz w:val="28"/>
                <w:szCs w:val="28"/>
              </w:rPr>
              <w:t>如皋市</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bCs/>
                <w:color w:val="000000"/>
                <w:kern w:val="0"/>
                <w:sz w:val="28"/>
                <w:szCs w:val="28"/>
              </w:rPr>
              <w:t>11</w:t>
            </w:r>
            <w:r>
              <w:rPr>
                <w:rFonts w:hint="eastAsia"/>
                <w:bCs/>
                <w:color w:val="000000"/>
                <w:kern w:val="0"/>
                <w:sz w:val="28"/>
                <w:szCs w:val="28"/>
              </w:rPr>
              <w:t>9.6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bCs/>
                <w:color w:val="000000"/>
                <w:kern w:val="0"/>
                <w:sz w:val="28"/>
                <w:szCs w:val="28"/>
              </w:rPr>
              <w:t>119.6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宋体" w:hAnsi="宋体" w:cs="宋体"/>
                <w:bCs/>
                <w:color w:val="000000"/>
                <w:sz w:val="28"/>
                <w:szCs w:val="28"/>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宋体" w:hAnsi="宋体" w:cs="宋体"/>
                <w:bCs/>
                <w:color w:val="000000"/>
                <w:sz w:val="28"/>
                <w:szCs w:val="28"/>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eastAsia="仿宋_GB2312" w:cs="宋体"/>
                <w:bCs/>
                <w:color w:val="000000"/>
                <w:sz w:val="28"/>
                <w:szCs w:val="28"/>
              </w:rPr>
            </w:pPr>
            <w:r>
              <w:rPr>
                <w:rFonts w:hint="eastAsia" w:ascii="仿宋_GB2312" w:eastAsia="仿宋_GB2312"/>
                <w:bCs/>
                <w:sz w:val="28"/>
                <w:szCs w:val="28"/>
              </w:rPr>
              <w:t>66940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宋体" w:hAnsi="宋体" w:cs="宋体"/>
                <w:bCs/>
                <w:color w:val="000000"/>
                <w:sz w:val="28"/>
                <w:szCs w:val="28"/>
              </w:rPr>
              <w:t>4.8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宋体" w:hAnsi="宋体" w:cs="宋体"/>
                <w:bCs/>
                <w:color w:val="000000"/>
                <w:sz w:val="28"/>
                <w:szCs w:val="28"/>
              </w:rPr>
              <w:t>258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bCs/>
                <w:color w:val="000000"/>
                <w:kern w:val="0"/>
                <w:sz w:val="28"/>
                <w:szCs w:val="28"/>
              </w:rPr>
              <w:t>12</w:t>
            </w:r>
            <w:r>
              <w:rPr>
                <w:rFonts w:hint="eastAsia"/>
                <w:bCs/>
                <w:color w:val="000000"/>
                <w:kern w:val="0"/>
                <w:sz w:val="28"/>
                <w:szCs w:val="28"/>
              </w:rPr>
              <w:t>3.51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宋体" w:hAnsi="宋体" w:cs="宋体"/>
                <w:bCs/>
                <w:color w:val="000000"/>
                <w:sz w:val="28"/>
                <w:szCs w:val="28"/>
              </w:rPr>
              <w:t>48.81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r>
              <w:rPr>
                <w:rFonts w:hint="eastAsia" w:ascii="仿宋_GB2312" w:hAnsi="宋体" w:eastAsia="仿宋_GB2312" w:cs="宋体"/>
                <w:bCs/>
                <w:kern w:val="0"/>
                <w:sz w:val="28"/>
                <w:szCs w:val="28"/>
              </w:rPr>
              <w:t>2.1912</w:t>
            </w:r>
          </w:p>
        </w:tc>
      </w:tr>
      <w:tr>
        <w:tblPrEx>
          <w:tblCellMar>
            <w:top w:w="0" w:type="dxa"/>
            <w:left w:w="0" w:type="dxa"/>
            <w:bottom w:w="0" w:type="dxa"/>
            <w:right w:w="0" w:type="dxa"/>
          </w:tblCellMar>
        </w:tblPrEx>
        <w:trPr>
          <w:trHeight w:val="66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Cs/>
                <w:color w:val="000000"/>
                <w:sz w:val="28"/>
                <w:szCs w:val="28"/>
              </w:rPr>
            </w:pPr>
            <w:r>
              <w:rPr>
                <w:rFonts w:hint="eastAsia" w:ascii="宋体" w:hAnsi="宋体" w:cs="宋体"/>
                <w:bCs/>
                <w:color w:val="000000"/>
                <w:kern w:val="0"/>
                <w:sz w:val="28"/>
                <w:szCs w:val="28"/>
              </w:rPr>
              <w:t>**县（市、区）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rPr>
                <w:rFonts w:ascii="宋体" w:hAnsi="宋体" w:cs="宋体"/>
                <w:bCs/>
                <w:color w:val="000000"/>
                <w:sz w:val="28"/>
                <w:szCs w:val="28"/>
              </w:rPr>
            </w:pPr>
          </w:p>
        </w:tc>
      </w:tr>
    </w:tbl>
    <w:p>
      <w:pPr>
        <w:snapToGrid w:val="0"/>
        <w:spacing w:line="360" w:lineRule="auto"/>
        <w:rPr>
          <w:sz w:val="30"/>
          <w:szCs w:val="30"/>
        </w:rPr>
        <w:sectPr>
          <w:pgSz w:w="16838" w:h="11906" w:orient="landscape"/>
          <w:pgMar w:top="1800" w:right="1440" w:bottom="1800" w:left="1440" w:header="851" w:footer="992" w:gutter="0"/>
          <w:cols w:space="720" w:num="1"/>
          <w:docGrid w:type="lines" w:linePitch="312" w:charSpace="0"/>
        </w:sectPr>
      </w:pPr>
    </w:p>
    <w:p>
      <w:pPr>
        <w:pStyle w:val="2"/>
        <w:jc w:val="center"/>
        <w:rPr>
          <w:sz w:val="36"/>
          <w:szCs w:val="36"/>
        </w:rPr>
      </w:pPr>
      <w:bookmarkStart w:id="58" w:name="_Toc7058"/>
      <w:r>
        <w:rPr>
          <w:rFonts w:hint="eastAsia"/>
          <w:sz w:val="36"/>
          <w:szCs w:val="36"/>
        </w:rPr>
        <w:t>附表2  如皋市“十四五”高标准农田建设效益表</w:t>
      </w:r>
      <w:bookmarkEnd w:id="58"/>
    </w:p>
    <w:tbl>
      <w:tblPr>
        <w:tblStyle w:val="27"/>
        <w:tblW w:w="7545" w:type="dxa"/>
        <w:jc w:val="center"/>
        <w:tblLayout w:type="autofit"/>
        <w:tblCellMar>
          <w:top w:w="0" w:type="dxa"/>
          <w:left w:w="0" w:type="dxa"/>
          <w:bottom w:w="0" w:type="dxa"/>
          <w:right w:w="0" w:type="dxa"/>
        </w:tblCellMar>
      </w:tblPr>
      <w:tblGrid>
        <w:gridCol w:w="3945"/>
        <w:gridCol w:w="1065"/>
        <w:gridCol w:w="2535"/>
      </w:tblGrid>
      <w:tr>
        <w:trPr>
          <w:trHeight w:val="312" w:hRule="atLeast"/>
          <w:jc w:val="center"/>
        </w:trPr>
        <w:tc>
          <w:tcPr>
            <w:tcW w:w="3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高标准农田建设</w:t>
            </w:r>
          </w:p>
        </w:tc>
      </w:tr>
      <w:tr>
        <w:tblPrEx>
          <w:tblCellMar>
            <w:top w:w="0" w:type="dxa"/>
            <w:left w:w="0" w:type="dxa"/>
            <w:bottom w:w="0" w:type="dxa"/>
            <w:right w:w="0" w:type="dxa"/>
          </w:tblCellMar>
        </w:tblPrEx>
        <w:trPr>
          <w:trHeight w:val="312" w:hRule="atLeast"/>
          <w:jc w:val="center"/>
        </w:trPr>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10"/>
              <w:rPr>
                <w:rFonts w:ascii="宋体" w:hAnsi="宋体"/>
                <w:b/>
                <w:color w:val="000000"/>
                <w:sz w:val="20"/>
              </w:rPr>
            </w:pPr>
            <w:r>
              <w:rPr>
                <w:rFonts w:hint="eastAsia" w:ascii="宋体" w:hAnsi="宋体"/>
                <w:b/>
                <w:color w:val="000000"/>
                <w:sz w:val="20"/>
              </w:rPr>
              <w:t>一、农业生产条件及生态环境改善情况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1.新增灌溉面积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3</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2.改善灌溉面积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3.新增除涝面积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3</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4.改善除涝面积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5</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5.新增节水灌溉面积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3</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6.年节约水量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1000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7.新增旱作农业面积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8.增加农田林网防护面积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12</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9.扩大良种种植面积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8.5</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10.控制水土流失面积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平方千米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25</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11.优质农产品种植面积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18.0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10"/>
              <w:rPr>
                <w:rFonts w:ascii="宋体" w:hAnsi="宋体"/>
                <w:b/>
                <w:color w:val="000000"/>
                <w:sz w:val="20"/>
              </w:rPr>
            </w:pPr>
            <w:r>
              <w:rPr>
                <w:rFonts w:hint="eastAsia" w:ascii="宋体" w:hAnsi="宋体"/>
                <w:b/>
                <w:color w:val="000000"/>
                <w:sz w:val="20"/>
              </w:rPr>
              <w:t>二、新增主要农产品生产能力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1.粮食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1200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其中：优质粮食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750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2.棉花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3.油料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25</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4.蔬菜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800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10"/>
              <w:rPr>
                <w:rFonts w:ascii="宋体" w:hAnsi="宋体"/>
                <w:color w:val="000000"/>
                <w:sz w:val="20"/>
              </w:rPr>
            </w:pPr>
            <w:r>
              <w:rPr>
                <w:rFonts w:hint="eastAsia" w:ascii="宋体" w:hAnsi="宋体"/>
                <w:color w:val="000000"/>
                <w:sz w:val="20"/>
              </w:rPr>
              <w:t>5.其他农产品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100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10"/>
              <w:rPr>
                <w:rFonts w:ascii="宋体" w:hAnsi="宋体"/>
                <w:b/>
                <w:color w:val="000000"/>
                <w:sz w:val="20"/>
              </w:rPr>
            </w:pPr>
            <w:r>
              <w:rPr>
                <w:rFonts w:hint="eastAsia" w:ascii="宋体" w:hAnsi="宋体"/>
                <w:b/>
                <w:color w:val="000000"/>
                <w:sz w:val="20"/>
              </w:rPr>
              <w:t>三、新增种植业总产值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12000</w:t>
            </w:r>
          </w:p>
        </w:tc>
      </w:tr>
      <w:tr>
        <w:tblPrEx>
          <w:tblCellMar>
            <w:top w:w="0" w:type="dxa"/>
            <w:left w:w="0" w:type="dxa"/>
            <w:bottom w:w="0" w:type="dxa"/>
            <w:right w:w="0"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10"/>
              <w:rPr>
                <w:rFonts w:ascii="宋体" w:hAnsi="宋体"/>
                <w:b/>
                <w:color w:val="000000"/>
                <w:sz w:val="20"/>
              </w:rPr>
            </w:pPr>
            <w:r>
              <w:rPr>
                <w:rFonts w:hint="eastAsia" w:ascii="宋体" w:hAnsi="宋体"/>
                <w:b/>
                <w:color w:val="000000"/>
                <w:sz w:val="20"/>
              </w:rPr>
              <w:t>四、项目区农民收入增加总额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0"/>
              </w:rPr>
            </w:pPr>
            <w:r>
              <w:rPr>
                <w:rFonts w:hint="eastAsia" w:ascii="宋体" w:hAnsi="宋体"/>
                <w:color w:val="000000"/>
                <w:sz w:val="20"/>
              </w:rPr>
              <w:t>3300</w:t>
            </w:r>
          </w:p>
        </w:tc>
      </w:tr>
    </w:tbl>
    <w:p>
      <w:pPr>
        <w:snapToGrid w:val="0"/>
        <w:spacing w:line="360" w:lineRule="auto"/>
        <w:rPr>
          <w:sz w:val="30"/>
          <w:szCs w:val="30"/>
        </w:rPr>
        <w:sectPr>
          <w:pgSz w:w="11906" w:h="16838"/>
          <w:pgMar w:top="1440" w:right="1800" w:bottom="1440" w:left="1800" w:header="851" w:footer="992" w:gutter="0"/>
          <w:cols w:space="720" w:num="1"/>
          <w:docGrid w:type="lines" w:linePitch="312" w:charSpace="0"/>
        </w:sectPr>
      </w:pPr>
    </w:p>
    <w:bookmarkEnd w:id="0"/>
    <w:p>
      <w:pPr>
        <w:pStyle w:val="2"/>
        <w:jc w:val="center"/>
        <w:rPr>
          <w:sz w:val="36"/>
          <w:szCs w:val="36"/>
        </w:rPr>
      </w:pPr>
      <w:bookmarkStart w:id="59" w:name="_Toc17579"/>
      <w:r>
        <w:rPr>
          <w:rFonts w:hint="eastAsia"/>
          <w:sz w:val="36"/>
          <w:szCs w:val="36"/>
        </w:rPr>
        <w:t>附图 如皋市高标准农田建设规划图(2021-2025年)</w:t>
      </w:r>
      <w:bookmarkEnd w:id="59"/>
    </w:p>
    <w:p>
      <w:r>
        <w:rPr>
          <w:rFonts w:hint="eastAsia"/>
        </w:rPr>
        <w:drawing>
          <wp:inline distT="0" distB="0" distL="114300" distR="114300">
            <wp:extent cx="6048375" cy="6467475"/>
            <wp:effectExtent l="0" t="0" r="9525" b="9525"/>
            <wp:docPr id="1" name="图片 1" descr="微信图片_2021011410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14105950"/>
                    <pic:cNvPicPr>
                      <a:picLocks noChangeAspect="1"/>
                    </pic:cNvPicPr>
                  </pic:nvPicPr>
                  <pic:blipFill>
                    <a:blip r:embed="rId14"/>
                    <a:stretch>
                      <a:fillRect/>
                    </a:stretch>
                  </pic:blipFill>
                  <pic:spPr>
                    <a:xfrm>
                      <a:off x="0" y="0"/>
                      <a:ext cx="6048375" cy="6467475"/>
                    </a:xfrm>
                    <a:prstGeom prst="rect">
                      <a:avLst/>
                    </a:prstGeom>
                    <a:noFill/>
                    <a:ln>
                      <a:noFill/>
                    </a:ln>
                  </pic:spPr>
                </pic:pic>
              </a:graphicData>
            </a:graphic>
          </wp:inline>
        </w:drawing>
      </w:r>
    </w:p>
    <w:sectPr>
      <w:footerReference r:id="rId12" w:type="first"/>
      <w:footerReference r:id="rId11" w:type="default"/>
      <w:pgSz w:w="11906" w:h="16838"/>
      <w:pgMar w:top="1440" w:right="1797" w:bottom="1440" w:left="117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vUIDH9ABAACqAwAADgAAAAAAAAABACAAAAAe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mwD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umwDdABAACqAwAADgAAAAAAAAABACAAAAAe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bCJ88BAACq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xsInzwEAAKoDAAAOAAAAAAAAAAEAIAAAAB4BAABkcnMv&#10;ZTJvRG9jLnhtbFBLBQYAAAAABgAGAFkBAABf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XuztABAACqAwAADgAAAGRycy9lMm9Eb2MueG1srVPNjtMwEL4j8Q6W&#10;7zRph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omXuztABAACqAwAADgAAAAAAAAABACAAAAAe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left" w:pos="7094"/>
      </w:tabs>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3"/>
    <w:rsid w:val="00001D6B"/>
    <w:rsid w:val="000047B6"/>
    <w:rsid w:val="00016AAF"/>
    <w:rsid w:val="00023E6B"/>
    <w:rsid w:val="00024D5A"/>
    <w:rsid w:val="00026D1A"/>
    <w:rsid w:val="00032BD8"/>
    <w:rsid w:val="00033469"/>
    <w:rsid w:val="00033470"/>
    <w:rsid w:val="00033607"/>
    <w:rsid w:val="000411B3"/>
    <w:rsid w:val="00041F12"/>
    <w:rsid w:val="00042E65"/>
    <w:rsid w:val="00043504"/>
    <w:rsid w:val="00044050"/>
    <w:rsid w:val="000474DC"/>
    <w:rsid w:val="000477F2"/>
    <w:rsid w:val="00047AD0"/>
    <w:rsid w:val="0005291E"/>
    <w:rsid w:val="000533A2"/>
    <w:rsid w:val="000537D8"/>
    <w:rsid w:val="000576AF"/>
    <w:rsid w:val="00061B1F"/>
    <w:rsid w:val="0006271B"/>
    <w:rsid w:val="00063799"/>
    <w:rsid w:val="00065340"/>
    <w:rsid w:val="00067622"/>
    <w:rsid w:val="00070874"/>
    <w:rsid w:val="0007219F"/>
    <w:rsid w:val="000734B8"/>
    <w:rsid w:val="00075FC2"/>
    <w:rsid w:val="00076635"/>
    <w:rsid w:val="00077547"/>
    <w:rsid w:val="00083A51"/>
    <w:rsid w:val="0009090E"/>
    <w:rsid w:val="000933E8"/>
    <w:rsid w:val="00097602"/>
    <w:rsid w:val="000A0A86"/>
    <w:rsid w:val="000A3047"/>
    <w:rsid w:val="000A7126"/>
    <w:rsid w:val="000B241F"/>
    <w:rsid w:val="000B34B1"/>
    <w:rsid w:val="000B5AA2"/>
    <w:rsid w:val="000B5CE8"/>
    <w:rsid w:val="000C07CA"/>
    <w:rsid w:val="000C3106"/>
    <w:rsid w:val="000C652C"/>
    <w:rsid w:val="000D0D10"/>
    <w:rsid w:val="000D3C67"/>
    <w:rsid w:val="000D551A"/>
    <w:rsid w:val="000D56DD"/>
    <w:rsid w:val="000D5B6B"/>
    <w:rsid w:val="000D67CC"/>
    <w:rsid w:val="000D74C8"/>
    <w:rsid w:val="000D7F0A"/>
    <w:rsid w:val="000E58FF"/>
    <w:rsid w:val="000E6F34"/>
    <w:rsid w:val="000E70E8"/>
    <w:rsid w:val="000E7F5A"/>
    <w:rsid w:val="000F5F46"/>
    <w:rsid w:val="000F7016"/>
    <w:rsid w:val="000F7AFA"/>
    <w:rsid w:val="00100461"/>
    <w:rsid w:val="00101A7B"/>
    <w:rsid w:val="00101C41"/>
    <w:rsid w:val="00101D56"/>
    <w:rsid w:val="0010560D"/>
    <w:rsid w:val="0010567A"/>
    <w:rsid w:val="00113EE7"/>
    <w:rsid w:val="00114107"/>
    <w:rsid w:val="00114BCA"/>
    <w:rsid w:val="0011671A"/>
    <w:rsid w:val="0012215B"/>
    <w:rsid w:val="001224FC"/>
    <w:rsid w:val="0012729E"/>
    <w:rsid w:val="00127359"/>
    <w:rsid w:val="00127728"/>
    <w:rsid w:val="0013151A"/>
    <w:rsid w:val="00132F3C"/>
    <w:rsid w:val="00133C8A"/>
    <w:rsid w:val="00143C05"/>
    <w:rsid w:val="00146168"/>
    <w:rsid w:val="0014698D"/>
    <w:rsid w:val="00147A9B"/>
    <w:rsid w:val="0015101C"/>
    <w:rsid w:val="00151F6B"/>
    <w:rsid w:val="00152BCF"/>
    <w:rsid w:val="00153C1E"/>
    <w:rsid w:val="001546C4"/>
    <w:rsid w:val="00154AFA"/>
    <w:rsid w:val="00154FD4"/>
    <w:rsid w:val="00156F35"/>
    <w:rsid w:val="00160CB2"/>
    <w:rsid w:val="0016356B"/>
    <w:rsid w:val="00164166"/>
    <w:rsid w:val="00164CDC"/>
    <w:rsid w:val="00172A27"/>
    <w:rsid w:val="001750C5"/>
    <w:rsid w:val="0017577E"/>
    <w:rsid w:val="001757F1"/>
    <w:rsid w:val="00175C4F"/>
    <w:rsid w:val="00184C92"/>
    <w:rsid w:val="00191F38"/>
    <w:rsid w:val="00192DA7"/>
    <w:rsid w:val="00192EB6"/>
    <w:rsid w:val="00193393"/>
    <w:rsid w:val="0019363F"/>
    <w:rsid w:val="00195976"/>
    <w:rsid w:val="00195AFF"/>
    <w:rsid w:val="00196093"/>
    <w:rsid w:val="001A00DC"/>
    <w:rsid w:val="001A017C"/>
    <w:rsid w:val="001A5932"/>
    <w:rsid w:val="001B002B"/>
    <w:rsid w:val="001B2EEF"/>
    <w:rsid w:val="001B37CE"/>
    <w:rsid w:val="001B4590"/>
    <w:rsid w:val="001B593A"/>
    <w:rsid w:val="001C1920"/>
    <w:rsid w:val="001C65A9"/>
    <w:rsid w:val="001D1B67"/>
    <w:rsid w:val="001D424A"/>
    <w:rsid w:val="001D44F6"/>
    <w:rsid w:val="001D6773"/>
    <w:rsid w:val="001E1C47"/>
    <w:rsid w:val="001F17C5"/>
    <w:rsid w:val="001F60F7"/>
    <w:rsid w:val="001F7283"/>
    <w:rsid w:val="00201459"/>
    <w:rsid w:val="00203D30"/>
    <w:rsid w:val="00205B1F"/>
    <w:rsid w:val="00211483"/>
    <w:rsid w:val="00213499"/>
    <w:rsid w:val="0021793A"/>
    <w:rsid w:val="00220E3C"/>
    <w:rsid w:val="002213D4"/>
    <w:rsid w:val="00221BBD"/>
    <w:rsid w:val="0022369A"/>
    <w:rsid w:val="00225A03"/>
    <w:rsid w:val="00226205"/>
    <w:rsid w:val="002354E0"/>
    <w:rsid w:val="00236DF8"/>
    <w:rsid w:val="00241513"/>
    <w:rsid w:val="00241D49"/>
    <w:rsid w:val="00242964"/>
    <w:rsid w:val="00243FB8"/>
    <w:rsid w:val="00244394"/>
    <w:rsid w:val="0025111D"/>
    <w:rsid w:val="0025279B"/>
    <w:rsid w:val="00254332"/>
    <w:rsid w:val="002608C6"/>
    <w:rsid w:val="00276109"/>
    <w:rsid w:val="00277704"/>
    <w:rsid w:val="002777CD"/>
    <w:rsid w:val="00282796"/>
    <w:rsid w:val="00282C71"/>
    <w:rsid w:val="002945B4"/>
    <w:rsid w:val="002A1DF2"/>
    <w:rsid w:val="002A6404"/>
    <w:rsid w:val="002B4ED1"/>
    <w:rsid w:val="002B6596"/>
    <w:rsid w:val="002B6DA1"/>
    <w:rsid w:val="002C14E5"/>
    <w:rsid w:val="002D62E0"/>
    <w:rsid w:val="002D7730"/>
    <w:rsid w:val="002E2B11"/>
    <w:rsid w:val="002E2FD3"/>
    <w:rsid w:val="002E63B6"/>
    <w:rsid w:val="002F040D"/>
    <w:rsid w:val="002F0866"/>
    <w:rsid w:val="002F1C9B"/>
    <w:rsid w:val="002F20F6"/>
    <w:rsid w:val="002F47DA"/>
    <w:rsid w:val="002F4800"/>
    <w:rsid w:val="002F5C04"/>
    <w:rsid w:val="002F67C0"/>
    <w:rsid w:val="002F6F9E"/>
    <w:rsid w:val="00303F99"/>
    <w:rsid w:val="0030497B"/>
    <w:rsid w:val="00306817"/>
    <w:rsid w:val="003152BE"/>
    <w:rsid w:val="00317209"/>
    <w:rsid w:val="003219D1"/>
    <w:rsid w:val="00324E4C"/>
    <w:rsid w:val="003264DD"/>
    <w:rsid w:val="00332AF5"/>
    <w:rsid w:val="00333416"/>
    <w:rsid w:val="00343390"/>
    <w:rsid w:val="00353254"/>
    <w:rsid w:val="00362063"/>
    <w:rsid w:val="003641BE"/>
    <w:rsid w:val="00365030"/>
    <w:rsid w:val="003654EF"/>
    <w:rsid w:val="00365C64"/>
    <w:rsid w:val="00370BA9"/>
    <w:rsid w:val="003712B3"/>
    <w:rsid w:val="00372AA0"/>
    <w:rsid w:val="00374B3F"/>
    <w:rsid w:val="00377400"/>
    <w:rsid w:val="0038431E"/>
    <w:rsid w:val="00384D88"/>
    <w:rsid w:val="00385AAB"/>
    <w:rsid w:val="00386032"/>
    <w:rsid w:val="00392E50"/>
    <w:rsid w:val="003930AB"/>
    <w:rsid w:val="003A18B6"/>
    <w:rsid w:val="003A4F9A"/>
    <w:rsid w:val="003A57E8"/>
    <w:rsid w:val="003B0BF0"/>
    <w:rsid w:val="003B5AE6"/>
    <w:rsid w:val="003C42B3"/>
    <w:rsid w:val="003C6589"/>
    <w:rsid w:val="003C75E3"/>
    <w:rsid w:val="003D2A34"/>
    <w:rsid w:val="003D5656"/>
    <w:rsid w:val="003D6485"/>
    <w:rsid w:val="003E4A16"/>
    <w:rsid w:val="003E4FC0"/>
    <w:rsid w:val="003E64DB"/>
    <w:rsid w:val="003F0E74"/>
    <w:rsid w:val="003F5E1B"/>
    <w:rsid w:val="003F60FD"/>
    <w:rsid w:val="003F647E"/>
    <w:rsid w:val="003F6AFE"/>
    <w:rsid w:val="00401792"/>
    <w:rsid w:val="004026E9"/>
    <w:rsid w:val="004153DF"/>
    <w:rsid w:val="0042091D"/>
    <w:rsid w:val="00422780"/>
    <w:rsid w:val="0042284C"/>
    <w:rsid w:val="004270ED"/>
    <w:rsid w:val="00430546"/>
    <w:rsid w:val="00431729"/>
    <w:rsid w:val="004336AB"/>
    <w:rsid w:val="00435F38"/>
    <w:rsid w:val="00436EB5"/>
    <w:rsid w:val="00443C3F"/>
    <w:rsid w:val="00445D56"/>
    <w:rsid w:val="00446473"/>
    <w:rsid w:val="0045794D"/>
    <w:rsid w:val="0046031C"/>
    <w:rsid w:val="00460E96"/>
    <w:rsid w:val="00461763"/>
    <w:rsid w:val="00461978"/>
    <w:rsid w:val="00464062"/>
    <w:rsid w:val="0046778F"/>
    <w:rsid w:val="004715FF"/>
    <w:rsid w:val="00476914"/>
    <w:rsid w:val="00476DBC"/>
    <w:rsid w:val="00480C13"/>
    <w:rsid w:val="0048114A"/>
    <w:rsid w:val="004831D7"/>
    <w:rsid w:val="00483888"/>
    <w:rsid w:val="0048593C"/>
    <w:rsid w:val="00485A9C"/>
    <w:rsid w:val="00493FB4"/>
    <w:rsid w:val="0049734B"/>
    <w:rsid w:val="004A226A"/>
    <w:rsid w:val="004A554C"/>
    <w:rsid w:val="004A6AAA"/>
    <w:rsid w:val="004B0E45"/>
    <w:rsid w:val="004B167B"/>
    <w:rsid w:val="004B49D9"/>
    <w:rsid w:val="004B5959"/>
    <w:rsid w:val="004D01BD"/>
    <w:rsid w:val="004D1A87"/>
    <w:rsid w:val="004D5174"/>
    <w:rsid w:val="004D73CE"/>
    <w:rsid w:val="004E0882"/>
    <w:rsid w:val="004E194E"/>
    <w:rsid w:val="004E2224"/>
    <w:rsid w:val="004E2828"/>
    <w:rsid w:val="004E47D0"/>
    <w:rsid w:val="004E4E1A"/>
    <w:rsid w:val="004E5C1F"/>
    <w:rsid w:val="004E63BD"/>
    <w:rsid w:val="004E68A5"/>
    <w:rsid w:val="004E75E4"/>
    <w:rsid w:val="004F209E"/>
    <w:rsid w:val="004F35B3"/>
    <w:rsid w:val="004F6D35"/>
    <w:rsid w:val="004F6F44"/>
    <w:rsid w:val="005025B9"/>
    <w:rsid w:val="005056EF"/>
    <w:rsid w:val="0051210B"/>
    <w:rsid w:val="00514069"/>
    <w:rsid w:val="00517014"/>
    <w:rsid w:val="005170A4"/>
    <w:rsid w:val="00522C63"/>
    <w:rsid w:val="00524E78"/>
    <w:rsid w:val="00526BEC"/>
    <w:rsid w:val="00531AC2"/>
    <w:rsid w:val="0053327B"/>
    <w:rsid w:val="00535138"/>
    <w:rsid w:val="0053544B"/>
    <w:rsid w:val="0053737F"/>
    <w:rsid w:val="00542B7E"/>
    <w:rsid w:val="00544F13"/>
    <w:rsid w:val="00545E53"/>
    <w:rsid w:val="005520A1"/>
    <w:rsid w:val="00552AF1"/>
    <w:rsid w:val="00554011"/>
    <w:rsid w:val="0055484C"/>
    <w:rsid w:val="00554FA4"/>
    <w:rsid w:val="00562ACC"/>
    <w:rsid w:val="00564967"/>
    <w:rsid w:val="0057019C"/>
    <w:rsid w:val="00570CD9"/>
    <w:rsid w:val="00572FE1"/>
    <w:rsid w:val="0057330D"/>
    <w:rsid w:val="00575912"/>
    <w:rsid w:val="00581862"/>
    <w:rsid w:val="005832FE"/>
    <w:rsid w:val="005913FE"/>
    <w:rsid w:val="00593B6C"/>
    <w:rsid w:val="005943F3"/>
    <w:rsid w:val="00594B0E"/>
    <w:rsid w:val="005955F5"/>
    <w:rsid w:val="00596637"/>
    <w:rsid w:val="005A2703"/>
    <w:rsid w:val="005A2B7A"/>
    <w:rsid w:val="005A6B98"/>
    <w:rsid w:val="005B20A8"/>
    <w:rsid w:val="005B5C5B"/>
    <w:rsid w:val="005B7116"/>
    <w:rsid w:val="005C3EEE"/>
    <w:rsid w:val="005C45F3"/>
    <w:rsid w:val="005D09B5"/>
    <w:rsid w:val="005D0A69"/>
    <w:rsid w:val="005D0D6E"/>
    <w:rsid w:val="005D34D1"/>
    <w:rsid w:val="005D35B8"/>
    <w:rsid w:val="005D3715"/>
    <w:rsid w:val="005D376E"/>
    <w:rsid w:val="005D4520"/>
    <w:rsid w:val="005E2DDB"/>
    <w:rsid w:val="005E3F66"/>
    <w:rsid w:val="005F4862"/>
    <w:rsid w:val="005F5BA8"/>
    <w:rsid w:val="006008E2"/>
    <w:rsid w:val="00602C22"/>
    <w:rsid w:val="006045C9"/>
    <w:rsid w:val="00604839"/>
    <w:rsid w:val="00604D76"/>
    <w:rsid w:val="0060596F"/>
    <w:rsid w:val="00611D6F"/>
    <w:rsid w:val="00612F4A"/>
    <w:rsid w:val="0061587F"/>
    <w:rsid w:val="00621A3D"/>
    <w:rsid w:val="006416E2"/>
    <w:rsid w:val="006435C9"/>
    <w:rsid w:val="00645C67"/>
    <w:rsid w:val="00651E39"/>
    <w:rsid w:val="0065534C"/>
    <w:rsid w:val="0065555D"/>
    <w:rsid w:val="00657D6F"/>
    <w:rsid w:val="0066267C"/>
    <w:rsid w:val="00664F53"/>
    <w:rsid w:val="006663A3"/>
    <w:rsid w:val="006737F7"/>
    <w:rsid w:val="00673D33"/>
    <w:rsid w:val="006779B7"/>
    <w:rsid w:val="0068256C"/>
    <w:rsid w:val="00686A26"/>
    <w:rsid w:val="006921C5"/>
    <w:rsid w:val="00697AA1"/>
    <w:rsid w:val="006A1137"/>
    <w:rsid w:val="006A39D1"/>
    <w:rsid w:val="006B0054"/>
    <w:rsid w:val="006B2531"/>
    <w:rsid w:val="006B5060"/>
    <w:rsid w:val="006C2BD1"/>
    <w:rsid w:val="006C3F2B"/>
    <w:rsid w:val="006C7421"/>
    <w:rsid w:val="006D4ACA"/>
    <w:rsid w:val="006D5486"/>
    <w:rsid w:val="006D6A73"/>
    <w:rsid w:val="006D6DFD"/>
    <w:rsid w:val="006E441D"/>
    <w:rsid w:val="006E645A"/>
    <w:rsid w:val="006F0ECB"/>
    <w:rsid w:val="006F123D"/>
    <w:rsid w:val="006F5109"/>
    <w:rsid w:val="00702EC0"/>
    <w:rsid w:val="0070472A"/>
    <w:rsid w:val="007050F9"/>
    <w:rsid w:val="00706720"/>
    <w:rsid w:val="0071260A"/>
    <w:rsid w:val="007206AA"/>
    <w:rsid w:val="007211AD"/>
    <w:rsid w:val="007240B8"/>
    <w:rsid w:val="007241A4"/>
    <w:rsid w:val="00725202"/>
    <w:rsid w:val="00727249"/>
    <w:rsid w:val="00727577"/>
    <w:rsid w:val="0073196C"/>
    <w:rsid w:val="007327AF"/>
    <w:rsid w:val="00740277"/>
    <w:rsid w:val="00742B69"/>
    <w:rsid w:val="007453EC"/>
    <w:rsid w:val="007502FA"/>
    <w:rsid w:val="00752F6D"/>
    <w:rsid w:val="0075368D"/>
    <w:rsid w:val="0075546F"/>
    <w:rsid w:val="00755E7D"/>
    <w:rsid w:val="00760897"/>
    <w:rsid w:val="0076092A"/>
    <w:rsid w:val="007647BF"/>
    <w:rsid w:val="00766864"/>
    <w:rsid w:val="00772A76"/>
    <w:rsid w:val="00780765"/>
    <w:rsid w:val="0078097D"/>
    <w:rsid w:val="0078301E"/>
    <w:rsid w:val="00784995"/>
    <w:rsid w:val="0078678F"/>
    <w:rsid w:val="00787B66"/>
    <w:rsid w:val="00791C58"/>
    <w:rsid w:val="00792AD2"/>
    <w:rsid w:val="007A0B6E"/>
    <w:rsid w:val="007A2632"/>
    <w:rsid w:val="007A5C63"/>
    <w:rsid w:val="007A5FFB"/>
    <w:rsid w:val="007A6F9A"/>
    <w:rsid w:val="007B11BB"/>
    <w:rsid w:val="007B17E3"/>
    <w:rsid w:val="007C0B1F"/>
    <w:rsid w:val="007C1D6A"/>
    <w:rsid w:val="007C6D80"/>
    <w:rsid w:val="007D31FC"/>
    <w:rsid w:val="007D4B63"/>
    <w:rsid w:val="007E3714"/>
    <w:rsid w:val="007E5513"/>
    <w:rsid w:val="007E64F9"/>
    <w:rsid w:val="007E7E6F"/>
    <w:rsid w:val="007F1E26"/>
    <w:rsid w:val="007F2B90"/>
    <w:rsid w:val="007F4D5F"/>
    <w:rsid w:val="007F51D0"/>
    <w:rsid w:val="00803542"/>
    <w:rsid w:val="008045EF"/>
    <w:rsid w:val="0080487A"/>
    <w:rsid w:val="0080510C"/>
    <w:rsid w:val="00813291"/>
    <w:rsid w:val="008157BB"/>
    <w:rsid w:val="00822FFA"/>
    <w:rsid w:val="00824188"/>
    <w:rsid w:val="00824F68"/>
    <w:rsid w:val="0082563B"/>
    <w:rsid w:val="008269A6"/>
    <w:rsid w:val="00827B10"/>
    <w:rsid w:val="0083073C"/>
    <w:rsid w:val="008350AF"/>
    <w:rsid w:val="00835BD0"/>
    <w:rsid w:val="008374AA"/>
    <w:rsid w:val="00842FC4"/>
    <w:rsid w:val="0084792C"/>
    <w:rsid w:val="008516A5"/>
    <w:rsid w:val="0085253D"/>
    <w:rsid w:val="008549D9"/>
    <w:rsid w:val="00860444"/>
    <w:rsid w:val="00860627"/>
    <w:rsid w:val="008606A5"/>
    <w:rsid w:val="008606EF"/>
    <w:rsid w:val="00861026"/>
    <w:rsid w:val="008614A1"/>
    <w:rsid w:val="00864215"/>
    <w:rsid w:val="008760E0"/>
    <w:rsid w:val="008806B1"/>
    <w:rsid w:val="00881CEB"/>
    <w:rsid w:val="008829B4"/>
    <w:rsid w:val="00886389"/>
    <w:rsid w:val="0089093E"/>
    <w:rsid w:val="008909C0"/>
    <w:rsid w:val="00893FE0"/>
    <w:rsid w:val="008977C0"/>
    <w:rsid w:val="008A17BC"/>
    <w:rsid w:val="008A2A63"/>
    <w:rsid w:val="008A3111"/>
    <w:rsid w:val="008A6890"/>
    <w:rsid w:val="008A7A47"/>
    <w:rsid w:val="008B3526"/>
    <w:rsid w:val="008B686C"/>
    <w:rsid w:val="008C3098"/>
    <w:rsid w:val="008C30EF"/>
    <w:rsid w:val="008C4061"/>
    <w:rsid w:val="008C5E86"/>
    <w:rsid w:val="008D0FA4"/>
    <w:rsid w:val="008E3489"/>
    <w:rsid w:val="008E3DA0"/>
    <w:rsid w:val="008E5023"/>
    <w:rsid w:val="008E6FB9"/>
    <w:rsid w:val="008F220A"/>
    <w:rsid w:val="008F4B3B"/>
    <w:rsid w:val="008F6766"/>
    <w:rsid w:val="00902B79"/>
    <w:rsid w:val="00906E33"/>
    <w:rsid w:val="00907C07"/>
    <w:rsid w:val="00907F5E"/>
    <w:rsid w:val="00910DD5"/>
    <w:rsid w:val="00911401"/>
    <w:rsid w:val="00920796"/>
    <w:rsid w:val="009221B9"/>
    <w:rsid w:val="00926D05"/>
    <w:rsid w:val="0092761B"/>
    <w:rsid w:val="00931F97"/>
    <w:rsid w:val="0093331C"/>
    <w:rsid w:val="00934F44"/>
    <w:rsid w:val="00935B20"/>
    <w:rsid w:val="009412A1"/>
    <w:rsid w:val="00943138"/>
    <w:rsid w:val="00943683"/>
    <w:rsid w:val="00944442"/>
    <w:rsid w:val="009457D9"/>
    <w:rsid w:val="00947449"/>
    <w:rsid w:val="00950C71"/>
    <w:rsid w:val="0095171C"/>
    <w:rsid w:val="00953B62"/>
    <w:rsid w:val="00954756"/>
    <w:rsid w:val="009557AF"/>
    <w:rsid w:val="009608F0"/>
    <w:rsid w:val="00963EC7"/>
    <w:rsid w:val="00964D5C"/>
    <w:rsid w:val="00966837"/>
    <w:rsid w:val="00966F4F"/>
    <w:rsid w:val="009720F6"/>
    <w:rsid w:val="00973575"/>
    <w:rsid w:val="00973985"/>
    <w:rsid w:val="00975ECE"/>
    <w:rsid w:val="009760D1"/>
    <w:rsid w:val="0097694B"/>
    <w:rsid w:val="00976BEF"/>
    <w:rsid w:val="00977831"/>
    <w:rsid w:val="009845B9"/>
    <w:rsid w:val="00984837"/>
    <w:rsid w:val="00985032"/>
    <w:rsid w:val="009866D7"/>
    <w:rsid w:val="00987964"/>
    <w:rsid w:val="0099045B"/>
    <w:rsid w:val="00994ACE"/>
    <w:rsid w:val="00995479"/>
    <w:rsid w:val="009A0DF7"/>
    <w:rsid w:val="009A1133"/>
    <w:rsid w:val="009A2A4E"/>
    <w:rsid w:val="009A450C"/>
    <w:rsid w:val="009A54D5"/>
    <w:rsid w:val="009A5FB8"/>
    <w:rsid w:val="009B0667"/>
    <w:rsid w:val="009B0B4A"/>
    <w:rsid w:val="009C1160"/>
    <w:rsid w:val="009C5818"/>
    <w:rsid w:val="009C668A"/>
    <w:rsid w:val="009C6AA0"/>
    <w:rsid w:val="009C7D2F"/>
    <w:rsid w:val="009D1A49"/>
    <w:rsid w:val="009D202E"/>
    <w:rsid w:val="009D2F31"/>
    <w:rsid w:val="009D4DBF"/>
    <w:rsid w:val="009D7221"/>
    <w:rsid w:val="009E0B66"/>
    <w:rsid w:val="009E5B69"/>
    <w:rsid w:val="009E71F5"/>
    <w:rsid w:val="009F0220"/>
    <w:rsid w:val="009F0455"/>
    <w:rsid w:val="009F35C6"/>
    <w:rsid w:val="009F3785"/>
    <w:rsid w:val="009F58A2"/>
    <w:rsid w:val="00A01155"/>
    <w:rsid w:val="00A0390F"/>
    <w:rsid w:val="00A058C2"/>
    <w:rsid w:val="00A07EA7"/>
    <w:rsid w:val="00A10305"/>
    <w:rsid w:val="00A12B37"/>
    <w:rsid w:val="00A175E2"/>
    <w:rsid w:val="00A2067E"/>
    <w:rsid w:val="00A24EF5"/>
    <w:rsid w:val="00A257FA"/>
    <w:rsid w:val="00A30A10"/>
    <w:rsid w:val="00A56078"/>
    <w:rsid w:val="00A56A0D"/>
    <w:rsid w:val="00A60E5C"/>
    <w:rsid w:val="00A62B38"/>
    <w:rsid w:val="00A64B68"/>
    <w:rsid w:val="00A65273"/>
    <w:rsid w:val="00A66704"/>
    <w:rsid w:val="00A71232"/>
    <w:rsid w:val="00A737B1"/>
    <w:rsid w:val="00A77F9D"/>
    <w:rsid w:val="00A819D9"/>
    <w:rsid w:val="00A832ED"/>
    <w:rsid w:val="00A856D6"/>
    <w:rsid w:val="00A8647A"/>
    <w:rsid w:val="00A90578"/>
    <w:rsid w:val="00A9064C"/>
    <w:rsid w:val="00A90A94"/>
    <w:rsid w:val="00A94ADF"/>
    <w:rsid w:val="00A9558C"/>
    <w:rsid w:val="00A97C07"/>
    <w:rsid w:val="00AA082B"/>
    <w:rsid w:val="00AB1F97"/>
    <w:rsid w:val="00AB2300"/>
    <w:rsid w:val="00AB6884"/>
    <w:rsid w:val="00AC3799"/>
    <w:rsid w:val="00AC7BCB"/>
    <w:rsid w:val="00AD2510"/>
    <w:rsid w:val="00AD3BDF"/>
    <w:rsid w:val="00AD46CC"/>
    <w:rsid w:val="00AD5A3C"/>
    <w:rsid w:val="00AE09D1"/>
    <w:rsid w:val="00AE09E7"/>
    <w:rsid w:val="00AE0B70"/>
    <w:rsid w:val="00AF1FA2"/>
    <w:rsid w:val="00AF49C9"/>
    <w:rsid w:val="00AF6C06"/>
    <w:rsid w:val="00B0035E"/>
    <w:rsid w:val="00B00414"/>
    <w:rsid w:val="00B004C6"/>
    <w:rsid w:val="00B01894"/>
    <w:rsid w:val="00B03661"/>
    <w:rsid w:val="00B06797"/>
    <w:rsid w:val="00B077A9"/>
    <w:rsid w:val="00B108EE"/>
    <w:rsid w:val="00B117CD"/>
    <w:rsid w:val="00B13844"/>
    <w:rsid w:val="00B215B3"/>
    <w:rsid w:val="00B23DFA"/>
    <w:rsid w:val="00B36836"/>
    <w:rsid w:val="00B378A4"/>
    <w:rsid w:val="00B41977"/>
    <w:rsid w:val="00B41B56"/>
    <w:rsid w:val="00B41FE0"/>
    <w:rsid w:val="00B42C6B"/>
    <w:rsid w:val="00B450DB"/>
    <w:rsid w:val="00B46A9E"/>
    <w:rsid w:val="00B47455"/>
    <w:rsid w:val="00B5431A"/>
    <w:rsid w:val="00B56E77"/>
    <w:rsid w:val="00B61BC1"/>
    <w:rsid w:val="00B65039"/>
    <w:rsid w:val="00B65DFA"/>
    <w:rsid w:val="00B66F43"/>
    <w:rsid w:val="00B709D6"/>
    <w:rsid w:val="00B75B1E"/>
    <w:rsid w:val="00B762AA"/>
    <w:rsid w:val="00B77B93"/>
    <w:rsid w:val="00B81451"/>
    <w:rsid w:val="00B81D2C"/>
    <w:rsid w:val="00B82FA5"/>
    <w:rsid w:val="00B8348C"/>
    <w:rsid w:val="00B86E07"/>
    <w:rsid w:val="00B92F9D"/>
    <w:rsid w:val="00B9326A"/>
    <w:rsid w:val="00B9583A"/>
    <w:rsid w:val="00B96F92"/>
    <w:rsid w:val="00BA08A9"/>
    <w:rsid w:val="00BA704D"/>
    <w:rsid w:val="00BB5459"/>
    <w:rsid w:val="00BB72EC"/>
    <w:rsid w:val="00BC12AB"/>
    <w:rsid w:val="00BC14DD"/>
    <w:rsid w:val="00BC55E6"/>
    <w:rsid w:val="00BD3148"/>
    <w:rsid w:val="00BD590E"/>
    <w:rsid w:val="00BD674C"/>
    <w:rsid w:val="00BE1BA8"/>
    <w:rsid w:val="00BF5583"/>
    <w:rsid w:val="00BF6D78"/>
    <w:rsid w:val="00BF76CC"/>
    <w:rsid w:val="00C000D2"/>
    <w:rsid w:val="00C05DAA"/>
    <w:rsid w:val="00C06430"/>
    <w:rsid w:val="00C1562E"/>
    <w:rsid w:val="00C15983"/>
    <w:rsid w:val="00C2286C"/>
    <w:rsid w:val="00C25004"/>
    <w:rsid w:val="00C305B0"/>
    <w:rsid w:val="00C31EF3"/>
    <w:rsid w:val="00C34048"/>
    <w:rsid w:val="00C365BC"/>
    <w:rsid w:val="00C37D83"/>
    <w:rsid w:val="00C442CC"/>
    <w:rsid w:val="00C44435"/>
    <w:rsid w:val="00C513C8"/>
    <w:rsid w:val="00C53548"/>
    <w:rsid w:val="00C53939"/>
    <w:rsid w:val="00C56766"/>
    <w:rsid w:val="00C5687D"/>
    <w:rsid w:val="00C60D7B"/>
    <w:rsid w:val="00C62165"/>
    <w:rsid w:val="00C621C0"/>
    <w:rsid w:val="00C63211"/>
    <w:rsid w:val="00C6603A"/>
    <w:rsid w:val="00C66F5C"/>
    <w:rsid w:val="00C6715E"/>
    <w:rsid w:val="00C81FAE"/>
    <w:rsid w:val="00C85627"/>
    <w:rsid w:val="00C87C96"/>
    <w:rsid w:val="00C9299C"/>
    <w:rsid w:val="00C92E76"/>
    <w:rsid w:val="00CA2EDF"/>
    <w:rsid w:val="00CA4781"/>
    <w:rsid w:val="00CA5251"/>
    <w:rsid w:val="00CA7888"/>
    <w:rsid w:val="00CB1950"/>
    <w:rsid w:val="00CB618C"/>
    <w:rsid w:val="00CC02FC"/>
    <w:rsid w:val="00CC127F"/>
    <w:rsid w:val="00CC2B66"/>
    <w:rsid w:val="00CC2D84"/>
    <w:rsid w:val="00CC5DE1"/>
    <w:rsid w:val="00CC6817"/>
    <w:rsid w:val="00CD3383"/>
    <w:rsid w:val="00CD3D17"/>
    <w:rsid w:val="00CD4EB8"/>
    <w:rsid w:val="00CD590D"/>
    <w:rsid w:val="00CD61FD"/>
    <w:rsid w:val="00CD6EE9"/>
    <w:rsid w:val="00CD70CD"/>
    <w:rsid w:val="00CE34C8"/>
    <w:rsid w:val="00CE46EF"/>
    <w:rsid w:val="00CE78B3"/>
    <w:rsid w:val="00CF2247"/>
    <w:rsid w:val="00CF48EF"/>
    <w:rsid w:val="00D02960"/>
    <w:rsid w:val="00D11D58"/>
    <w:rsid w:val="00D14BF4"/>
    <w:rsid w:val="00D15C80"/>
    <w:rsid w:val="00D16D40"/>
    <w:rsid w:val="00D20900"/>
    <w:rsid w:val="00D30357"/>
    <w:rsid w:val="00D30A43"/>
    <w:rsid w:val="00D30D33"/>
    <w:rsid w:val="00D3654C"/>
    <w:rsid w:val="00D369B9"/>
    <w:rsid w:val="00D37A57"/>
    <w:rsid w:val="00D40411"/>
    <w:rsid w:val="00D47AEF"/>
    <w:rsid w:val="00D56CC6"/>
    <w:rsid w:val="00D617F1"/>
    <w:rsid w:val="00D61F0F"/>
    <w:rsid w:val="00D62E6E"/>
    <w:rsid w:val="00D6335E"/>
    <w:rsid w:val="00D63741"/>
    <w:rsid w:val="00D64121"/>
    <w:rsid w:val="00D6434C"/>
    <w:rsid w:val="00D64DB7"/>
    <w:rsid w:val="00D652A6"/>
    <w:rsid w:val="00D7043A"/>
    <w:rsid w:val="00D7116B"/>
    <w:rsid w:val="00D80A0E"/>
    <w:rsid w:val="00D8182D"/>
    <w:rsid w:val="00D82344"/>
    <w:rsid w:val="00D84AC4"/>
    <w:rsid w:val="00D87F40"/>
    <w:rsid w:val="00D90C16"/>
    <w:rsid w:val="00D93578"/>
    <w:rsid w:val="00D959D3"/>
    <w:rsid w:val="00D95DD3"/>
    <w:rsid w:val="00D968D0"/>
    <w:rsid w:val="00DA0C83"/>
    <w:rsid w:val="00DA3AEF"/>
    <w:rsid w:val="00DA692C"/>
    <w:rsid w:val="00DA6973"/>
    <w:rsid w:val="00DA6D5D"/>
    <w:rsid w:val="00DA7F74"/>
    <w:rsid w:val="00DB1347"/>
    <w:rsid w:val="00DB1879"/>
    <w:rsid w:val="00DB39F0"/>
    <w:rsid w:val="00DB48C7"/>
    <w:rsid w:val="00DB5EE5"/>
    <w:rsid w:val="00DC4891"/>
    <w:rsid w:val="00DC6924"/>
    <w:rsid w:val="00DC6CE2"/>
    <w:rsid w:val="00DD30B1"/>
    <w:rsid w:val="00DE2C2A"/>
    <w:rsid w:val="00DE4DE8"/>
    <w:rsid w:val="00DE6EDC"/>
    <w:rsid w:val="00DF0187"/>
    <w:rsid w:val="00DF0CF6"/>
    <w:rsid w:val="00DF49D8"/>
    <w:rsid w:val="00DF54C5"/>
    <w:rsid w:val="00DF5526"/>
    <w:rsid w:val="00DF60D7"/>
    <w:rsid w:val="00DF74FF"/>
    <w:rsid w:val="00E00FEC"/>
    <w:rsid w:val="00E02EF0"/>
    <w:rsid w:val="00E05C0F"/>
    <w:rsid w:val="00E113C3"/>
    <w:rsid w:val="00E13F86"/>
    <w:rsid w:val="00E15C2C"/>
    <w:rsid w:val="00E22055"/>
    <w:rsid w:val="00E25CCA"/>
    <w:rsid w:val="00E33DB4"/>
    <w:rsid w:val="00E35788"/>
    <w:rsid w:val="00E36402"/>
    <w:rsid w:val="00E46B2E"/>
    <w:rsid w:val="00E51E9D"/>
    <w:rsid w:val="00E551E1"/>
    <w:rsid w:val="00E55450"/>
    <w:rsid w:val="00E56135"/>
    <w:rsid w:val="00E615AF"/>
    <w:rsid w:val="00E615DE"/>
    <w:rsid w:val="00E65C2F"/>
    <w:rsid w:val="00E66EA2"/>
    <w:rsid w:val="00E72622"/>
    <w:rsid w:val="00E77974"/>
    <w:rsid w:val="00E82530"/>
    <w:rsid w:val="00E84AC0"/>
    <w:rsid w:val="00E94613"/>
    <w:rsid w:val="00E94AB1"/>
    <w:rsid w:val="00E94D84"/>
    <w:rsid w:val="00EA75FC"/>
    <w:rsid w:val="00EA776F"/>
    <w:rsid w:val="00EB03E3"/>
    <w:rsid w:val="00EB6CE5"/>
    <w:rsid w:val="00EB7570"/>
    <w:rsid w:val="00EC0A95"/>
    <w:rsid w:val="00EC2F3E"/>
    <w:rsid w:val="00EC75DB"/>
    <w:rsid w:val="00ED5B55"/>
    <w:rsid w:val="00ED6047"/>
    <w:rsid w:val="00ED65C8"/>
    <w:rsid w:val="00ED769C"/>
    <w:rsid w:val="00EE0E86"/>
    <w:rsid w:val="00EE12DE"/>
    <w:rsid w:val="00EE18B4"/>
    <w:rsid w:val="00EE48B1"/>
    <w:rsid w:val="00EE63EB"/>
    <w:rsid w:val="00EE709F"/>
    <w:rsid w:val="00EF3E99"/>
    <w:rsid w:val="00EF459C"/>
    <w:rsid w:val="00EF4988"/>
    <w:rsid w:val="00EF67B1"/>
    <w:rsid w:val="00F001D5"/>
    <w:rsid w:val="00F028CC"/>
    <w:rsid w:val="00F04186"/>
    <w:rsid w:val="00F06C29"/>
    <w:rsid w:val="00F1213A"/>
    <w:rsid w:val="00F13AF1"/>
    <w:rsid w:val="00F14071"/>
    <w:rsid w:val="00F150DC"/>
    <w:rsid w:val="00F1777B"/>
    <w:rsid w:val="00F25200"/>
    <w:rsid w:val="00F260ED"/>
    <w:rsid w:val="00F26EA3"/>
    <w:rsid w:val="00F301C1"/>
    <w:rsid w:val="00F3216F"/>
    <w:rsid w:val="00F34B60"/>
    <w:rsid w:val="00F42EEA"/>
    <w:rsid w:val="00F432B1"/>
    <w:rsid w:val="00F466C2"/>
    <w:rsid w:val="00F46738"/>
    <w:rsid w:val="00F470DE"/>
    <w:rsid w:val="00F47C50"/>
    <w:rsid w:val="00F504A6"/>
    <w:rsid w:val="00F51870"/>
    <w:rsid w:val="00F548EC"/>
    <w:rsid w:val="00F559FC"/>
    <w:rsid w:val="00F61BDC"/>
    <w:rsid w:val="00F62AF1"/>
    <w:rsid w:val="00F6460A"/>
    <w:rsid w:val="00F64886"/>
    <w:rsid w:val="00F66BBB"/>
    <w:rsid w:val="00F670F8"/>
    <w:rsid w:val="00F6790B"/>
    <w:rsid w:val="00F67D0B"/>
    <w:rsid w:val="00F71752"/>
    <w:rsid w:val="00F77BB2"/>
    <w:rsid w:val="00F841B9"/>
    <w:rsid w:val="00F844BB"/>
    <w:rsid w:val="00F92846"/>
    <w:rsid w:val="00F9529C"/>
    <w:rsid w:val="00F966F6"/>
    <w:rsid w:val="00FA07F2"/>
    <w:rsid w:val="00FA0C15"/>
    <w:rsid w:val="00FA56F2"/>
    <w:rsid w:val="00FB40D3"/>
    <w:rsid w:val="00FB4B3C"/>
    <w:rsid w:val="00FC0845"/>
    <w:rsid w:val="00FC0A11"/>
    <w:rsid w:val="00FC0A18"/>
    <w:rsid w:val="00FC1C6F"/>
    <w:rsid w:val="00FC239A"/>
    <w:rsid w:val="00FC2865"/>
    <w:rsid w:val="00FC6031"/>
    <w:rsid w:val="00FC79B0"/>
    <w:rsid w:val="00FD234D"/>
    <w:rsid w:val="00FD6A10"/>
    <w:rsid w:val="00FD6E09"/>
    <w:rsid w:val="00FE18A4"/>
    <w:rsid w:val="00FE39D3"/>
    <w:rsid w:val="00FE442E"/>
    <w:rsid w:val="00FE631D"/>
    <w:rsid w:val="00FE7081"/>
    <w:rsid w:val="00FF4397"/>
    <w:rsid w:val="00FF6AC9"/>
    <w:rsid w:val="00FF70E6"/>
    <w:rsid w:val="016B1604"/>
    <w:rsid w:val="02B14AC2"/>
    <w:rsid w:val="02F36D53"/>
    <w:rsid w:val="095E0062"/>
    <w:rsid w:val="0A5D2A35"/>
    <w:rsid w:val="0DCF135D"/>
    <w:rsid w:val="0DF4038D"/>
    <w:rsid w:val="10A12030"/>
    <w:rsid w:val="14434DE2"/>
    <w:rsid w:val="1456290A"/>
    <w:rsid w:val="154F4D2E"/>
    <w:rsid w:val="1A271677"/>
    <w:rsid w:val="1AB72325"/>
    <w:rsid w:val="1B322E9D"/>
    <w:rsid w:val="1CB537BF"/>
    <w:rsid w:val="2060328A"/>
    <w:rsid w:val="207062FA"/>
    <w:rsid w:val="238D65F2"/>
    <w:rsid w:val="23B13BC3"/>
    <w:rsid w:val="24216790"/>
    <w:rsid w:val="2798018D"/>
    <w:rsid w:val="28283DED"/>
    <w:rsid w:val="297E131F"/>
    <w:rsid w:val="2AB57703"/>
    <w:rsid w:val="2AD26E73"/>
    <w:rsid w:val="2F81291F"/>
    <w:rsid w:val="31D114C5"/>
    <w:rsid w:val="338A7C54"/>
    <w:rsid w:val="338E29E4"/>
    <w:rsid w:val="33E64C49"/>
    <w:rsid w:val="360144C0"/>
    <w:rsid w:val="390410E2"/>
    <w:rsid w:val="3C011FD7"/>
    <w:rsid w:val="3F3B502C"/>
    <w:rsid w:val="3FF02931"/>
    <w:rsid w:val="4015264A"/>
    <w:rsid w:val="48150D89"/>
    <w:rsid w:val="4D1D2795"/>
    <w:rsid w:val="4D8346C4"/>
    <w:rsid w:val="4E091D5D"/>
    <w:rsid w:val="4EEA0B18"/>
    <w:rsid w:val="508929ED"/>
    <w:rsid w:val="51E37F77"/>
    <w:rsid w:val="5A5826E7"/>
    <w:rsid w:val="5A595230"/>
    <w:rsid w:val="60120B78"/>
    <w:rsid w:val="63197505"/>
    <w:rsid w:val="66CB4E9E"/>
    <w:rsid w:val="675B5BBA"/>
    <w:rsid w:val="68553440"/>
    <w:rsid w:val="68797273"/>
    <w:rsid w:val="69B51125"/>
    <w:rsid w:val="6D5F55F9"/>
    <w:rsid w:val="6E5C2514"/>
    <w:rsid w:val="6EC36ABC"/>
    <w:rsid w:val="73067A60"/>
    <w:rsid w:val="73383794"/>
    <w:rsid w:val="73A723C2"/>
    <w:rsid w:val="75D11437"/>
    <w:rsid w:val="75FD530E"/>
    <w:rsid w:val="76D831EC"/>
    <w:rsid w:val="79C03107"/>
    <w:rsid w:val="7A921AC0"/>
    <w:rsid w:val="7B30023C"/>
    <w:rsid w:val="7CE40CFA"/>
    <w:rsid w:val="7ED64D43"/>
    <w:rsid w:val="7F0D6171"/>
    <w:rsid w:val="7F183BF0"/>
    <w:rsid w:val="7F576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0" w:lineRule="auto"/>
      <w:outlineLvl w:val="2"/>
    </w:pPr>
    <w:rPr>
      <w:b/>
      <w:bCs/>
      <w:sz w:val="32"/>
      <w:szCs w:val="32"/>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toc 5"/>
    <w:basedOn w:val="1"/>
    <w:next w:val="1"/>
    <w:qFormat/>
    <w:uiPriority w:val="39"/>
    <w:pPr>
      <w:ind w:left="840"/>
      <w:jc w:val="left"/>
    </w:pPr>
    <w:rPr>
      <w:sz w:val="18"/>
      <w:szCs w:val="18"/>
    </w:rPr>
  </w:style>
  <w:style w:type="paragraph" w:styleId="11">
    <w:name w:val="toc 3"/>
    <w:basedOn w:val="1"/>
    <w:next w:val="1"/>
    <w:qFormat/>
    <w:uiPriority w:val="39"/>
    <w:pPr>
      <w:ind w:left="420"/>
      <w:jc w:val="left"/>
    </w:pPr>
    <w:rPr>
      <w:i/>
      <w:iCs/>
      <w:sz w:val="20"/>
      <w:szCs w:val="20"/>
    </w:rPr>
  </w:style>
  <w:style w:type="paragraph" w:styleId="12">
    <w:name w:val="toc 8"/>
    <w:basedOn w:val="1"/>
    <w:next w:val="1"/>
    <w:qFormat/>
    <w:uiPriority w:val="39"/>
    <w:pPr>
      <w:ind w:left="1470"/>
      <w:jc w:val="left"/>
    </w:pPr>
    <w:rPr>
      <w:sz w:val="18"/>
      <w:szCs w:val="18"/>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before="120" w:after="120"/>
      <w:jc w:val="left"/>
    </w:pPr>
    <w:rPr>
      <w:rFonts w:ascii="仿宋_GB2312" w:eastAsia="仿宋_GB2312"/>
      <w:b/>
      <w:bCs/>
      <w:caps/>
      <w:sz w:val="28"/>
      <w:szCs w:val="28"/>
    </w:rPr>
  </w:style>
  <w:style w:type="paragraph" w:styleId="19">
    <w:name w:val="toc 4"/>
    <w:basedOn w:val="1"/>
    <w:next w:val="1"/>
    <w:qFormat/>
    <w:uiPriority w:val="39"/>
    <w:pPr>
      <w:ind w:left="630"/>
      <w:jc w:val="left"/>
    </w:pPr>
    <w:rPr>
      <w:sz w:val="18"/>
      <w:szCs w:val="18"/>
    </w:rPr>
  </w:style>
  <w:style w:type="paragraph" w:styleId="20">
    <w:name w:val="footnote text"/>
    <w:basedOn w:val="1"/>
    <w:semiHidden/>
    <w:qFormat/>
    <w:uiPriority w:val="0"/>
    <w:pPr>
      <w:snapToGrid w:val="0"/>
      <w:jc w:val="left"/>
    </w:pPr>
    <w:rPr>
      <w:sz w:val="18"/>
      <w:szCs w:val="18"/>
    </w:rPr>
  </w:style>
  <w:style w:type="paragraph" w:styleId="21">
    <w:name w:val="toc 6"/>
    <w:basedOn w:val="1"/>
    <w:next w:val="1"/>
    <w:qFormat/>
    <w:uiPriority w:val="39"/>
    <w:pPr>
      <w:ind w:left="1050"/>
      <w:jc w:val="left"/>
    </w:pPr>
    <w:rPr>
      <w:sz w:val="18"/>
      <w:szCs w:val="18"/>
    </w:rPr>
  </w:style>
  <w:style w:type="paragraph" w:styleId="22">
    <w:name w:val="Body Text Indent 3"/>
    <w:basedOn w:val="1"/>
    <w:qFormat/>
    <w:uiPriority w:val="0"/>
    <w:pPr>
      <w:spacing w:line="300" w:lineRule="auto"/>
      <w:ind w:firstLine="640" w:firstLineChars="200"/>
    </w:pPr>
    <w:rPr>
      <w:rFonts w:eastAsia="仿宋_GB2312"/>
      <w:sz w:val="32"/>
    </w:rPr>
  </w:style>
  <w:style w:type="paragraph" w:styleId="23">
    <w:name w:val="toc 2"/>
    <w:basedOn w:val="1"/>
    <w:next w:val="1"/>
    <w:qFormat/>
    <w:uiPriority w:val="39"/>
    <w:pPr>
      <w:ind w:left="210"/>
      <w:jc w:val="left"/>
    </w:pPr>
    <w:rPr>
      <w:smallCaps/>
      <w:sz w:val="20"/>
      <w:szCs w:val="20"/>
    </w:rPr>
  </w:style>
  <w:style w:type="paragraph" w:styleId="24">
    <w:name w:val="toc 9"/>
    <w:basedOn w:val="1"/>
    <w:next w:val="1"/>
    <w:qFormat/>
    <w:uiPriority w:val="39"/>
    <w:pPr>
      <w:ind w:left="1680"/>
      <w:jc w:val="left"/>
    </w:pPr>
    <w:rPr>
      <w:sz w:val="18"/>
      <w:szCs w:val="1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7"/>
    <w:next w:val="7"/>
    <w:semiHidden/>
    <w:qFormat/>
    <w:uiPriority w:val="0"/>
    <w:rPr>
      <w:b/>
      <w:bCs/>
    </w:r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5">
    <w:name w:val="样式 样式 标题 1 + (符号) 宋体 小四 + 行距: 1.5 倍行距"/>
    <w:basedOn w:val="1"/>
    <w:qFormat/>
    <w:uiPriority w:val="0"/>
    <w:pPr>
      <w:keepNext/>
      <w:keepLines/>
      <w:spacing w:before="260" w:after="260" w:line="360" w:lineRule="auto"/>
      <w:jc w:val="center"/>
      <w:outlineLvl w:val="0"/>
    </w:pPr>
    <w:rPr>
      <w:rFonts w:ascii="黑体" w:hAnsi="宋体" w:eastAsia="黑体" w:cs="宋体"/>
      <w:kern w:val="44"/>
      <w:sz w:val="30"/>
      <w:szCs w:val="20"/>
    </w:rPr>
  </w:style>
  <w:style w:type="paragraph" w:customStyle="1" w:styleId="3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7">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40">
    <w:name w:val="页眉 Char"/>
    <w:link w:val="17"/>
    <w:qFormat/>
    <w:uiPriority w:val="99"/>
    <w:rPr>
      <w:kern w:val="2"/>
      <w:sz w:val="18"/>
      <w:szCs w:val="18"/>
    </w:rPr>
  </w:style>
  <w:style w:type="character" w:customStyle="1" w:styleId="41">
    <w:name w:val="页脚 Char"/>
    <w:link w:val="16"/>
    <w:qFormat/>
    <w:uiPriority w:val="99"/>
    <w:rPr>
      <w:kern w:val="2"/>
      <w:sz w:val="18"/>
      <w:szCs w:val="18"/>
    </w:rPr>
  </w:style>
  <w:style w:type="character" w:customStyle="1" w:styleId="42">
    <w:name w:val="标题 2 Char"/>
    <w:link w:val="3"/>
    <w:qFormat/>
    <w:uiPriority w:val="0"/>
    <w:rPr>
      <w:rFonts w:ascii="Arial" w:hAnsi="Arial" w:eastAsia="黑体"/>
      <w:b/>
      <w:bCs/>
      <w:sz w:val="32"/>
      <w:szCs w:val="32"/>
    </w:rPr>
  </w:style>
  <w:style w:type="character" w:customStyle="1" w:styleId="43">
    <w:name w:val="font51"/>
    <w:basedOn w:val="28"/>
    <w:qFormat/>
    <w:uiPriority w:val="0"/>
    <w:rPr>
      <w:rFonts w:hint="eastAsia" w:ascii="黑体" w:hAnsi="宋体" w:eastAsia="黑体" w:cs="黑体"/>
      <w:color w:val="000000"/>
      <w:sz w:val="36"/>
      <w:szCs w:val="36"/>
      <w:u w:val="single"/>
    </w:rPr>
  </w:style>
  <w:style w:type="character" w:customStyle="1" w:styleId="44">
    <w:name w:val="font01"/>
    <w:basedOn w:val="28"/>
    <w:qFormat/>
    <w:uiPriority w:val="0"/>
    <w:rPr>
      <w:rFonts w:hint="eastAsia" w:ascii="黑体" w:hAnsi="宋体" w:eastAsia="黑体" w:cs="黑体"/>
      <w:color w:val="000000"/>
      <w:sz w:val="36"/>
      <w:szCs w:val="36"/>
      <w:u w:val="none"/>
    </w:rPr>
  </w:style>
  <w:style w:type="character" w:customStyle="1" w:styleId="45">
    <w:name w:val="font31"/>
    <w:basedOn w:val="28"/>
    <w:qFormat/>
    <w:uiPriority w:val="0"/>
    <w:rPr>
      <w:rFonts w:hint="eastAsia" w:ascii="宋体" w:hAnsi="宋体" w:eastAsia="宋体" w:cs="宋体"/>
      <w:b/>
      <w:color w:val="000000"/>
      <w:sz w:val="30"/>
      <w:szCs w:val="30"/>
      <w:u w:val="single"/>
    </w:rPr>
  </w:style>
  <w:style w:type="character" w:customStyle="1" w:styleId="46">
    <w:name w:val="font21"/>
    <w:basedOn w:val="28"/>
    <w:qFormat/>
    <w:uiPriority w:val="0"/>
    <w:rPr>
      <w:rFonts w:hint="eastAsia" w:ascii="宋体" w:hAnsi="宋体" w:eastAsia="宋体" w:cs="宋体"/>
      <w:b/>
      <w:color w:val="000000"/>
      <w:sz w:val="30"/>
      <w:szCs w:val="30"/>
      <w:u w:val="none"/>
    </w:rPr>
  </w:style>
  <w:style w:type="character" w:customStyle="1" w:styleId="47">
    <w:name w:val="font11"/>
    <w:basedOn w:val="28"/>
    <w:qFormat/>
    <w:uiPriority w:val="0"/>
    <w:rPr>
      <w:rFonts w:hint="eastAsia" w:ascii="宋体" w:hAnsi="宋体" w:eastAsia="宋体" w:cs="宋体"/>
      <w:color w:val="FF0000"/>
      <w:sz w:val="24"/>
      <w:szCs w:val="24"/>
      <w:u w:val="none"/>
    </w:rPr>
  </w:style>
  <w:style w:type="paragraph" w:customStyle="1" w:styleId="48">
    <w:name w:val="11"/>
    <w:basedOn w:val="1"/>
    <w:qFormat/>
    <w:uiPriority w:val="0"/>
    <w:pPr>
      <w:ind w:firstLine="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18400</Words>
  <Characters>19504</Characters>
  <Lines>159</Lines>
  <Paragraphs>44</Paragraphs>
  <TotalTime>20</TotalTime>
  <ScaleCrop>false</ScaleCrop>
  <LinksUpToDate>false</LinksUpToDate>
  <CharactersWithSpaces>19845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2019-08-23T08:46:00Z</dcterms:created>
  <dc:creator>user</dc:creator>
  <cp:lastModifiedBy>qianjun  yuan</cp:lastModifiedBy>
  <cp:lastPrinted>2021-01-26T01:35:00Z</cp:lastPrinted>
  <dcterms:modified xsi:type="dcterms:W3CDTF">2022-04-07T01:34:07Z</dcterms:modified>
  <dc:title>前  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SaveFontToCloudKey">
    <vt:lpwstr>2536821_cloud</vt:lpwstr>
  </property>
  <property fmtid="{D5CDD505-2E9C-101B-9397-08002B2CF9AE}" pid="4" name="ICV">
    <vt:lpwstr>E9D3EDA688A144448FD16045663553A0</vt:lpwstr>
  </property>
</Properties>
</file>