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如皋市2023年度农业保险项目</w:t>
      </w:r>
    </w:p>
    <w:p>
      <w:pPr>
        <w:pageBreakBefore w:val="0"/>
        <w:widowControl/>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绩效评价报告</w:t>
      </w:r>
    </w:p>
    <w:p>
      <w:pPr>
        <w:pageBreakBefore w:val="0"/>
        <w:widowControl/>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Cs/>
          <w:color w:val="000000"/>
          <w:sz w:val="32"/>
          <w:szCs w:val="32"/>
          <w:highlight w:val="none"/>
          <w:lang w:eastAsia="zh-CN"/>
        </w:rPr>
      </w:pPr>
      <w:bookmarkStart w:id="0" w:name="_Toc75779281"/>
      <w:r>
        <w:rPr>
          <w:rFonts w:hint="eastAsia" w:ascii="仿宋_GB2312" w:hAnsi="宋体" w:eastAsia="仿宋_GB2312"/>
          <w:bCs/>
          <w:color w:val="000000"/>
          <w:sz w:val="32"/>
          <w:szCs w:val="32"/>
          <w:highlight w:val="none"/>
          <w:lang w:eastAsia="zh-CN"/>
        </w:rPr>
        <w:t>为积极推进绩效评价工作，衡量财政支出项目的执行情况和效率效果，增强预算部门绩效管理责任主体意识，根据《关于做好</w:t>
      </w:r>
      <w:r>
        <w:rPr>
          <w:rFonts w:hint="eastAsia" w:ascii="仿宋_GB2312" w:hAnsi="宋体" w:eastAsia="仿宋_GB2312"/>
          <w:bCs/>
          <w:color w:val="000000"/>
          <w:sz w:val="32"/>
          <w:szCs w:val="32"/>
          <w:highlight w:val="none"/>
          <w:lang w:val="en-US" w:eastAsia="zh-CN"/>
        </w:rPr>
        <w:t>2024年度预算绩效自评价工作的通知</w:t>
      </w:r>
      <w:r>
        <w:rPr>
          <w:rFonts w:hint="eastAsia" w:ascii="仿宋_GB2312" w:hAnsi="宋体" w:eastAsia="仿宋_GB2312"/>
          <w:bCs/>
          <w:color w:val="000000"/>
          <w:sz w:val="32"/>
          <w:szCs w:val="32"/>
          <w:highlight w:val="none"/>
          <w:lang w:eastAsia="zh-CN"/>
        </w:rPr>
        <w:t>》（皋财办〔202</w:t>
      </w:r>
      <w:r>
        <w:rPr>
          <w:rFonts w:hint="eastAsia" w:ascii="仿宋_GB2312" w:hAnsi="宋体" w:eastAsia="仿宋_GB2312"/>
          <w:bCs/>
          <w:color w:val="000000"/>
          <w:sz w:val="32"/>
          <w:szCs w:val="32"/>
          <w:highlight w:val="none"/>
          <w:lang w:val="en-US" w:eastAsia="zh-CN"/>
        </w:rPr>
        <w:t>4</w:t>
      </w:r>
      <w:r>
        <w:rPr>
          <w:rFonts w:hint="eastAsia" w:ascii="仿宋_GB2312" w:hAnsi="宋体" w:eastAsia="仿宋_GB2312"/>
          <w:bCs/>
          <w:color w:val="000000"/>
          <w:sz w:val="32"/>
          <w:szCs w:val="32"/>
          <w:highlight w:val="none"/>
          <w:lang w:eastAsia="zh-CN"/>
        </w:rPr>
        <w:t>〕</w:t>
      </w:r>
      <w:r>
        <w:rPr>
          <w:rFonts w:hint="eastAsia" w:ascii="仿宋_GB2312" w:hAnsi="宋体" w:eastAsia="仿宋_GB2312"/>
          <w:bCs/>
          <w:color w:val="000000"/>
          <w:sz w:val="32"/>
          <w:szCs w:val="32"/>
          <w:highlight w:val="none"/>
          <w:lang w:val="en-US" w:eastAsia="zh-CN"/>
        </w:rPr>
        <w:t>2</w:t>
      </w:r>
      <w:r>
        <w:rPr>
          <w:rFonts w:hint="eastAsia" w:ascii="仿宋_GB2312" w:hAnsi="宋体" w:eastAsia="仿宋_GB2312"/>
          <w:bCs/>
          <w:color w:val="000000"/>
          <w:sz w:val="32"/>
          <w:szCs w:val="32"/>
          <w:highlight w:val="none"/>
          <w:lang w:eastAsia="zh-CN"/>
        </w:rPr>
        <w:t>号）文件精神，我局组织对</w:t>
      </w:r>
      <w:r>
        <w:rPr>
          <w:rFonts w:hint="eastAsia" w:ascii="仿宋_GB2312" w:hAnsi="宋体" w:eastAsia="仿宋_GB2312"/>
          <w:bCs/>
          <w:color w:val="000000"/>
          <w:sz w:val="32"/>
          <w:szCs w:val="32"/>
          <w:highlight w:val="none"/>
          <w:lang w:val="en-US" w:eastAsia="zh-CN"/>
        </w:rPr>
        <w:t>2023</w:t>
      </w:r>
      <w:r>
        <w:rPr>
          <w:rFonts w:hint="eastAsia" w:ascii="仿宋_GB2312" w:hAnsi="宋体" w:eastAsia="仿宋_GB2312"/>
          <w:bCs/>
          <w:color w:val="000000"/>
          <w:sz w:val="32"/>
          <w:szCs w:val="32"/>
          <w:highlight w:val="none"/>
          <w:lang w:eastAsia="zh-CN"/>
        </w:rPr>
        <w:t>年农业保险项目进行绩效评价，经过自评材料审核、现场勘验评价、综合分析评价等评价程序，形成本绩效评价报告。</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项目开展</w:t>
      </w:r>
      <w:r>
        <w:rPr>
          <w:rFonts w:hint="eastAsia" w:ascii="黑体" w:hAnsi="黑体" w:eastAsia="黑体"/>
          <w:sz w:val="32"/>
          <w:szCs w:val="32"/>
        </w:rPr>
        <w:t>情况</w:t>
      </w:r>
      <w:bookmarkEnd w:id="0"/>
      <w:bookmarkStart w:id="1" w:name="_Toc75779282"/>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Cs/>
          <w:color w:val="000000"/>
          <w:sz w:val="32"/>
          <w:szCs w:val="32"/>
        </w:rPr>
      </w:pPr>
      <w:bookmarkStart w:id="2" w:name="_Toc75779290"/>
      <w:r>
        <w:rPr>
          <w:rFonts w:hint="eastAsia" w:ascii="仿宋_GB2312" w:hAnsi="宋体" w:eastAsia="仿宋_GB2312"/>
          <w:bCs/>
          <w:color w:val="000000"/>
          <w:sz w:val="32"/>
          <w:szCs w:val="32"/>
        </w:rPr>
        <w:t>20</w:t>
      </w:r>
      <w:r>
        <w:rPr>
          <w:rFonts w:hint="eastAsia" w:ascii="仿宋_GB2312" w:hAnsi="宋体" w:eastAsia="仿宋_GB2312"/>
          <w:bCs/>
          <w:color w:val="000000"/>
          <w:sz w:val="32"/>
          <w:szCs w:val="32"/>
          <w:lang w:val="en-US" w:eastAsia="zh-CN"/>
        </w:rPr>
        <w:t>23</w:t>
      </w:r>
      <w:r>
        <w:rPr>
          <w:rFonts w:hint="eastAsia" w:ascii="仿宋_GB2312" w:hAnsi="宋体" w:eastAsia="仿宋_GB2312"/>
          <w:bCs/>
          <w:color w:val="000000"/>
          <w:sz w:val="32"/>
          <w:szCs w:val="32"/>
        </w:rPr>
        <w:t>年</w:t>
      </w:r>
      <w:r>
        <w:rPr>
          <w:rFonts w:hint="eastAsia" w:ascii="仿宋_GB2312" w:hAnsi="宋体" w:eastAsia="仿宋_GB2312"/>
          <w:bCs/>
          <w:color w:val="000000"/>
          <w:sz w:val="32"/>
          <w:szCs w:val="32"/>
          <w:lang w:eastAsia="zh-CN"/>
        </w:rPr>
        <w:t>度</w:t>
      </w:r>
      <w:r>
        <w:rPr>
          <w:rFonts w:hint="eastAsia" w:ascii="仿宋_GB2312" w:hAnsi="宋体" w:eastAsia="仿宋_GB2312"/>
          <w:bCs/>
          <w:color w:val="000000"/>
          <w:sz w:val="32"/>
          <w:szCs w:val="32"/>
        </w:rPr>
        <w:t>，</w:t>
      </w:r>
      <w:r>
        <w:rPr>
          <w:rFonts w:hint="eastAsia" w:ascii="仿宋_GB2312" w:hAnsi="宋体" w:eastAsia="仿宋_GB2312"/>
          <w:bCs/>
          <w:color w:val="000000"/>
          <w:sz w:val="32"/>
          <w:szCs w:val="32"/>
          <w:highlight w:val="none"/>
          <w:lang w:eastAsia="zh-CN"/>
        </w:rPr>
        <w:t>如皋市农业保险</w:t>
      </w:r>
      <w:r>
        <w:rPr>
          <w:rFonts w:hint="eastAsia" w:ascii="仿宋_GB2312" w:hAnsi="宋体" w:eastAsia="仿宋_GB2312"/>
          <w:bCs/>
          <w:color w:val="000000"/>
          <w:sz w:val="32"/>
          <w:szCs w:val="32"/>
          <w:highlight w:val="none"/>
        </w:rPr>
        <w:t>共承保</w:t>
      </w:r>
      <w:r>
        <w:rPr>
          <w:rFonts w:hint="eastAsia" w:ascii="仿宋_GB2312" w:hAnsi="宋体" w:eastAsia="仿宋_GB2312"/>
          <w:bCs/>
          <w:color w:val="000000"/>
          <w:sz w:val="32"/>
          <w:szCs w:val="32"/>
          <w:highlight w:val="none"/>
          <w:lang w:eastAsia="zh-CN"/>
        </w:rPr>
        <w:t>省级以上财政奖补险种</w:t>
      </w:r>
      <w:r>
        <w:rPr>
          <w:rFonts w:hint="eastAsia" w:ascii="仿宋_GB2312" w:hAnsi="宋体" w:eastAsia="仿宋_GB2312"/>
          <w:bCs/>
          <w:color w:val="000000"/>
          <w:sz w:val="32"/>
          <w:szCs w:val="32"/>
          <w:highlight w:val="none"/>
          <w:lang w:val="en-US" w:eastAsia="zh-CN"/>
        </w:rPr>
        <w:t>36.7</w:t>
      </w:r>
      <w:r>
        <w:rPr>
          <w:rFonts w:hint="eastAsia" w:ascii="仿宋_GB2312" w:hAnsi="宋体" w:eastAsia="仿宋_GB2312"/>
          <w:bCs/>
          <w:color w:val="000000"/>
          <w:sz w:val="32"/>
          <w:szCs w:val="32"/>
          <w:highlight w:val="none"/>
        </w:rPr>
        <w:t>万户次，</w:t>
      </w:r>
      <w:r>
        <w:rPr>
          <w:rFonts w:hint="eastAsia" w:ascii="仿宋_GB2312" w:hAnsi="宋体" w:eastAsia="仿宋_GB2312"/>
          <w:bCs/>
          <w:color w:val="000000"/>
          <w:sz w:val="32"/>
          <w:szCs w:val="32"/>
          <w:highlight w:val="none"/>
          <w:lang w:eastAsia="zh-CN"/>
        </w:rPr>
        <w:t>完成</w:t>
      </w:r>
      <w:r>
        <w:rPr>
          <w:rFonts w:hint="eastAsia" w:ascii="仿宋_GB2312" w:hAnsi="宋体" w:eastAsia="仿宋_GB2312"/>
          <w:bCs/>
          <w:color w:val="000000"/>
          <w:sz w:val="32"/>
          <w:szCs w:val="32"/>
          <w:highlight w:val="none"/>
        </w:rPr>
        <w:t>农</w:t>
      </w:r>
      <w:r>
        <w:rPr>
          <w:rFonts w:hint="eastAsia" w:ascii="仿宋_GB2312" w:hAnsi="宋体" w:eastAsia="仿宋_GB2312"/>
          <w:bCs/>
          <w:color w:val="000000"/>
          <w:sz w:val="32"/>
          <w:szCs w:val="32"/>
          <w:highlight w:val="none"/>
          <w:lang w:eastAsia="zh-CN"/>
        </w:rPr>
        <w:t>业保险总</w:t>
      </w:r>
      <w:r>
        <w:rPr>
          <w:rFonts w:hint="eastAsia" w:ascii="仿宋_GB2312" w:hAnsi="宋体" w:eastAsia="仿宋_GB2312"/>
          <w:bCs/>
          <w:color w:val="000000"/>
          <w:sz w:val="32"/>
          <w:szCs w:val="32"/>
          <w:highlight w:val="none"/>
        </w:rPr>
        <w:t>保费</w:t>
      </w:r>
      <w:r>
        <w:rPr>
          <w:rFonts w:hint="eastAsia" w:ascii="仿宋_GB2312" w:hAnsi="宋体" w:eastAsia="仿宋_GB2312"/>
          <w:bCs/>
          <w:color w:val="000000"/>
          <w:sz w:val="32"/>
          <w:szCs w:val="32"/>
          <w:highlight w:val="none"/>
          <w:lang w:val="en-US" w:eastAsia="zh-CN"/>
        </w:rPr>
        <w:t>9544.61</w:t>
      </w:r>
      <w:r>
        <w:rPr>
          <w:rFonts w:hint="eastAsia" w:ascii="仿宋_GB2312" w:hAnsi="宋体" w:eastAsia="仿宋_GB2312"/>
          <w:bCs/>
          <w:color w:val="000000"/>
          <w:sz w:val="32"/>
          <w:szCs w:val="32"/>
          <w:highlight w:val="none"/>
        </w:rPr>
        <w:t>万元</w:t>
      </w:r>
      <w:r>
        <w:rPr>
          <w:rFonts w:hint="eastAsia" w:ascii="仿宋_GB2312" w:hAnsi="宋体" w:eastAsia="仿宋_GB2312"/>
          <w:bCs/>
          <w:color w:val="000000"/>
          <w:sz w:val="32"/>
          <w:szCs w:val="32"/>
          <w:highlight w:val="none"/>
          <w:lang w:eastAsia="zh-CN"/>
        </w:rPr>
        <w:t>，</w:t>
      </w:r>
      <w:r>
        <w:rPr>
          <w:rFonts w:hint="eastAsia" w:ascii="仿宋_GB2312" w:hAnsi="宋体" w:eastAsia="仿宋_GB2312"/>
          <w:bCs/>
          <w:color w:val="000000"/>
          <w:sz w:val="32"/>
          <w:szCs w:val="32"/>
          <w:highlight w:val="none"/>
          <w:lang w:val="en-US" w:eastAsia="zh-CN"/>
        </w:rPr>
        <w:t>同比增长15%。其中，</w:t>
      </w:r>
      <w:r>
        <w:rPr>
          <w:rFonts w:hint="eastAsia" w:ascii="仿宋_GB2312" w:hAnsi="宋体" w:eastAsia="仿宋_GB2312"/>
          <w:bCs/>
          <w:color w:val="000000"/>
          <w:sz w:val="32"/>
          <w:szCs w:val="32"/>
          <w:highlight w:val="none"/>
          <w:lang w:eastAsia="zh-CN"/>
        </w:rPr>
        <w:t>各级财政保费补贴</w:t>
      </w:r>
      <w:r>
        <w:rPr>
          <w:rFonts w:hint="eastAsia" w:ascii="仿宋_GB2312" w:hAnsi="宋体" w:eastAsia="仿宋_GB2312"/>
          <w:bCs/>
          <w:color w:val="000000"/>
          <w:sz w:val="32"/>
          <w:szCs w:val="32"/>
          <w:highlight w:val="none"/>
          <w:lang w:val="en-US" w:eastAsia="zh-CN"/>
        </w:rPr>
        <w:t>7310.7万元，占总保费比例77%，农户自缴保费2233.91万元，占总保费比例23%。按险种类别分类：</w:t>
      </w:r>
      <w:r>
        <w:rPr>
          <w:rFonts w:hint="eastAsia" w:ascii="仿宋_GB2312" w:hAnsi="宋体" w:eastAsia="仿宋_GB2312"/>
          <w:bCs/>
          <w:color w:val="000000"/>
          <w:sz w:val="32"/>
          <w:szCs w:val="32"/>
          <w:highlight w:val="none"/>
          <w:lang w:eastAsia="zh-CN"/>
        </w:rPr>
        <w:t>种植业保费</w:t>
      </w:r>
      <w:r>
        <w:rPr>
          <w:rFonts w:hint="eastAsia" w:ascii="仿宋_GB2312" w:hAnsi="宋体" w:eastAsia="仿宋_GB2312"/>
          <w:bCs/>
          <w:color w:val="000000"/>
          <w:sz w:val="32"/>
          <w:szCs w:val="32"/>
          <w:highlight w:val="none"/>
          <w:lang w:val="en-US" w:eastAsia="zh-CN"/>
        </w:rPr>
        <w:t>5102.63万元，养殖业保费1677.31万元，地方优势特色农产品、农业设施保费2608.51</w:t>
      </w:r>
      <w:r>
        <w:rPr>
          <w:rFonts w:hint="eastAsia" w:ascii="仿宋_GB2312" w:hAnsi="宋体" w:eastAsia="仿宋_GB2312"/>
          <w:bCs/>
          <w:color w:val="000000"/>
          <w:sz w:val="32"/>
          <w:szCs w:val="32"/>
          <w:highlight w:val="none"/>
        </w:rPr>
        <w:t>万元</w:t>
      </w:r>
      <w:r>
        <w:rPr>
          <w:rFonts w:hint="eastAsia" w:ascii="仿宋_GB2312" w:hAnsi="宋体" w:eastAsia="仿宋_GB2312"/>
          <w:bCs/>
          <w:color w:val="000000"/>
          <w:sz w:val="32"/>
          <w:szCs w:val="32"/>
          <w:highlight w:val="none"/>
          <w:lang w:eastAsia="zh-CN"/>
        </w:rPr>
        <w:t>，农业机械保费</w:t>
      </w:r>
      <w:r>
        <w:rPr>
          <w:rFonts w:hint="eastAsia" w:ascii="仿宋_GB2312" w:hAnsi="宋体" w:eastAsia="仿宋_GB2312"/>
          <w:bCs/>
          <w:color w:val="000000"/>
          <w:sz w:val="32"/>
          <w:szCs w:val="32"/>
          <w:highlight w:val="none"/>
          <w:lang w:val="en-US" w:eastAsia="zh-CN"/>
        </w:rPr>
        <w:t>156.17</w:t>
      </w:r>
      <w:r>
        <w:rPr>
          <w:rFonts w:hint="eastAsia" w:ascii="仿宋_GB2312" w:hAnsi="宋体" w:eastAsia="仿宋_GB2312"/>
          <w:bCs/>
          <w:color w:val="000000"/>
          <w:sz w:val="32"/>
          <w:szCs w:val="32"/>
          <w:lang w:val="en-US" w:eastAsia="zh-CN"/>
        </w:rPr>
        <w:t>万元。</w:t>
      </w:r>
      <w:r>
        <w:rPr>
          <w:rFonts w:hint="eastAsia" w:ascii="仿宋_GB2312" w:hAnsi="宋体" w:eastAsia="仿宋_GB2312"/>
          <w:bCs/>
          <w:color w:val="000000"/>
          <w:sz w:val="32"/>
          <w:szCs w:val="32"/>
        </w:rPr>
        <w:t>全年理赔</w:t>
      </w:r>
      <w:r>
        <w:rPr>
          <w:rFonts w:hint="eastAsia" w:ascii="仿宋_GB2312" w:hAnsi="宋体" w:eastAsia="仿宋_GB2312"/>
          <w:bCs/>
          <w:color w:val="000000"/>
          <w:sz w:val="32"/>
          <w:szCs w:val="32"/>
          <w:lang w:eastAsia="zh-CN"/>
        </w:rPr>
        <w:t>受益农户</w:t>
      </w:r>
      <w:r>
        <w:rPr>
          <w:rFonts w:hint="eastAsia" w:ascii="仿宋_GB2312" w:hAnsi="宋体" w:eastAsia="仿宋_GB2312"/>
          <w:bCs/>
          <w:color w:val="000000"/>
          <w:sz w:val="32"/>
          <w:szCs w:val="32"/>
          <w:lang w:val="en-US" w:eastAsia="zh-CN"/>
        </w:rPr>
        <w:t>6.56</w:t>
      </w:r>
      <w:r>
        <w:rPr>
          <w:rFonts w:hint="eastAsia" w:ascii="仿宋_GB2312" w:hAnsi="宋体" w:eastAsia="仿宋_GB2312"/>
          <w:bCs/>
          <w:color w:val="000000"/>
          <w:sz w:val="32"/>
          <w:szCs w:val="32"/>
        </w:rPr>
        <w:t>万户次，理赔金额</w:t>
      </w:r>
      <w:r>
        <w:rPr>
          <w:rFonts w:hint="eastAsia" w:ascii="仿宋_GB2312" w:hAnsi="宋体" w:eastAsia="仿宋_GB2312"/>
          <w:bCs/>
          <w:color w:val="000000"/>
          <w:sz w:val="32"/>
          <w:szCs w:val="32"/>
          <w:lang w:val="en-US" w:eastAsia="zh-CN"/>
        </w:rPr>
        <w:t>6197.47</w:t>
      </w:r>
      <w:r>
        <w:rPr>
          <w:rFonts w:hint="eastAsia" w:ascii="仿宋_GB2312" w:hAnsi="宋体" w:eastAsia="仿宋_GB2312"/>
          <w:bCs/>
          <w:color w:val="000000"/>
          <w:sz w:val="32"/>
          <w:szCs w:val="32"/>
        </w:rPr>
        <w:t>万元。</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ascii="黑体" w:hAnsi="黑体" w:eastAsia="黑体"/>
          <w:sz w:val="32"/>
          <w:szCs w:val="32"/>
          <w:lang w:eastAsia="zh-CN"/>
        </w:rPr>
        <w:t>资金安排及使用</w:t>
      </w:r>
      <w:r>
        <w:rPr>
          <w:rFonts w:hint="eastAsia" w:ascii="黑体" w:hAnsi="黑体" w:eastAsia="黑体"/>
          <w:sz w:val="32"/>
          <w:szCs w:val="32"/>
        </w:rPr>
        <w:t>情况</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宋体" w:eastAsia="仿宋_GB2312" w:cs="Times New Roman"/>
          <w:bCs/>
          <w:color w:val="000000"/>
          <w:kern w:val="2"/>
          <w:sz w:val="32"/>
          <w:szCs w:val="32"/>
          <w:lang w:val="en-US" w:eastAsia="zh-CN" w:bidi="ar-SA"/>
        </w:rPr>
      </w:pPr>
      <w:r>
        <w:rPr>
          <w:rFonts w:hint="eastAsia" w:ascii="仿宋_GB2312" w:hAnsi="宋体" w:eastAsia="仿宋_GB2312" w:cs="Times New Roman"/>
          <w:bCs/>
          <w:color w:val="000000"/>
          <w:kern w:val="2"/>
          <w:sz w:val="32"/>
          <w:szCs w:val="32"/>
          <w:lang w:val="en-US" w:eastAsia="zh-CN" w:bidi="ar-SA"/>
        </w:rPr>
        <w:t>2023年农业保险项目上级资金共5291万元，本级财政配套资金3000万元，共8291万元。实际使用上级资金5291万元，本级财政配套资金2</w:t>
      </w:r>
      <w:r>
        <w:rPr>
          <w:rFonts w:hint="eastAsia" w:ascii="仿宋_GB2312" w:eastAsia="仿宋_GB2312" w:cs="Times New Roman"/>
          <w:bCs/>
          <w:color w:val="000000"/>
          <w:kern w:val="2"/>
          <w:sz w:val="32"/>
          <w:szCs w:val="32"/>
          <w:lang w:val="en-US" w:eastAsia="zh-CN" w:bidi="ar-SA"/>
        </w:rPr>
        <w:t>179.49</w:t>
      </w:r>
      <w:r>
        <w:rPr>
          <w:rFonts w:hint="eastAsia" w:ascii="仿宋_GB2312" w:hAnsi="宋体" w:eastAsia="仿宋_GB2312" w:cs="Times New Roman"/>
          <w:bCs/>
          <w:color w:val="000000"/>
          <w:kern w:val="2"/>
          <w:sz w:val="32"/>
          <w:szCs w:val="32"/>
          <w:lang w:val="en-US" w:eastAsia="zh-CN" w:bidi="ar-SA"/>
        </w:rPr>
        <w:t>万元，共</w:t>
      </w:r>
      <w:r>
        <w:rPr>
          <w:rFonts w:hint="eastAsia" w:ascii="仿宋_GB2312" w:eastAsia="仿宋_GB2312" w:cs="Times New Roman"/>
          <w:bCs/>
          <w:color w:val="000000"/>
          <w:kern w:val="2"/>
          <w:sz w:val="32"/>
          <w:szCs w:val="32"/>
          <w:lang w:val="en-US" w:eastAsia="zh-CN" w:bidi="ar-SA"/>
        </w:rPr>
        <w:t>7470.49</w:t>
      </w:r>
      <w:r>
        <w:rPr>
          <w:rFonts w:hint="eastAsia" w:ascii="仿宋_GB2312" w:hAnsi="宋体" w:eastAsia="仿宋_GB2312" w:cs="Times New Roman"/>
          <w:bCs/>
          <w:color w:val="000000"/>
          <w:kern w:val="2"/>
          <w:sz w:val="32"/>
          <w:szCs w:val="32"/>
          <w:lang w:val="en-US" w:eastAsia="zh-CN" w:bidi="ar-SA"/>
        </w:rPr>
        <w:t>万元。</w:t>
      </w:r>
    </w:p>
    <w:p>
      <w:pPr>
        <w:pStyle w:val="5"/>
        <w:pageBreakBefore w:val="0"/>
        <w:kinsoku/>
        <w:wordWrap/>
        <w:overflowPunct/>
        <w:topLinePunct w:val="0"/>
        <w:autoSpaceDE/>
        <w:autoSpaceDN/>
        <w:bidi w:val="0"/>
        <w:adjustRightInd w:val="0"/>
        <w:snapToGrid w:val="0"/>
        <w:spacing w:before="0" w:after="0" w:line="56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lang w:eastAsia="zh-CN"/>
        </w:rPr>
        <w:t>三</w:t>
      </w:r>
      <w:r>
        <w:rPr>
          <w:rFonts w:hint="eastAsia" w:ascii="黑体" w:hAnsi="黑体" w:eastAsia="黑体"/>
          <w:b w:val="0"/>
          <w:bCs/>
          <w:sz w:val="32"/>
          <w:szCs w:val="32"/>
        </w:rPr>
        <w:t>、各项指标完成情况</w:t>
      </w:r>
      <w:bookmarkEnd w:id="2"/>
      <w:r>
        <w:rPr>
          <w:rFonts w:hint="eastAsia" w:ascii="黑体" w:hAnsi="黑体" w:eastAsia="黑体"/>
          <w:b w:val="0"/>
          <w:bCs/>
          <w:sz w:val="32"/>
          <w:szCs w:val="32"/>
        </w:rPr>
        <w:t xml:space="preserve"> </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仿宋_GB2312" w:hAnsi="宋体" w:eastAsia="仿宋_GB2312"/>
          <w:b w:val="0"/>
          <w:kern w:val="0"/>
          <w:sz w:val="32"/>
          <w:szCs w:val="32"/>
          <w:lang w:val="en-US" w:eastAsia="zh-CN"/>
        </w:rPr>
      </w:pPr>
      <w:bookmarkStart w:id="3" w:name="bookmark18"/>
      <w:bookmarkStart w:id="4" w:name="_Toc75779295"/>
      <w:r>
        <w:rPr>
          <w:rFonts w:hint="eastAsia" w:ascii="仿宋_GB2312" w:hAnsi="宋体" w:eastAsia="仿宋_GB2312"/>
          <w:b w:val="0"/>
          <w:kern w:val="0"/>
          <w:sz w:val="32"/>
          <w:szCs w:val="32"/>
          <w:lang w:val="en-US" w:eastAsia="zh-CN"/>
        </w:rPr>
        <w:t>参照《江苏省政策性农业保险工作评价暂行办法》中的绩效考评指标及评分细则，结合财政预算绩效指标，各指标完成情况及得分情况如下：</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楷体" w:hAnsi="楷体" w:eastAsia="楷体"/>
          <w:sz w:val="32"/>
          <w:szCs w:val="32"/>
          <w:lang w:eastAsia="zh-CN"/>
        </w:rPr>
      </w:pPr>
      <w:r>
        <w:rPr>
          <w:rFonts w:hint="eastAsia" w:ascii="楷体" w:hAnsi="楷体" w:eastAsia="楷体"/>
          <w:sz w:val="32"/>
          <w:szCs w:val="32"/>
        </w:rPr>
        <w:t>（一）</w:t>
      </w:r>
      <w:r>
        <w:rPr>
          <w:rFonts w:hint="eastAsia" w:ascii="楷体" w:hAnsi="楷体" w:eastAsia="楷体"/>
          <w:sz w:val="32"/>
          <w:szCs w:val="32"/>
          <w:lang w:eastAsia="zh-CN"/>
        </w:rPr>
        <w:t>推进管理</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统筹管理</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仿宋_GB2312" w:hAnsi="宋体" w:eastAsia="仿宋_GB2312"/>
          <w:b w:val="0"/>
          <w:kern w:val="0"/>
          <w:sz w:val="32"/>
          <w:szCs w:val="32"/>
        </w:rPr>
      </w:pPr>
      <w:r>
        <w:rPr>
          <w:rFonts w:hint="eastAsia" w:ascii="仿宋_GB2312" w:hAnsi="宋体" w:eastAsia="仿宋_GB2312"/>
          <w:b w:val="0"/>
          <w:kern w:val="0"/>
          <w:sz w:val="32"/>
          <w:szCs w:val="32"/>
          <w:lang w:val="en-US" w:eastAsia="zh-CN"/>
        </w:rPr>
        <w:t>（1）政策落实。转发了《关于印发江苏省深入推进三大粮食作物完全成本保险和种植收入保险工作方案的通知》等政策文件，并多次召开农业保险工作会议，推动农业保险高质量发展。</w:t>
      </w:r>
      <w:r>
        <w:rPr>
          <w:rFonts w:hint="eastAsia" w:ascii="仿宋_GB2312" w:hAnsi="宋体" w:eastAsia="仿宋_GB2312"/>
          <w:b w:val="0"/>
          <w:kern w:val="0"/>
          <w:sz w:val="32"/>
          <w:szCs w:val="32"/>
        </w:rPr>
        <w:t>满分</w:t>
      </w:r>
      <w:r>
        <w:rPr>
          <w:rFonts w:hint="eastAsia" w:ascii="仿宋_GB2312" w:hAnsi="宋体" w:eastAsia="仿宋_GB2312"/>
          <w:b w:val="0"/>
          <w:kern w:val="0"/>
          <w:sz w:val="32"/>
          <w:szCs w:val="32"/>
          <w:lang w:val="en-US" w:eastAsia="zh-CN"/>
        </w:rPr>
        <w:t>4</w:t>
      </w:r>
      <w:r>
        <w:rPr>
          <w:rFonts w:hint="eastAsia" w:ascii="仿宋_GB2312" w:hAnsi="宋体" w:eastAsia="仿宋_GB2312"/>
          <w:b w:val="0"/>
          <w:kern w:val="0"/>
          <w:sz w:val="32"/>
          <w:szCs w:val="32"/>
        </w:rPr>
        <w:t>分，得分</w:t>
      </w:r>
      <w:r>
        <w:rPr>
          <w:rFonts w:hint="eastAsia" w:ascii="仿宋_GB2312" w:hAnsi="宋体" w:eastAsia="仿宋_GB2312"/>
          <w:b w:val="0"/>
          <w:kern w:val="0"/>
          <w:sz w:val="32"/>
          <w:szCs w:val="32"/>
          <w:lang w:val="en-US" w:eastAsia="zh-CN"/>
        </w:rPr>
        <w:t>4</w:t>
      </w:r>
      <w:r>
        <w:rPr>
          <w:rFonts w:hint="eastAsia" w:ascii="仿宋_GB2312" w:hAnsi="宋体" w:eastAsia="仿宋_GB2312"/>
          <w:b w:val="0"/>
          <w:kern w:val="0"/>
          <w:sz w:val="32"/>
          <w:szCs w:val="32"/>
        </w:rPr>
        <w:t>分。</w:t>
      </w:r>
    </w:p>
    <w:p>
      <w:pPr>
        <w:pStyle w:val="5"/>
        <w:pageBreakBefore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仿宋_GB2312" w:hAnsi="宋体" w:eastAsia="仿宋_GB2312"/>
          <w:b w:val="0"/>
          <w:kern w:val="0"/>
          <w:sz w:val="32"/>
          <w:szCs w:val="32"/>
          <w:lang w:val="en-US" w:eastAsia="zh-CN"/>
        </w:rPr>
      </w:pPr>
      <w:r>
        <w:rPr>
          <w:rFonts w:hint="eastAsia" w:ascii="仿宋_GB2312" w:hAnsi="宋体" w:eastAsia="仿宋_GB2312"/>
          <w:b w:val="0"/>
          <w:kern w:val="0"/>
          <w:sz w:val="32"/>
          <w:szCs w:val="32"/>
          <w:lang w:val="en-US" w:eastAsia="zh-CN"/>
        </w:rPr>
        <w:t>（2）部门协同。成立了如皋市农业保险工作小组，并明确了工作小组的主要职责和工作规则，推动农业保险工作有序有效开展。工作小组人员由市财政局、农业农村局、地方金融监督管理局、自然资源和规划局四个部门的分管领导或业务科长组成。满分3分，得分3分。</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（3）目标管理。我市出台了《关于印发&lt;如皋市农业农村系统2023年度目标责任制绩效考核实施办法的通知》，明确了</w:t>
      </w:r>
      <w:r>
        <w:rPr>
          <w:rFonts w:hint="eastAsia" w:ascii="仿宋_GB2312" w:hAnsi="宋体" w:eastAsia="仿宋_GB2312" w:cs="Times New Roman"/>
          <w:b w:val="0"/>
          <w:kern w:val="0"/>
          <w:sz w:val="32"/>
          <w:szCs w:val="32"/>
          <w:lang w:val="en-US" w:eastAsia="zh-CN" w:bidi="ar-SA"/>
        </w:rPr>
        <w:t>农业保险工作目标，</w:t>
      </w:r>
      <w:r>
        <w:rPr>
          <w:rFonts w:hint="eastAsia" w:ascii="仿宋_GB2312" w:eastAsia="仿宋_GB2312"/>
          <w:sz w:val="32"/>
          <w:szCs w:val="32"/>
          <w:lang w:val="en-US" w:eastAsia="zh-CN"/>
        </w:rPr>
        <w:t>并将目标细化、量化，确保我市农险工作有序开展。</w:t>
      </w:r>
      <w:r>
        <w:rPr>
          <w:rFonts w:hint="eastAsia" w:ascii="仿宋_GB2312" w:hAnsi="宋体" w:eastAsia="仿宋_GB2312"/>
          <w:b w:val="0"/>
          <w:kern w:val="0"/>
          <w:sz w:val="32"/>
          <w:szCs w:val="32"/>
          <w:lang w:val="en-US" w:eastAsia="zh-CN"/>
        </w:rPr>
        <w:t>满分3分，得分3分。</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资金管理</w:t>
      </w:r>
      <w:bookmarkStart w:id="5" w:name="_Toc75779286"/>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b w:val="0"/>
          <w:kern w:val="2"/>
          <w:sz w:val="32"/>
          <w:szCs w:val="32"/>
          <w:lang w:val="en-US" w:eastAsia="zh-CN"/>
        </w:rPr>
        <w:t>（1）管理制度。</w:t>
      </w:r>
      <w:r>
        <w:rPr>
          <w:rFonts w:hint="eastAsia" w:ascii="仿宋_GB2312" w:hAnsi="宋体" w:eastAsia="仿宋_GB2312"/>
          <w:b w:val="0"/>
          <w:kern w:val="0"/>
          <w:sz w:val="32"/>
          <w:szCs w:val="32"/>
          <w:lang w:val="en-US" w:eastAsia="zh-CN"/>
        </w:rPr>
        <w:t>出台了《关于公布全市农业保险财政奖补险种保费、费率、财政补贴和农户缴费比例执行标准的通知》(皋农发〔2022〕72号），让农户知晓我市农业保险</w:t>
      </w:r>
      <w:r>
        <w:rPr>
          <w:rFonts w:hint="eastAsia" w:ascii="仿宋_GB2312" w:eastAsia="仿宋_GB2312"/>
          <w:b w:val="0"/>
          <w:kern w:val="2"/>
          <w:sz w:val="32"/>
          <w:szCs w:val="32"/>
          <w:lang w:val="en-US" w:eastAsia="zh-CN"/>
        </w:rPr>
        <w:t>财政保费补贴政策。2023年度预算安排本级农险保费3000万元，</w:t>
      </w:r>
      <w:r>
        <w:rPr>
          <w:rFonts w:hint="eastAsia" w:ascii="仿宋_GB2312" w:eastAsia="仿宋_GB2312"/>
          <w:b w:val="0"/>
          <w:kern w:val="2"/>
          <w:sz w:val="32"/>
          <w:szCs w:val="32"/>
          <w:lang w:eastAsia="zh-CN"/>
        </w:rPr>
        <w:t>根据结算数据，我市本级需承担的农险保费为</w:t>
      </w:r>
      <w:r>
        <w:rPr>
          <w:rFonts w:hint="eastAsia" w:ascii="仿宋_GB2312" w:hAnsi="宋体" w:eastAsia="仿宋_GB2312" w:cs="Times New Roman"/>
          <w:bCs/>
          <w:color w:val="000000"/>
          <w:kern w:val="2"/>
          <w:sz w:val="32"/>
          <w:szCs w:val="32"/>
          <w:lang w:val="en-US" w:eastAsia="zh-CN" w:bidi="ar-SA"/>
        </w:rPr>
        <w:t>2</w:t>
      </w:r>
      <w:r>
        <w:rPr>
          <w:rFonts w:hint="eastAsia" w:ascii="仿宋_GB2312" w:eastAsia="仿宋_GB2312" w:cs="Times New Roman"/>
          <w:bCs/>
          <w:color w:val="000000"/>
          <w:kern w:val="2"/>
          <w:sz w:val="32"/>
          <w:szCs w:val="32"/>
          <w:lang w:val="en-US" w:eastAsia="zh-CN" w:bidi="ar-SA"/>
        </w:rPr>
        <w:t>179.49</w:t>
      </w:r>
      <w:r>
        <w:rPr>
          <w:rFonts w:hint="eastAsia" w:ascii="仿宋_GB2312" w:eastAsia="仿宋_GB2312"/>
          <w:b w:val="0"/>
          <w:kern w:val="2"/>
          <w:sz w:val="32"/>
          <w:szCs w:val="32"/>
          <w:lang w:val="en-US" w:eastAsia="zh-CN"/>
        </w:rPr>
        <w:t>万元，预算安排率137%。</w:t>
      </w:r>
      <w:r>
        <w:rPr>
          <w:rFonts w:hint="eastAsia" w:ascii="仿宋_GB2312" w:hAnsi="宋体" w:eastAsia="仿宋_GB2312"/>
          <w:b w:val="0"/>
          <w:kern w:val="0"/>
          <w:sz w:val="32"/>
          <w:szCs w:val="32"/>
          <w:lang w:val="en-US" w:eastAsia="zh-CN"/>
        </w:rPr>
        <w:t>满分3分，得分3分。</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b w:val="0"/>
          <w:kern w:val="0"/>
          <w:sz w:val="32"/>
          <w:szCs w:val="32"/>
          <w:lang w:val="en-US" w:eastAsia="zh-CN"/>
        </w:rPr>
      </w:pPr>
      <w:r>
        <w:rPr>
          <w:rFonts w:hint="eastAsia" w:ascii="仿宋_GB2312" w:eastAsia="仿宋_GB2312"/>
          <w:b w:val="0"/>
          <w:kern w:val="2"/>
          <w:sz w:val="32"/>
          <w:szCs w:val="32"/>
          <w:lang w:val="en-US" w:eastAsia="zh-CN"/>
        </w:rPr>
        <w:t>（2）审核拨付。</w:t>
      </w:r>
      <w:r>
        <w:rPr>
          <w:rFonts w:hint="eastAsia" w:ascii="仿宋_GB2312" w:eastAsia="仿宋_GB2312"/>
          <w:b w:val="0"/>
          <w:kern w:val="2"/>
          <w:sz w:val="32"/>
          <w:szCs w:val="32"/>
        </w:rPr>
        <w:t>市财政局严格落实农业保险保费补贴资金管理各项规定，及时</w:t>
      </w:r>
      <w:r>
        <w:rPr>
          <w:rFonts w:hint="eastAsia" w:ascii="仿宋_GB2312" w:eastAsia="仿宋_GB2312"/>
          <w:b w:val="0"/>
          <w:kern w:val="2"/>
          <w:sz w:val="32"/>
          <w:szCs w:val="32"/>
          <w:lang w:eastAsia="zh-CN"/>
        </w:rPr>
        <w:t>受理承保机构的保费补贴资金申请，并及时审核、足额拨付</w:t>
      </w:r>
      <w:r>
        <w:rPr>
          <w:rFonts w:hint="eastAsia" w:ascii="仿宋_GB2312" w:eastAsia="仿宋_GB2312"/>
          <w:b w:val="0"/>
          <w:kern w:val="2"/>
          <w:sz w:val="32"/>
          <w:szCs w:val="32"/>
        </w:rPr>
        <w:t>保费资金，</w:t>
      </w:r>
      <w:r>
        <w:rPr>
          <w:rFonts w:hint="eastAsia" w:ascii="仿宋_GB2312" w:eastAsia="仿宋_GB2312"/>
          <w:b w:val="0"/>
          <w:kern w:val="2"/>
          <w:sz w:val="32"/>
          <w:szCs w:val="32"/>
          <w:lang w:eastAsia="zh-CN"/>
        </w:rPr>
        <w:t>资金到位率</w:t>
      </w:r>
      <w:r>
        <w:rPr>
          <w:rFonts w:hint="eastAsia" w:ascii="仿宋_GB2312" w:eastAsia="仿宋_GB2312"/>
          <w:b w:val="0"/>
          <w:kern w:val="2"/>
          <w:sz w:val="32"/>
          <w:szCs w:val="32"/>
          <w:lang w:val="en-US" w:eastAsia="zh-CN"/>
        </w:rPr>
        <w:t>100%，资金执行率90%。</w:t>
      </w:r>
      <w:r>
        <w:rPr>
          <w:rFonts w:hint="eastAsia" w:ascii="仿宋_GB2312" w:hAnsi="宋体" w:eastAsia="仿宋_GB2312"/>
          <w:b w:val="0"/>
          <w:kern w:val="0"/>
          <w:sz w:val="32"/>
          <w:szCs w:val="32"/>
          <w:lang w:val="en-US" w:eastAsia="zh-CN"/>
        </w:rPr>
        <w:t>满分7分，得分5分。</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b w:val="0"/>
          <w:kern w:val="2"/>
          <w:sz w:val="32"/>
          <w:szCs w:val="32"/>
          <w:lang w:val="en-US" w:eastAsia="zh-CN"/>
        </w:rPr>
      </w:pPr>
      <w:r>
        <w:rPr>
          <w:rFonts w:hint="eastAsia" w:ascii="仿宋_GB2312" w:hAnsi="宋体" w:eastAsia="仿宋_GB2312"/>
          <w:b w:val="0"/>
          <w:kern w:val="0"/>
          <w:sz w:val="32"/>
          <w:szCs w:val="32"/>
          <w:lang w:val="en-US" w:eastAsia="zh-CN"/>
        </w:rPr>
        <w:t>（3）</w:t>
      </w:r>
      <w:r>
        <w:rPr>
          <w:rFonts w:hint="eastAsia" w:ascii="仿宋_GB2312" w:eastAsia="仿宋_GB2312"/>
          <w:b w:val="0"/>
          <w:kern w:val="2"/>
          <w:sz w:val="32"/>
          <w:szCs w:val="32"/>
          <w:lang w:val="en-US" w:eastAsia="zh-CN"/>
        </w:rPr>
        <w:t>监督检查。定期开展资金使用绩效评价、监督检查。建立了保费补贴备查账，及时反映补贴资金收支余情况。不存在截留、挤占、挪用保费补贴的现象。</w:t>
      </w:r>
      <w:bookmarkEnd w:id="5"/>
      <w:r>
        <w:rPr>
          <w:rFonts w:hint="eastAsia" w:ascii="仿宋_GB2312" w:eastAsia="仿宋_GB2312"/>
          <w:b w:val="0"/>
          <w:kern w:val="2"/>
          <w:sz w:val="32"/>
          <w:szCs w:val="32"/>
          <w:lang w:val="en-US" w:eastAsia="zh-CN"/>
        </w:rPr>
        <w:t>满分6分，得分6分。</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3.机构遴选</w:t>
      </w:r>
    </w:p>
    <w:bookmarkEnd w:id="3"/>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eastAsia="仿宋_GB2312"/>
          <w:bCs/>
          <w:sz w:val="32"/>
          <w:szCs w:val="32"/>
          <w:lang w:val="en-US"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落实责任。贯彻落实上级有关政策规定，充分吸纳农业保险工作小组成员单位意见建议，制定出台了《如皋市2023-2026年政策性农业保险承保机构遴选公开招标文件》。遴选文件及程序符合法律法规及政策规范，遵循公开、公平、公正原则</w:t>
      </w:r>
      <w:r>
        <w:rPr>
          <w:rFonts w:hint="eastAsia" w:ascii="仿宋_GB2312" w:eastAsia="仿宋_GB2312"/>
          <w:bCs/>
          <w:sz w:val="32"/>
          <w:szCs w:val="32"/>
        </w:rPr>
        <w:t>。</w:t>
      </w:r>
      <w:r>
        <w:rPr>
          <w:rFonts w:hint="eastAsia" w:ascii="仿宋_GB2312" w:eastAsia="仿宋_GB2312"/>
          <w:bCs/>
          <w:sz w:val="32"/>
          <w:szCs w:val="32"/>
          <w:lang w:val="en-US" w:eastAsia="zh-CN"/>
        </w:rPr>
        <w:t>满分5分，得分5分。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eastAsia="仿宋_GB2312"/>
          <w:bCs/>
          <w:sz w:val="32"/>
          <w:szCs w:val="32"/>
        </w:rPr>
      </w:pPr>
      <w:r>
        <w:rPr>
          <w:rFonts w:hint="eastAsia" w:ascii="仿宋_GB2312" w:eastAsia="仿宋_GB2312"/>
          <w:bCs/>
          <w:sz w:val="32"/>
          <w:szCs w:val="32"/>
          <w:lang w:val="en-US" w:eastAsia="zh-CN"/>
        </w:rPr>
        <w:t>（2）遴选方案落实。</w:t>
      </w:r>
      <w:r>
        <w:rPr>
          <w:rFonts w:hint="eastAsia" w:ascii="仿宋_GB2312" w:eastAsia="仿宋_GB2312"/>
          <w:bCs/>
          <w:sz w:val="32"/>
          <w:szCs w:val="32"/>
        </w:rPr>
        <w:t>按照遴选有关政策要求，结合</w:t>
      </w:r>
      <w:r>
        <w:rPr>
          <w:rFonts w:hint="eastAsia" w:ascii="仿宋_GB2312" w:eastAsia="仿宋_GB2312"/>
          <w:bCs/>
          <w:sz w:val="32"/>
          <w:szCs w:val="32"/>
          <w:lang w:eastAsia="zh-CN"/>
        </w:rPr>
        <w:t>我市</w:t>
      </w:r>
      <w:r>
        <w:rPr>
          <w:rFonts w:hint="eastAsia" w:ascii="仿宋_GB2312" w:eastAsia="仿宋_GB2312"/>
          <w:bCs/>
          <w:sz w:val="32"/>
          <w:szCs w:val="32"/>
        </w:rPr>
        <w:t>面积、保费规模确定</w:t>
      </w:r>
      <w:r>
        <w:rPr>
          <w:rFonts w:hint="eastAsia" w:ascii="仿宋_GB2312" w:eastAsia="仿宋_GB2312"/>
          <w:bCs/>
          <w:sz w:val="32"/>
          <w:szCs w:val="32"/>
          <w:lang w:eastAsia="zh-CN"/>
        </w:rPr>
        <w:t>遴选</w:t>
      </w:r>
      <w:r>
        <w:rPr>
          <w:rFonts w:hint="eastAsia" w:ascii="仿宋_GB2312" w:eastAsia="仿宋_GB2312"/>
          <w:bCs/>
          <w:sz w:val="32"/>
          <w:szCs w:val="32"/>
          <w:lang w:val="en-US" w:eastAsia="zh-CN"/>
        </w:rPr>
        <w:t>5家</w:t>
      </w:r>
      <w:r>
        <w:rPr>
          <w:rFonts w:hint="eastAsia" w:ascii="仿宋_GB2312" w:eastAsia="仿宋_GB2312"/>
          <w:bCs/>
          <w:sz w:val="32"/>
          <w:szCs w:val="32"/>
        </w:rPr>
        <w:t>承保机构</w:t>
      </w:r>
      <w:r>
        <w:rPr>
          <w:rFonts w:hint="eastAsia" w:ascii="仿宋_GB2312" w:eastAsia="仿宋_GB2312"/>
          <w:bCs/>
          <w:sz w:val="32"/>
          <w:szCs w:val="32"/>
          <w:lang w:eastAsia="zh-CN"/>
        </w:rPr>
        <w:t>，</w:t>
      </w:r>
      <w:r>
        <w:rPr>
          <w:rFonts w:hint="eastAsia" w:ascii="仿宋_GB2312" w:eastAsia="仿宋_GB2312"/>
          <w:bCs/>
          <w:sz w:val="32"/>
          <w:szCs w:val="32"/>
        </w:rPr>
        <w:t>鼓励竞争</w:t>
      </w:r>
      <w:r>
        <w:rPr>
          <w:rFonts w:hint="eastAsia" w:ascii="仿宋_GB2312" w:eastAsia="仿宋_GB2312"/>
          <w:bCs/>
          <w:sz w:val="32"/>
          <w:szCs w:val="32"/>
          <w:lang w:eastAsia="zh-CN"/>
        </w:rPr>
        <w:t>。</w:t>
      </w:r>
      <w:r>
        <w:rPr>
          <w:rFonts w:hint="eastAsia" w:ascii="仿宋_GB2312" w:eastAsia="仿宋_GB2312"/>
          <w:bCs/>
          <w:sz w:val="32"/>
          <w:szCs w:val="32"/>
        </w:rPr>
        <w:t>充分考虑农业产业结构资源禀赋特点，合理划分和确定承保范围和保险标的</w:t>
      </w:r>
      <w:r>
        <w:rPr>
          <w:rFonts w:hint="eastAsia" w:ascii="仿宋_GB2312" w:eastAsia="仿宋_GB2312"/>
          <w:bCs/>
          <w:sz w:val="32"/>
          <w:szCs w:val="32"/>
          <w:lang w:eastAsia="zh-CN"/>
        </w:rPr>
        <w:t>，</w:t>
      </w:r>
      <w:r>
        <w:rPr>
          <w:rFonts w:hint="eastAsia" w:ascii="仿宋_GB2312" w:eastAsia="仿宋_GB2312"/>
          <w:bCs/>
          <w:sz w:val="32"/>
          <w:szCs w:val="32"/>
        </w:rPr>
        <w:t>将全部政策性农业保险险种纳入承保机构的承保范围</w:t>
      </w:r>
      <w:r>
        <w:rPr>
          <w:rFonts w:hint="eastAsia" w:ascii="仿宋_GB2312" w:eastAsia="仿宋_GB2312"/>
          <w:bCs/>
          <w:sz w:val="32"/>
          <w:szCs w:val="32"/>
          <w:lang w:eastAsia="zh-CN"/>
        </w:rPr>
        <w:t>。及时向省厅报送遴选文件和遴选结果。</w:t>
      </w:r>
      <w:r>
        <w:rPr>
          <w:rFonts w:hint="eastAsia" w:ascii="仿宋_GB2312" w:hAnsi="宋体" w:eastAsia="仿宋_GB2312"/>
          <w:b w:val="0"/>
          <w:kern w:val="0"/>
          <w:sz w:val="32"/>
          <w:szCs w:val="32"/>
          <w:lang w:val="en-US" w:eastAsia="zh-CN"/>
        </w:rPr>
        <w:t>满分9分，得分9分。</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楷体" w:hAnsi="楷体" w:eastAsia="楷体"/>
          <w:sz w:val="32"/>
          <w:szCs w:val="32"/>
          <w:lang w:eastAsia="zh-CN"/>
        </w:rPr>
      </w:pPr>
      <w:r>
        <w:rPr>
          <w:rFonts w:hint="eastAsia" w:ascii="楷体" w:hAnsi="楷体" w:eastAsia="楷体"/>
          <w:sz w:val="32"/>
          <w:szCs w:val="32"/>
          <w:lang w:eastAsia="zh-CN"/>
        </w:rPr>
        <w:t>（二）承保机构管理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服务体系管理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）基层服务网络。承保机构在县级行政区域设有分支机构，在开展业务的</w:t>
      </w:r>
      <w:r>
        <w:rPr>
          <w:rFonts w:hint="eastAsia" w:ascii="仿宋_GB2312" w:eastAsia="仿宋_GB2312"/>
          <w:color w:val="000000"/>
          <w:sz w:val="32"/>
          <w:szCs w:val="32"/>
          <w:lang w:val="en-US" w:eastAsia="zh-CN"/>
        </w:rPr>
        <w:t>13个</w:t>
      </w:r>
      <w:r>
        <w:rPr>
          <w:rFonts w:hint="eastAsia" w:ascii="仿宋_GB2312" w:eastAsia="仿宋_GB2312"/>
          <w:color w:val="000000"/>
          <w:sz w:val="32"/>
          <w:szCs w:val="32"/>
          <w:lang w:eastAsia="zh-CN"/>
        </w:rPr>
        <w:t>镇（区）均设置了服务站点或营销服务部，实现全覆盖。</w:t>
      </w:r>
      <w:r>
        <w:rPr>
          <w:rFonts w:hint="eastAsia" w:ascii="仿宋_GB2312" w:hAnsi="宋体" w:eastAsia="仿宋_GB2312"/>
          <w:b w:val="0"/>
          <w:kern w:val="0"/>
          <w:sz w:val="32"/>
          <w:szCs w:val="32"/>
          <w:lang w:val="en-US" w:eastAsia="zh-CN"/>
        </w:rPr>
        <w:t>满分4分，得分4分。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）县区机构人员及配置。市财政局指导督促承保机构配置专门的农业保险管理部门和人员。目前，承保机构农险部门有专职人员</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lang w:eastAsia="zh-CN"/>
        </w:rPr>
        <w:t>名。</w:t>
      </w:r>
      <w:r>
        <w:rPr>
          <w:rFonts w:hint="eastAsia" w:ascii="仿宋_GB2312" w:hAnsi="宋体" w:eastAsia="仿宋_GB2312"/>
          <w:b w:val="0"/>
          <w:kern w:val="0"/>
          <w:sz w:val="32"/>
          <w:szCs w:val="32"/>
          <w:lang w:val="en-US" w:eastAsia="zh-CN"/>
        </w:rPr>
        <w:t>满分2分，得分2分。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）服务人员充足率。承保机构在所有乡镇聘用专职、兼职保险服务人员，在所有开展业务的行政村、居委会（涉农）聘用协保员。乡镇、村居服务人员充足率均达</w:t>
      </w:r>
      <w:r>
        <w:rPr>
          <w:rFonts w:hint="eastAsia" w:ascii="仿宋_GB2312" w:eastAsia="仿宋_GB2312"/>
          <w:color w:val="000000"/>
          <w:sz w:val="32"/>
          <w:szCs w:val="32"/>
          <w:lang w:val="en-US" w:eastAsia="zh-CN"/>
        </w:rPr>
        <w:t>100%。</w:t>
      </w:r>
      <w:r>
        <w:rPr>
          <w:rFonts w:hint="eastAsia" w:ascii="仿宋_GB2312" w:hAnsi="宋体" w:eastAsia="仿宋_GB2312"/>
          <w:b w:val="0"/>
          <w:kern w:val="0"/>
          <w:sz w:val="32"/>
          <w:szCs w:val="32"/>
          <w:lang w:val="en-US" w:eastAsia="zh-CN"/>
        </w:rPr>
        <w:t>满分4分，得分4分。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）档案管理。承保机构承保档案完整、合规、真实，基础数据、台账和政策文件收集充分完备。</w:t>
      </w:r>
      <w:r>
        <w:rPr>
          <w:rFonts w:hint="eastAsia" w:ascii="仿宋_GB2312" w:hAnsi="宋体" w:eastAsia="仿宋_GB2312"/>
          <w:b w:val="0"/>
          <w:kern w:val="0"/>
          <w:sz w:val="32"/>
          <w:szCs w:val="32"/>
          <w:lang w:val="en-US" w:eastAsia="zh-CN"/>
        </w:rPr>
        <w:t>满分3分，得分3分。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2.业务规范</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）规范展业。</w:t>
      </w:r>
      <w:r>
        <w:rPr>
          <w:rFonts w:hint="eastAsia" w:ascii="仿宋_GB2312" w:eastAsia="仿宋_GB2312"/>
          <w:color w:val="000000"/>
          <w:sz w:val="32"/>
          <w:szCs w:val="32"/>
        </w:rPr>
        <w:t>督促承保机构执行“见费出单”制度</w:t>
      </w:r>
      <w:r>
        <w:rPr>
          <w:rFonts w:hint="eastAsia" w:ascii="仿宋_GB2312" w:eastAsia="仿宋_GB2312"/>
          <w:color w:val="000000"/>
          <w:sz w:val="32"/>
          <w:szCs w:val="32"/>
          <w:lang w:eastAsia="zh-CN"/>
        </w:rPr>
        <w:t>，做到</w:t>
      </w:r>
      <w:r>
        <w:rPr>
          <w:rFonts w:hint="eastAsia" w:ascii="仿宋_GB2312" w:eastAsia="仿宋_GB2312"/>
          <w:color w:val="000000"/>
          <w:sz w:val="32"/>
          <w:szCs w:val="32"/>
        </w:rPr>
        <w:t>先收费、后出单。</w:t>
      </w:r>
      <w:r>
        <w:rPr>
          <w:rFonts w:hint="eastAsia" w:ascii="仿宋_GB2312" w:hAnsi="宋体" w:eastAsia="仿宋_GB2312"/>
          <w:b w:val="0"/>
          <w:kern w:val="0"/>
          <w:sz w:val="32"/>
          <w:szCs w:val="32"/>
          <w:lang w:val="en-US" w:eastAsia="zh-CN"/>
        </w:rPr>
        <w:t>满分4分，得分4分。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）结果公示。承保机构按照《江苏省农业保险承保理赔档案真实性、完整性标准指引》（苏农险办发〔2018〕5号 ）要求公示承保情况与理赔结果。</w:t>
      </w:r>
      <w:r>
        <w:rPr>
          <w:rFonts w:hint="eastAsia" w:ascii="仿宋_GB2312" w:hAnsi="宋体" w:eastAsia="仿宋_GB2312"/>
          <w:b w:val="0"/>
          <w:kern w:val="0"/>
          <w:sz w:val="32"/>
          <w:szCs w:val="32"/>
          <w:lang w:val="en-US" w:eastAsia="zh-CN"/>
        </w:rPr>
        <w:t>满分3分，得分3分。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）查勘理赔。</w:t>
      </w:r>
      <w:r>
        <w:rPr>
          <w:rFonts w:hint="eastAsia" w:ascii="仿宋_GB2312" w:eastAsia="仿宋_GB2312"/>
          <w:color w:val="000000"/>
          <w:sz w:val="32"/>
          <w:szCs w:val="32"/>
        </w:rPr>
        <w:t>指导督促承保机构按照省农业保险管理制度和保险条款开展查勘、定损、理赔。</w:t>
      </w:r>
      <w:r>
        <w:rPr>
          <w:rFonts w:hint="eastAsia" w:ascii="仿宋_GB2312" w:hAnsi="宋体" w:eastAsia="仿宋_GB2312"/>
          <w:b w:val="0"/>
          <w:kern w:val="0"/>
          <w:sz w:val="32"/>
          <w:szCs w:val="32"/>
          <w:lang w:val="en-US" w:eastAsia="zh-CN"/>
        </w:rPr>
        <w:t>满分4分，得分4分。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）监督管理。对承保机构农业保险业务开展日常监督，并督促承保机构对发现的问题及时整改落实。</w:t>
      </w:r>
      <w:r>
        <w:rPr>
          <w:rFonts w:hint="eastAsia" w:ascii="仿宋_GB2312" w:hAnsi="宋体" w:eastAsia="仿宋_GB2312"/>
          <w:b w:val="0"/>
          <w:kern w:val="0"/>
          <w:sz w:val="32"/>
          <w:szCs w:val="32"/>
          <w:lang w:val="en-US" w:eastAsia="zh-CN"/>
        </w:rPr>
        <w:t>满分4分，得分4分。</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楷体" w:hAnsi="楷体" w:eastAsia="楷体"/>
          <w:sz w:val="32"/>
          <w:szCs w:val="32"/>
          <w:lang w:eastAsia="zh-CN"/>
        </w:rPr>
      </w:pPr>
      <w:r>
        <w:rPr>
          <w:rFonts w:hint="eastAsia" w:ascii="楷体" w:hAnsi="楷体" w:eastAsia="楷体"/>
          <w:sz w:val="32"/>
          <w:szCs w:val="32"/>
          <w:lang w:eastAsia="zh-CN"/>
        </w:rPr>
        <w:t>（三）工作绩效</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1.项目产出</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（1）理赔兑现率。承保机构及时足额理赔，理赔结案率99.76%。满分5分，得分5分。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rPr>
      </w:pPr>
      <w:r>
        <w:rPr>
          <w:rFonts w:hint="eastAsia" w:ascii="仿宋_GB2312" w:eastAsia="仿宋_GB2312"/>
          <w:color w:val="000000"/>
          <w:sz w:val="32"/>
          <w:szCs w:val="32"/>
          <w:lang w:val="en-US" w:eastAsia="zh-CN"/>
        </w:rPr>
        <w:t>（2）保险保障。2023年我市全年第一产业增加值88.38亿元，同比增长1.96%。2023年农业保险保额36.7亿元，同比增长30.14%，保额增幅比一产增加值增幅高28.18%。</w:t>
      </w:r>
      <w:r>
        <w:rPr>
          <w:rFonts w:hint="eastAsia" w:ascii="仿宋_GB2312" w:hAnsi="宋体" w:eastAsia="仿宋_GB2312"/>
          <w:b w:val="0"/>
          <w:kern w:val="0"/>
          <w:sz w:val="32"/>
          <w:szCs w:val="32"/>
          <w:lang w:val="en-US" w:eastAsia="zh-CN"/>
        </w:rPr>
        <w:t>满分5分，得分5分。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2.项目效益</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hAnsi="宋体" w:eastAsia="仿宋_GB2312"/>
          <w:b w:val="0"/>
          <w:kern w:val="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）农户受益。根据承保机构报表数据计算，农业保险综合成本率</w:t>
      </w:r>
      <w:r>
        <w:rPr>
          <w:rFonts w:hint="eastAsia" w:ascii="仿宋_GB2312" w:eastAsia="仿宋_GB2312"/>
          <w:color w:val="000000"/>
          <w:sz w:val="32"/>
          <w:szCs w:val="32"/>
          <w:lang w:val="en-US" w:eastAsia="zh-CN"/>
        </w:rPr>
        <w:t>77%。</w:t>
      </w:r>
      <w:r>
        <w:rPr>
          <w:rFonts w:hint="eastAsia" w:ascii="仿宋_GB2312" w:hAnsi="宋体" w:eastAsia="仿宋_GB2312"/>
          <w:b w:val="0"/>
          <w:kern w:val="0"/>
          <w:sz w:val="32"/>
          <w:szCs w:val="32"/>
          <w:lang w:val="en-US" w:eastAsia="zh-CN"/>
        </w:rPr>
        <w:t>满分5分，得分3分。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hAnsi="宋体" w:eastAsia="仿宋_GB2312"/>
          <w:b w:val="0"/>
          <w:kern w:val="0"/>
          <w:sz w:val="32"/>
          <w:szCs w:val="32"/>
          <w:lang w:val="en-US" w:eastAsia="zh-CN"/>
        </w:rPr>
      </w:pPr>
      <w:r>
        <w:rPr>
          <w:rFonts w:hint="eastAsia" w:ascii="仿宋_GB2312" w:hAnsi="宋体" w:eastAsia="仿宋_GB2312"/>
          <w:b w:val="0"/>
          <w:kern w:val="0"/>
          <w:sz w:val="32"/>
          <w:szCs w:val="32"/>
          <w:lang w:val="en-US" w:eastAsia="zh-CN"/>
        </w:rPr>
        <w:t>（2）保险覆盖率。2023年全市三大粮食作物种植面积合计133.25万亩，承保面积合计117.53万亩，覆盖率达88.21%，超过80%的设定目标。育肥猪出栏数46.28万头，承保34.56万头，育肥猪覆盖率75%，超过70%的设定目标。满分3分，得分3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hAnsi="宋体" w:eastAsia="仿宋_GB2312"/>
          <w:b w:val="0"/>
          <w:kern w:val="0"/>
          <w:sz w:val="32"/>
          <w:szCs w:val="32"/>
          <w:lang w:val="en-US" w:eastAsia="zh-CN"/>
        </w:rPr>
      </w:pPr>
      <w:r>
        <w:rPr>
          <w:rFonts w:hint="eastAsia" w:ascii="仿宋_GB2312" w:hAnsi="宋体" w:eastAsia="仿宋_GB2312"/>
          <w:b w:val="0"/>
          <w:kern w:val="0"/>
          <w:sz w:val="32"/>
          <w:szCs w:val="32"/>
          <w:lang w:val="en-US" w:eastAsia="zh-CN"/>
        </w:rPr>
        <w:t>3.农户满意度。</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（1）政策知晓率。市农险办随机抽取了50个农户，对农业保险政策的知晓度开展调查。调查结果显示，所有农户均知晓农业保险政策，政策知晓率100%。</w:t>
      </w:r>
      <w:r>
        <w:rPr>
          <w:rFonts w:hint="eastAsia" w:ascii="仿宋_GB2312" w:hAnsi="宋体" w:eastAsia="仿宋_GB2312"/>
          <w:b w:val="0"/>
          <w:kern w:val="0"/>
          <w:sz w:val="32"/>
          <w:szCs w:val="32"/>
          <w:lang w:val="en-US" w:eastAsia="zh-CN"/>
        </w:rPr>
        <w:t>满分5分，得分5分。</w:t>
      </w:r>
    </w:p>
    <w:p>
      <w:pPr>
        <w:pageBreakBefore w:val="0"/>
        <w:tabs>
          <w:tab w:val="left" w:pos="7080"/>
        </w:tabs>
        <w:kinsoku/>
        <w:wordWrap/>
        <w:overflowPunct/>
        <w:topLinePunct w:val="0"/>
        <w:autoSpaceDE/>
        <w:autoSpaceDN/>
        <w:bidi w:val="0"/>
        <w:spacing w:line="560" w:lineRule="exact"/>
        <w:ind w:firstLine="640" w:firstLineChars="200"/>
        <w:textAlignment w:val="auto"/>
        <w:outlineLvl w:val="0"/>
        <w:rPr>
          <w:rFonts w:hint="eastAsia" w:ascii="仿宋_GB2312" w:hAnsi="宋体" w:eastAsia="仿宋_GB2312"/>
          <w:b w:val="0"/>
          <w:kern w:val="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满意率。市农险办随机抽取了50个农户，（其中投保未出险农户、投保出险农户各25人），对农业保险服务满意度开展调查。调查结果显示，所有农户对农业保险总体服务均表示满意，满意率100%。</w:t>
      </w:r>
      <w:r>
        <w:rPr>
          <w:rFonts w:hint="eastAsia" w:ascii="仿宋_GB2312" w:hAnsi="宋体" w:eastAsia="仿宋_GB2312"/>
          <w:b w:val="0"/>
          <w:kern w:val="0"/>
          <w:sz w:val="32"/>
          <w:szCs w:val="32"/>
          <w:lang w:val="en-US" w:eastAsia="zh-CN"/>
        </w:rPr>
        <w:t>满分5分，得分5分。</w:t>
      </w:r>
      <w:bookmarkEnd w:id="4"/>
    </w:p>
    <w:p>
      <w:pPr>
        <w:pStyle w:val="2"/>
        <w:pageBreakBefore w:val="0"/>
        <w:kinsoku/>
        <w:wordWrap/>
        <w:overflowPunct/>
        <w:topLinePunct w:val="0"/>
        <w:autoSpaceDE/>
        <w:autoSpaceDN/>
        <w:bidi w:val="0"/>
        <w:spacing w:line="560" w:lineRule="exact"/>
        <w:textAlignment w:val="auto"/>
        <w:rPr>
          <w:rFonts w:hint="eastAsia" w:ascii="黑体" w:hAnsi="黑体" w:eastAsia="黑体" w:cs="Times New Roman"/>
          <w:b w:val="0"/>
          <w:bCs/>
          <w:kern w:val="44"/>
          <w:sz w:val="32"/>
          <w:szCs w:val="32"/>
          <w:lang w:val="en-US" w:eastAsia="zh-CN" w:bidi="ar-SA"/>
        </w:rPr>
      </w:pPr>
      <w:r>
        <w:rPr>
          <w:rFonts w:hint="eastAsia" w:ascii="黑体" w:hAnsi="黑体" w:eastAsia="黑体" w:cs="Times New Roman"/>
          <w:b w:val="0"/>
          <w:bCs/>
          <w:kern w:val="44"/>
          <w:sz w:val="32"/>
          <w:szCs w:val="32"/>
          <w:lang w:val="en-US" w:eastAsia="zh-CN" w:bidi="ar-SA"/>
        </w:rPr>
        <w:t>四、评价总体结论</w:t>
      </w: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hint="eastAsia" w:ascii="仿宋_GB2312" w:hAnsi="宋体" w:eastAsia="仿宋_GB2312" w:cs="仿宋_GB2312"/>
          <w:b w:val="0"/>
          <w:bCs w:val="0"/>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通过分析项目单位提供的相关资料、现场评价等情</w:t>
      </w:r>
      <w:r>
        <w:rPr>
          <w:rFonts w:hint="eastAsia" w:ascii="仿宋_GB2312" w:hAnsi="宋体" w:eastAsia="仿宋_GB2312" w:cs="仿宋_GB2312"/>
          <w:color w:val="000000"/>
          <w:kern w:val="0"/>
          <w:sz w:val="31"/>
          <w:szCs w:val="31"/>
          <w:lang w:val="en-US" w:eastAsia="zh-CN" w:bidi="ar"/>
        </w:rPr>
        <w:t>况，整体来看，</w:t>
      </w:r>
      <w:r>
        <w:rPr>
          <w:rFonts w:hint="default" w:ascii="Times New Roman" w:hAnsi="Times New Roman" w:eastAsia="宋体" w:cs="Times New Roman"/>
          <w:color w:val="000000"/>
          <w:kern w:val="0"/>
          <w:sz w:val="31"/>
          <w:szCs w:val="31"/>
          <w:lang w:val="en-US" w:eastAsia="zh-CN" w:bidi="ar"/>
        </w:rPr>
        <w:t>202</w:t>
      </w:r>
      <w:r>
        <w:rPr>
          <w:rFonts w:hint="eastAsia"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年农业保险项目绩效指标完成较好，评价得</w:t>
      </w:r>
      <w:r>
        <w:rPr>
          <w:rFonts w:hint="eastAsia" w:ascii="仿宋_GB2312" w:hAnsi="宋体" w:eastAsia="仿宋_GB2312" w:cs="仿宋_GB2312"/>
          <w:b w:val="0"/>
          <w:bCs w:val="0"/>
          <w:color w:val="000000"/>
          <w:kern w:val="0"/>
          <w:sz w:val="31"/>
          <w:szCs w:val="31"/>
          <w:lang w:val="en-US" w:eastAsia="zh-CN" w:bidi="ar"/>
        </w:rPr>
        <w:t xml:space="preserve">分为 </w:t>
      </w:r>
      <w:r>
        <w:rPr>
          <w:rFonts w:hint="eastAsia" w:cs="Times New Roman"/>
          <w:b w:val="0"/>
          <w:bCs w:val="0"/>
          <w:color w:val="000000"/>
          <w:kern w:val="0"/>
          <w:sz w:val="31"/>
          <w:szCs w:val="31"/>
          <w:lang w:val="en-US" w:eastAsia="zh-CN" w:bidi="ar"/>
        </w:rPr>
        <w:t>96</w:t>
      </w:r>
      <w:r>
        <w:rPr>
          <w:rFonts w:hint="default" w:ascii="Times New Roman" w:hAnsi="Times New Roman" w:eastAsia="宋体" w:cs="Times New Roman"/>
          <w:b w:val="0"/>
          <w:bCs w:val="0"/>
          <w:color w:val="000000"/>
          <w:kern w:val="0"/>
          <w:sz w:val="31"/>
          <w:szCs w:val="31"/>
          <w:lang w:val="en-US" w:eastAsia="zh-CN" w:bidi="ar"/>
        </w:rPr>
        <w:t xml:space="preserve"> </w:t>
      </w:r>
      <w:r>
        <w:rPr>
          <w:rFonts w:hint="eastAsia" w:ascii="仿宋_GB2312" w:hAnsi="宋体" w:eastAsia="仿宋_GB2312" w:cs="仿宋_GB2312"/>
          <w:b w:val="0"/>
          <w:bCs w:val="0"/>
          <w:color w:val="000000"/>
          <w:kern w:val="0"/>
          <w:sz w:val="31"/>
          <w:szCs w:val="31"/>
          <w:lang w:val="en-US" w:eastAsia="zh-CN" w:bidi="ar"/>
        </w:rPr>
        <w:t>分，等级为“优”。</w:t>
      </w: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hint="eastAsia" w:ascii="仿宋_GB2312" w:hAnsi="宋体" w:eastAsia="仿宋_GB2312" w:cs="仿宋_GB2312"/>
          <w:b w:val="0"/>
          <w:bCs w:val="0"/>
          <w:color w:val="000000"/>
          <w:kern w:val="0"/>
          <w:sz w:val="31"/>
          <w:szCs w:val="31"/>
          <w:lang w:val="en-US" w:eastAsia="zh-CN" w:bidi="ar"/>
        </w:rPr>
      </w:pPr>
      <w:r>
        <w:rPr>
          <w:rFonts w:hint="eastAsia" w:ascii="仿宋_GB2312" w:hAnsi="宋体" w:eastAsia="仿宋_GB2312" w:cs="仿宋_GB2312"/>
          <w:b w:val="0"/>
          <w:bCs w:val="0"/>
          <w:color w:val="000000"/>
          <w:kern w:val="0"/>
          <w:sz w:val="31"/>
          <w:szCs w:val="31"/>
          <w:lang w:val="en-US" w:eastAsia="zh-CN" w:bidi="ar"/>
        </w:rPr>
        <w:t>主要绩效：一是增强了农户防范和化解农业风险的能力，提高了农业抗灾复产能力，促进了农业稳定发展。二是为及时恢复农业再生产提供了有力的资金保障，提高了农业综合生产能力。三是降低农业生产中遇到的风险，保障农户基本收入，促进社会和谐稳定。</w:t>
      </w: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hint="default"/>
          <w:lang w:val="en-US"/>
        </w:rPr>
      </w:pPr>
      <w:r>
        <w:rPr>
          <w:rFonts w:hint="eastAsia" w:ascii="仿宋_GB2312" w:hAnsi="宋体" w:eastAsia="仿宋_GB2312" w:cs="仿宋_GB2312"/>
          <w:b w:val="0"/>
          <w:bCs w:val="0"/>
          <w:color w:val="000000"/>
          <w:kern w:val="0"/>
          <w:sz w:val="31"/>
          <w:szCs w:val="31"/>
          <w:lang w:val="en-US" w:eastAsia="zh-CN" w:bidi="ar"/>
        </w:rPr>
        <w:t>主要不足：一是资金执行率</w:t>
      </w:r>
      <w:r>
        <w:rPr>
          <w:rFonts w:hint="eastAsia" w:ascii="仿宋_GB2312" w:hAnsi="宋体" w:eastAsia="仿宋_GB2312" w:cs="仿宋_GB2312"/>
          <w:color w:val="000000"/>
          <w:kern w:val="0"/>
          <w:sz w:val="31"/>
          <w:szCs w:val="31"/>
          <w:lang w:val="en-US" w:eastAsia="zh-CN" w:bidi="ar"/>
        </w:rPr>
        <w:t>90%，低于绩效目标100%；二是农民受益度未达目标80%，农业保险综合赔付率偏低。</w:t>
      </w:r>
    </w:p>
    <w:p>
      <w:pPr>
        <w:ind w:firstLine="640" w:firstLineChars="200"/>
        <w:rPr>
          <w:rFonts w:hint="eastAsia" w:ascii="黑体" w:hAnsi="黑体" w:eastAsia="黑体" w:cs="Times New Roman"/>
          <w:b w:val="0"/>
          <w:bCs/>
          <w:kern w:val="44"/>
          <w:sz w:val="32"/>
          <w:szCs w:val="32"/>
          <w:lang w:val="en-US" w:eastAsia="zh-CN" w:bidi="ar-SA"/>
        </w:rPr>
      </w:pPr>
      <w:r>
        <w:rPr>
          <w:rFonts w:hint="eastAsia" w:ascii="黑体" w:hAnsi="黑体" w:eastAsia="黑体" w:cs="Times New Roman"/>
          <w:b w:val="0"/>
          <w:bCs/>
          <w:kern w:val="44"/>
          <w:sz w:val="32"/>
          <w:szCs w:val="32"/>
          <w:lang w:val="en-US" w:eastAsia="zh-CN" w:bidi="ar-SA"/>
        </w:rPr>
        <w:t>五、改进措施及建议</w:t>
      </w:r>
    </w:p>
    <w:p>
      <w:pPr>
        <w:pageBreakBefore w:val="0"/>
        <w:kinsoku/>
        <w:wordWrap/>
        <w:overflowPunct/>
        <w:topLinePunct w:val="0"/>
        <w:autoSpaceDE/>
        <w:autoSpaceDN/>
        <w:bidi w:val="0"/>
        <w:adjustRightInd w:val="0"/>
        <w:snapToGrid w:val="0"/>
        <w:spacing w:line="560" w:lineRule="exact"/>
        <w:ind w:firstLine="645"/>
        <w:textAlignment w:val="auto"/>
        <w:rPr>
          <w:rFonts w:hint="eastAsia" w:ascii="楷体" w:hAnsi="楷体" w:eastAsia="楷体"/>
          <w:sz w:val="32"/>
          <w:szCs w:val="32"/>
          <w:lang w:eastAsia="zh-CN"/>
        </w:rPr>
      </w:pPr>
      <w:r>
        <w:rPr>
          <w:rFonts w:hint="eastAsia" w:ascii="楷体" w:hAnsi="楷体" w:eastAsia="楷体"/>
          <w:sz w:val="32"/>
          <w:szCs w:val="32"/>
        </w:rPr>
        <w:t>（一）提高保险综合赔付率</w:t>
      </w:r>
    </w:p>
    <w:p>
      <w:pPr>
        <w:keepNext w:val="0"/>
        <w:keepLines w:val="0"/>
        <w:widowControl/>
        <w:suppressLineNumbers w:val="0"/>
        <w:ind w:firstLine="560" w:firstLineChars="200"/>
        <w:jc w:val="left"/>
        <w:rPr>
          <w:rFonts w:hint="eastAsia" w:ascii="仿宋_GB2312" w:hAnsi="宋体" w:eastAsia="仿宋_GB2312" w:cs="仿宋_GB2312"/>
          <w:b w:val="0"/>
          <w:bCs w:val="0"/>
          <w:color w:val="000000"/>
          <w:kern w:val="0"/>
          <w:sz w:val="31"/>
          <w:szCs w:val="31"/>
          <w:lang w:val="en-US" w:eastAsia="zh-CN" w:bidi="ar"/>
        </w:rPr>
      </w:pPr>
      <w:r>
        <w:rPr>
          <w:rFonts w:hint="eastAsia" w:ascii="仿宋" w:hAnsi="仿宋" w:eastAsia="仿宋"/>
          <w:sz w:val="28"/>
          <w:szCs w:val="28"/>
        </w:rPr>
        <w:t xml:space="preserve"> </w:t>
      </w:r>
      <w:r>
        <w:rPr>
          <w:rFonts w:hint="eastAsia" w:ascii="仿宋_GB2312" w:hAnsi="宋体" w:eastAsia="仿宋_GB2312" w:cs="仿宋_GB2312"/>
          <w:b w:val="0"/>
          <w:bCs w:val="0"/>
          <w:color w:val="000000"/>
          <w:kern w:val="0"/>
          <w:sz w:val="31"/>
          <w:szCs w:val="31"/>
          <w:lang w:val="en-US" w:eastAsia="zh-CN" w:bidi="ar"/>
        </w:rPr>
        <w:t>建议</w:t>
      </w:r>
      <w:r>
        <w:rPr>
          <w:rFonts w:hint="eastAsia" w:ascii="仿宋_GB2312" w:hAnsi="宋体" w:eastAsia="仿宋_GB2312" w:cs="仿宋_GB2312"/>
          <w:b w:val="0"/>
          <w:bCs w:val="0"/>
          <w:color w:val="000000"/>
          <w:kern w:val="0"/>
          <w:sz w:val="31"/>
          <w:szCs w:val="31"/>
          <w:lang w:val="en-US" w:eastAsia="zh-CN" w:bidi="ar"/>
        </w:rPr>
        <w:t>通过加强保险产品设计、提升理赔服务效率、强化风险管理措施等多方面的综合施策，有效提高农业保险的综合赔付率，更好地保障农业生产的安全和农民的利益。</w:t>
      </w:r>
    </w:p>
    <w:p>
      <w:pPr>
        <w:keepNext w:val="0"/>
        <w:keepLines w:val="0"/>
        <w:widowControl/>
        <w:suppressLineNumbers w:val="0"/>
        <w:ind w:firstLine="640" w:firstLineChars="200"/>
        <w:jc w:val="left"/>
        <w:rPr>
          <w:rFonts w:hint="eastAsia" w:ascii="楷体" w:hAnsi="楷体" w:eastAsia="楷体"/>
          <w:sz w:val="32"/>
          <w:szCs w:val="32"/>
        </w:rPr>
      </w:pPr>
      <w:r>
        <w:rPr>
          <w:rFonts w:hint="eastAsia" w:ascii="楷体" w:hAnsi="楷体" w:eastAsia="楷体"/>
          <w:sz w:val="32"/>
          <w:szCs w:val="32"/>
          <w:lang w:eastAsia="zh-CN"/>
        </w:rPr>
        <w:t>（二</w:t>
      </w:r>
      <w:r>
        <w:rPr>
          <w:rFonts w:hint="eastAsia" w:ascii="楷体" w:hAnsi="楷体" w:eastAsia="楷体"/>
          <w:sz w:val="32"/>
          <w:szCs w:val="32"/>
        </w:rPr>
        <w:t>）</w:t>
      </w:r>
      <w:r>
        <w:rPr>
          <w:rFonts w:hint="eastAsia" w:ascii="楷体" w:hAnsi="楷体" w:eastAsia="楷体"/>
          <w:sz w:val="32"/>
          <w:szCs w:val="32"/>
          <w:lang w:val="en-US" w:eastAsia="zh-CN"/>
        </w:rPr>
        <w:t>提高绩效管理水平</w:t>
      </w: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建议业务科室不断提高绩效管理水平，科学编制绩效指标体系，设定清晰、完整、实际、可衡量的绩效指标，以充分体现和真实反映项目的绩效情况和绩效目标的实现程度。发挥业务主管职能，加强项目绩效管理过程监控力度，认真落实各承保机构绩效目标实现情况的考核。</w:t>
      </w:r>
      <w:bookmarkStart w:id="6" w:name="_GoBack"/>
      <w:bookmarkEnd w:id="6"/>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pPr>
        <w:rPr>
          <w:rFonts w:hint="eastAsia" w:ascii="仿宋" w:hAnsi="仿宋" w:eastAsia="仿宋"/>
          <w:sz w:val="28"/>
          <w:szCs w:val="28"/>
        </w:rPr>
      </w:pPr>
    </w:p>
    <w:p>
      <w:pPr>
        <w:rPr>
          <w:rFonts w:hint="eastAsia" w:ascii="黑体" w:hAnsi="黑体" w:eastAsia="黑体"/>
          <w:sz w:val="28"/>
          <w:szCs w:val="28"/>
        </w:rPr>
      </w:pPr>
    </w:p>
    <w:p>
      <w:pPr>
        <w:pStyle w:val="3"/>
        <w:rPr>
          <w:rFonts w:hint="eastAsia"/>
          <w:lang w:val="en-US" w:eastAsia="zh-CN"/>
        </w:rPr>
      </w:pP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方正楷体_GBK">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ookshelf Symbol 7">
    <w:panose1 w:val="05010101010101010101"/>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2DB37"/>
    <w:multiLevelType w:val="singleLevel"/>
    <w:tmpl w:val="0842DB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C62AB"/>
    <w:rsid w:val="000023CE"/>
    <w:rsid w:val="00004C4B"/>
    <w:rsid w:val="00012BAF"/>
    <w:rsid w:val="0001339C"/>
    <w:rsid w:val="0001425C"/>
    <w:rsid w:val="0001677E"/>
    <w:rsid w:val="000227B4"/>
    <w:rsid w:val="00023D19"/>
    <w:rsid w:val="000267BC"/>
    <w:rsid w:val="00051898"/>
    <w:rsid w:val="00057B65"/>
    <w:rsid w:val="000641CE"/>
    <w:rsid w:val="0006602C"/>
    <w:rsid w:val="0006654C"/>
    <w:rsid w:val="00073742"/>
    <w:rsid w:val="000816A2"/>
    <w:rsid w:val="00091E58"/>
    <w:rsid w:val="00095A77"/>
    <w:rsid w:val="00096BB0"/>
    <w:rsid w:val="000A1676"/>
    <w:rsid w:val="000C0A32"/>
    <w:rsid w:val="000C70C7"/>
    <w:rsid w:val="000D2536"/>
    <w:rsid w:val="000D4934"/>
    <w:rsid w:val="000E0953"/>
    <w:rsid w:val="000E1A17"/>
    <w:rsid w:val="000E2792"/>
    <w:rsid w:val="000E519E"/>
    <w:rsid w:val="000E625E"/>
    <w:rsid w:val="000E663C"/>
    <w:rsid w:val="000F191B"/>
    <w:rsid w:val="001004E5"/>
    <w:rsid w:val="001112C9"/>
    <w:rsid w:val="00111E56"/>
    <w:rsid w:val="00112F07"/>
    <w:rsid w:val="00114252"/>
    <w:rsid w:val="00116385"/>
    <w:rsid w:val="00121566"/>
    <w:rsid w:val="001301F1"/>
    <w:rsid w:val="0013483C"/>
    <w:rsid w:val="001400D9"/>
    <w:rsid w:val="00142A69"/>
    <w:rsid w:val="00146B1F"/>
    <w:rsid w:val="001567B2"/>
    <w:rsid w:val="0017134D"/>
    <w:rsid w:val="00173300"/>
    <w:rsid w:val="00192738"/>
    <w:rsid w:val="001A0C00"/>
    <w:rsid w:val="001A3707"/>
    <w:rsid w:val="001B49FB"/>
    <w:rsid w:val="001C0A66"/>
    <w:rsid w:val="001C6106"/>
    <w:rsid w:val="001D6751"/>
    <w:rsid w:val="001D71D7"/>
    <w:rsid w:val="001E09B6"/>
    <w:rsid w:val="001E0BBB"/>
    <w:rsid w:val="001E0ECA"/>
    <w:rsid w:val="001E3286"/>
    <w:rsid w:val="001E4452"/>
    <w:rsid w:val="001E61A1"/>
    <w:rsid w:val="001F0522"/>
    <w:rsid w:val="001F2063"/>
    <w:rsid w:val="001F5414"/>
    <w:rsid w:val="00200D93"/>
    <w:rsid w:val="002203A5"/>
    <w:rsid w:val="002209F3"/>
    <w:rsid w:val="00223231"/>
    <w:rsid w:val="002249B3"/>
    <w:rsid w:val="00224EA7"/>
    <w:rsid w:val="00227D3B"/>
    <w:rsid w:val="00235322"/>
    <w:rsid w:val="002362B3"/>
    <w:rsid w:val="002437EE"/>
    <w:rsid w:val="00247CAB"/>
    <w:rsid w:val="002534C3"/>
    <w:rsid w:val="00254104"/>
    <w:rsid w:val="00254AFF"/>
    <w:rsid w:val="00255067"/>
    <w:rsid w:val="002602C3"/>
    <w:rsid w:val="002635BA"/>
    <w:rsid w:val="0027007F"/>
    <w:rsid w:val="00273663"/>
    <w:rsid w:val="00277F29"/>
    <w:rsid w:val="0028366C"/>
    <w:rsid w:val="002869BD"/>
    <w:rsid w:val="00287ECD"/>
    <w:rsid w:val="0029700C"/>
    <w:rsid w:val="002A6B20"/>
    <w:rsid w:val="002B198D"/>
    <w:rsid w:val="002B710E"/>
    <w:rsid w:val="002C4A3D"/>
    <w:rsid w:val="002D2BCE"/>
    <w:rsid w:val="002D31EA"/>
    <w:rsid w:val="002D33AA"/>
    <w:rsid w:val="002D37EF"/>
    <w:rsid w:val="002D4679"/>
    <w:rsid w:val="002E159D"/>
    <w:rsid w:val="002E5A8F"/>
    <w:rsid w:val="002E7E39"/>
    <w:rsid w:val="002F35D5"/>
    <w:rsid w:val="002F7ABF"/>
    <w:rsid w:val="003006C2"/>
    <w:rsid w:val="00306563"/>
    <w:rsid w:val="0031187E"/>
    <w:rsid w:val="00311FBA"/>
    <w:rsid w:val="003171E1"/>
    <w:rsid w:val="003207BA"/>
    <w:rsid w:val="00327DC0"/>
    <w:rsid w:val="00336CCE"/>
    <w:rsid w:val="00343C58"/>
    <w:rsid w:val="00346954"/>
    <w:rsid w:val="00346DD9"/>
    <w:rsid w:val="00350395"/>
    <w:rsid w:val="00350C24"/>
    <w:rsid w:val="00354669"/>
    <w:rsid w:val="003702BC"/>
    <w:rsid w:val="00370BE0"/>
    <w:rsid w:val="00374FCF"/>
    <w:rsid w:val="00375ED0"/>
    <w:rsid w:val="00380181"/>
    <w:rsid w:val="003904D6"/>
    <w:rsid w:val="003A293C"/>
    <w:rsid w:val="003A557B"/>
    <w:rsid w:val="003B382B"/>
    <w:rsid w:val="003B3BB8"/>
    <w:rsid w:val="003B4537"/>
    <w:rsid w:val="003B6C7C"/>
    <w:rsid w:val="003C0A93"/>
    <w:rsid w:val="003C76EC"/>
    <w:rsid w:val="003C7C01"/>
    <w:rsid w:val="003D7EDE"/>
    <w:rsid w:val="003E1504"/>
    <w:rsid w:val="003E22D0"/>
    <w:rsid w:val="003E3BBC"/>
    <w:rsid w:val="003E7F0A"/>
    <w:rsid w:val="003F252F"/>
    <w:rsid w:val="0040494C"/>
    <w:rsid w:val="0040715C"/>
    <w:rsid w:val="00410A22"/>
    <w:rsid w:val="00412CB8"/>
    <w:rsid w:val="00412D35"/>
    <w:rsid w:val="004134DB"/>
    <w:rsid w:val="00414A8A"/>
    <w:rsid w:val="00420E65"/>
    <w:rsid w:val="00422E0F"/>
    <w:rsid w:val="00424627"/>
    <w:rsid w:val="00424B96"/>
    <w:rsid w:val="00430AAF"/>
    <w:rsid w:val="00437850"/>
    <w:rsid w:val="00444309"/>
    <w:rsid w:val="00453986"/>
    <w:rsid w:val="00461287"/>
    <w:rsid w:val="00476376"/>
    <w:rsid w:val="00483B65"/>
    <w:rsid w:val="00485130"/>
    <w:rsid w:val="00485FAC"/>
    <w:rsid w:val="004875FB"/>
    <w:rsid w:val="00487646"/>
    <w:rsid w:val="0049281A"/>
    <w:rsid w:val="00495337"/>
    <w:rsid w:val="0049717A"/>
    <w:rsid w:val="004B2F90"/>
    <w:rsid w:val="004B61D6"/>
    <w:rsid w:val="004B62F9"/>
    <w:rsid w:val="004B7DE7"/>
    <w:rsid w:val="004D3A0E"/>
    <w:rsid w:val="004E1D0A"/>
    <w:rsid w:val="004E34F2"/>
    <w:rsid w:val="004E560E"/>
    <w:rsid w:val="0050229D"/>
    <w:rsid w:val="005100B5"/>
    <w:rsid w:val="005104AF"/>
    <w:rsid w:val="005151C4"/>
    <w:rsid w:val="00523D3E"/>
    <w:rsid w:val="00524C46"/>
    <w:rsid w:val="00524F4C"/>
    <w:rsid w:val="00525BE5"/>
    <w:rsid w:val="00527572"/>
    <w:rsid w:val="00536A2F"/>
    <w:rsid w:val="00536C13"/>
    <w:rsid w:val="005407C8"/>
    <w:rsid w:val="0054154D"/>
    <w:rsid w:val="00541D40"/>
    <w:rsid w:val="00541DF8"/>
    <w:rsid w:val="00552508"/>
    <w:rsid w:val="00552676"/>
    <w:rsid w:val="00552C11"/>
    <w:rsid w:val="0055660C"/>
    <w:rsid w:val="00560C03"/>
    <w:rsid w:val="005711CD"/>
    <w:rsid w:val="00572353"/>
    <w:rsid w:val="005723A4"/>
    <w:rsid w:val="00577807"/>
    <w:rsid w:val="00580B0C"/>
    <w:rsid w:val="00581E97"/>
    <w:rsid w:val="005860BB"/>
    <w:rsid w:val="005868F8"/>
    <w:rsid w:val="005A2F70"/>
    <w:rsid w:val="005B1BCE"/>
    <w:rsid w:val="005B56C3"/>
    <w:rsid w:val="005B639D"/>
    <w:rsid w:val="005C03F1"/>
    <w:rsid w:val="005C169E"/>
    <w:rsid w:val="005D1972"/>
    <w:rsid w:val="005D3D73"/>
    <w:rsid w:val="005D5B39"/>
    <w:rsid w:val="005D74FD"/>
    <w:rsid w:val="005E3F2C"/>
    <w:rsid w:val="005E4F2B"/>
    <w:rsid w:val="005E6128"/>
    <w:rsid w:val="005E6AEB"/>
    <w:rsid w:val="005F361E"/>
    <w:rsid w:val="005F6CB1"/>
    <w:rsid w:val="006016B8"/>
    <w:rsid w:val="00603521"/>
    <w:rsid w:val="006041C6"/>
    <w:rsid w:val="0060507F"/>
    <w:rsid w:val="00607D06"/>
    <w:rsid w:val="0061304B"/>
    <w:rsid w:val="006179D6"/>
    <w:rsid w:val="0062303C"/>
    <w:rsid w:val="00627C93"/>
    <w:rsid w:val="0063201D"/>
    <w:rsid w:val="00634304"/>
    <w:rsid w:val="00640EA6"/>
    <w:rsid w:val="00642F86"/>
    <w:rsid w:val="006439FE"/>
    <w:rsid w:val="00646A72"/>
    <w:rsid w:val="006510FB"/>
    <w:rsid w:val="00654541"/>
    <w:rsid w:val="006600EC"/>
    <w:rsid w:val="0066689C"/>
    <w:rsid w:val="00667AA2"/>
    <w:rsid w:val="006727D6"/>
    <w:rsid w:val="00676276"/>
    <w:rsid w:val="006769CA"/>
    <w:rsid w:val="00681045"/>
    <w:rsid w:val="0069503B"/>
    <w:rsid w:val="00696909"/>
    <w:rsid w:val="00697E19"/>
    <w:rsid w:val="006A245F"/>
    <w:rsid w:val="006C6E07"/>
    <w:rsid w:val="006D01F6"/>
    <w:rsid w:val="006D18D2"/>
    <w:rsid w:val="006E0F95"/>
    <w:rsid w:val="006E157B"/>
    <w:rsid w:val="006E24CA"/>
    <w:rsid w:val="006E291A"/>
    <w:rsid w:val="006E55B0"/>
    <w:rsid w:val="006F4E73"/>
    <w:rsid w:val="00703F04"/>
    <w:rsid w:val="00704707"/>
    <w:rsid w:val="007153AA"/>
    <w:rsid w:val="00715873"/>
    <w:rsid w:val="00715B59"/>
    <w:rsid w:val="00716BD2"/>
    <w:rsid w:val="007224F7"/>
    <w:rsid w:val="007233B1"/>
    <w:rsid w:val="0072396F"/>
    <w:rsid w:val="00727EAF"/>
    <w:rsid w:val="00731157"/>
    <w:rsid w:val="007323FB"/>
    <w:rsid w:val="0074556B"/>
    <w:rsid w:val="00747805"/>
    <w:rsid w:val="00752327"/>
    <w:rsid w:val="00753670"/>
    <w:rsid w:val="007629B8"/>
    <w:rsid w:val="00781776"/>
    <w:rsid w:val="00784CDC"/>
    <w:rsid w:val="00786346"/>
    <w:rsid w:val="007901E2"/>
    <w:rsid w:val="00791C1A"/>
    <w:rsid w:val="00795C9A"/>
    <w:rsid w:val="007A283B"/>
    <w:rsid w:val="007A30AE"/>
    <w:rsid w:val="007A5807"/>
    <w:rsid w:val="007A65D0"/>
    <w:rsid w:val="007B6F33"/>
    <w:rsid w:val="007C44C6"/>
    <w:rsid w:val="007D7816"/>
    <w:rsid w:val="007F3037"/>
    <w:rsid w:val="007F394D"/>
    <w:rsid w:val="0080590A"/>
    <w:rsid w:val="00807729"/>
    <w:rsid w:val="0081495D"/>
    <w:rsid w:val="008164A3"/>
    <w:rsid w:val="00825466"/>
    <w:rsid w:val="008308D2"/>
    <w:rsid w:val="00845E53"/>
    <w:rsid w:val="00847677"/>
    <w:rsid w:val="008549FC"/>
    <w:rsid w:val="008559D5"/>
    <w:rsid w:val="00857A11"/>
    <w:rsid w:val="008600E8"/>
    <w:rsid w:val="00862593"/>
    <w:rsid w:val="00865DEE"/>
    <w:rsid w:val="008704E1"/>
    <w:rsid w:val="00872AD8"/>
    <w:rsid w:val="00881FFB"/>
    <w:rsid w:val="00885BF2"/>
    <w:rsid w:val="00886BE3"/>
    <w:rsid w:val="00893D0B"/>
    <w:rsid w:val="008A4668"/>
    <w:rsid w:val="008A556A"/>
    <w:rsid w:val="008A7AFC"/>
    <w:rsid w:val="008B7626"/>
    <w:rsid w:val="008C2D9E"/>
    <w:rsid w:val="008C4A20"/>
    <w:rsid w:val="008C75C1"/>
    <w:rsid w:val="008D16D4"/>
    <w:rsid w:val="008D51B0"/>
    <w:rsid w:val="008D7065"/>
    <w:rsid w:val="008D7CA4"/>
    <w:rsid w:val="008E373D"/>
    <w:rsid w:val="008E37FF"/>
    <w:rsid w:val="008E3DE9"/>
    <w:rsid w:val="008E4D69"/>
    <w:rsid w:val="008E765F"/>
    <w:rsid w:val="008E7E81"/>
    <w:rsid w:val="008F1406"/>
    <w:rsid w:val="009051F7"/>
    <w:rsid w:val="00915488"/>
    <w:rsid w:val="00920135"/>
    <w:rsid w:val="00920A00"/>
    <w:rsid w:val="0092366E"/>
    <w:rsid w:val="00923D02"/>
    <w:rsid w:val="00931ABA"/>
    <w:rsid w:val="00934CE4"/>
    <w:rsid w:val="00936CEA"/>
    <w:rsid w:val="00947644"/>
    <w:rsid w:val="00950550"/>
    <w:rsid w:val="00950A9A"/>
    <w:rsid w:val="00954367"/>
    <w:rsid w:val="00956BF8"/>
    <w:rsid w:val="009571C9"/>
    <w:rsid w:val="009620CB"/>
    <w:rsid w:val="00973409"/>
    <w:rsid w:val="00974CFB"/>
    <w:rsid w:val="00974F3A"/>
    <w:rsid w:val="00980104"/>
    <w:rsid w:val="00984DAA"/>
    <w:rsid w:val="00987272"/>
    <w:rsid w:val="0099002C"/>
    <w:rsid w:val="009A3FF9"/>
    <w:rsid w:val="009A6620"/>
    <w:rsid w:val="009A7D0E"/>
    <w:rsid w:val="009B01CD"/>
    <w:rsid w:val="009B0E19"/>
    <w:rsid w:val="009B4933"/>
    <w:rsid w:val="009B5EAD"/>
    <w:rsid w:val="009B69AB"/>
    <w:rsid w:val="009D00FF"/>
    <w:rsid w:val="009D0445"/>
    <w:rsid w:val="009D2816"/>
    <w:rsid w:val="009E5DC6"/>
    <w:rsid w:val="009F11AB"/>
    <w:rsid w:val="009F2E00"/>
    <w:rsid w:val="009F3045"/>
    <w:rsid w:val="00A04F49"/>
    <w:rsid w:val="00A10347"/>
    <w:rsid w:val="00A14E17"/>
    <w:rsid w:val="00A1502E"/>
    <w:rsid w:val="00A42B40"/>
    <w:rsid w:val="00A4654B"/>
    <w:rsid w:val="00A577B1"/>
    <w:rsid w:val="00A6539F"/>
    <w:rsid w:val="00A67A2D"/>
    <w:rsid w:val="00A7280F"/>
    <w:rsid w:val="00A73FC6"/>
    <w:rsid w:val="00A77DF8"/>
    <w:rsid w:val="00A82129"/>
    <w:rsid w:val="00A90E87"/>
    <w:rsid w:val="00A917C9"/>
    <w:rsid w:val="00A944D8"/>
    <w:rsid w:val="00AA5C3E"/>
    <w:rsid w:val="00AA726B"/>
    <w:rsid w:val="00AA7348"/>
    <w:rsid w:val="00AB16D2"/>
    <w:rsid w:val="00AC036A"/>
    <w:rsid w:val="00AC105E"/>
    <w:rsid w:val="00AC3251"/>
    <w:rsid w:val="00AC662A"/>
    <w:rsid w:val="00AC6E82"/>
    <w:rsid w:val="00AC7F4B"/>
    <w:rsid w:val="00AD0A16"/>
    <w:rsid w:val="00AD39A9"/>
    <w:rsid w:val="00AD6F47"/>
    <w:rsid w:val="00AD6F61"/>
    <w:rsid w:val="00AE08B7"/>
    <w:rsid w:val="00AE7332"/>
    <w:rsid w:val="00AF141F"/>
    <w:rsid w:val="00AF6F48"/>
    <w:rsid w:val="00B209CA"/>
    <w:rsid w:val="00B24C7C"/>
    <w:rsid w:val="00B31C22"/>
    <w:rsid w:val="00B35F60"/>
    <w:rsid w:val="00B43165"/>
    <w:rsid w:val="00B50BA7"/>
    <w:rsid w:val="00B51401"/>
    <w:rsid w:val="00B61228"/>
    <w:rsid w:val="00B645A0"/>
    <w:rsid w:val="00B67BD5"/>
    <w:rsid w:val="00B72C79"/>
    <w:rsid w:val="00B7357A"/>
    <w:rsid w:val="00B75415"/>
    <w:rsid w:val="00B75878"/>
    <w:rsid w:val="00B77105"/>
    <w:rsid w:val="00B877F3"/>
    <w:rsid w:val="00B905AE"/>
    <w:rsid w:val="00B914C3"/>
    <w:rsid w:val="00B92794"/>
    <w:rsid w:val="00B93EDE"/>
    <w:rsid w:val="00B94629"/>
    <w:rsid w:val="00B94C36"/>
    <w:rsid w:val="00B94F4A"/>
    <w:rsid w:val="00BB129E"/>
    <w:rsid w:val="00BB78C3"/>
    <w:rsid w:val="00BB7947"/>
    <w:rsid w:val="00BC017B"/>
    <w:rsid w:val="00BC1148"/>
    <w:rsid w:val="00BC3C09"/>
    <w:rsid w:val="00BC427F"/>
    <w:rsid w:val="00BC5CC4"/>
    <w:rsid w:val="00BD1E64"/>
    <w:rsid w:val="00BE0B50"/>
    <w:rsid w:val="00BE1504"/>
    <w:rsid w:val="00C00F94"/>
    <w:rsid w:val="00C0189A"/>
    <w:rsid w:val="00C14E0B"/>
    <w:rsid w:val="00C20BD6"/>
    <w:rsid w:val="00C265A5"/>
    <w:rsid w:val="00C26FB2"/>
    <w:rsid w:val="00C27E7E"/>
    <w:rsid w:val="00C27FB2"/>
    <w:rsid w:val="00C306FA"/>
    <w:rsid w:val="00C30726"/>
    <w:rsid w:val="00C31735"/>
    <w:rsid w:val="00C42CA4"/>
    <w:rsid w:val="00C44B41"/>
    <w:rsid w:val="00C46C0A"/>
    <w:rsid w:val="00C5056D"/>
    <w:rsid w:val="00C525A4"/>
    <w:rsid w:val="00C60583"/>
    <w:rsid w:val="00C60594"/>
    <w:rsid w:val="00C60C7B"/>
    <w:rsid w:val="00C60D59"/>
    <w:rsid w:val="00C62892"/>
    <w:rsid w:val="00C63CAE"/>
    <w:rsid w:val="00C63DC8"/>
    <w:rsid w:val="00C66A82"/>
    <w:rsid w:val="00C75989"/>
    <w:rsid w:val="00C8135B"/>
    <w:rsid w:val="00C82E87"/>
    <w:rsid w:val="00C848C7"/>
    <w:rsid w:val="00C90ACA"/>
    <w:rsid w:val="00C91472"/>
    <w:rsid w:val="00C9556B"/>
    <w:rsid w:val="00CA421D"/>
    <w:rsid w:val="00CA4B16"/>
    <w:rsid w:val="00CA4FC1"/>
    <w:rsid w:val="00CB2EAF"/>
    <w:rsid w:val="00CB74F7"/>
    <w:rsid w:val="00CC5629"/>
    <w:rsid w:val="00CC5C22"/>
    <w:rsid w:val="00CD2743"/>
    <w:rsid w:val="00CD790E"/>
    <w:rsid w:val="00CE460A"/>
    <w:rsid w:val="00CE50B4"/>
    <w:rsid w:val="00CE7F47"/>
    <w:rsid w:val="00CF34B9"/>
    <w:rsid w:val="00CF3A2A"/>
    <w:rsid w:val="00CF57E0"/>
    <w:rsid w:val="00D02EA7"/>
    <w:rsid w:val="00D04B1A"/>
    <w:rsid w:val="00D05194"/>
    <w:rsid w:val="00D10461"/>
    <w:rsid w:val="00D214DA"/>
    <w:rsid w:val="00D21813"/>
    <w:rsid w:val="00D22868"/>
    <w:rsid w:val="00D23D86"/>
    <w:rsid w:val="00D25203"/>
    <w:rsid w:val="00D326C5"/>
    <w:rsid w:val="00D339F4"/>
    <w:rsid w:val="00D447D0"/>
    <w:rsid w:val="00D56E79"/>
    <w:rsid w:val="00D616AE"/>
    <w:rsid w:val="00D61AE1"/>
    <w:rsid w:val="00D6275F"/>
    <w:rsid w:val="00D641DF"/>
    <w:rsid w:val="00D6726D"/>
    <w:rsid w:val="00D67532"/>
    <w:rsid w:val="00D8407B"/>
    <w:rsid w:val="00D87457"/>
    <w:rsid w:val="00D914F2"/>
    <w:rsid w:val="00D92FC0"/>
    <w:rsid w:val="00D943CA"/>
    <w:rsid w:val="00D952F7"/>
    <w:rsid w:val="00DA049F"/>
    <w:rsid w:val="00DA2A74"/>
    <w:rsid w:val="00DA462B"/>
    <w:rsid w:val="00DB0B48"/>
    <w:rsid w:val="00DC30AE"/>
    <w:rsid w:val="00DC73AB"/>
    <w:rsid w:val="00DD3B65"/>
    <w:rsid w:val="00DE01C5"/>
    <w:rsid w:val="00DE41BD"/>
    <w:rsid w:val="00DE42D1"/>
    <w:rsid w:val="00E03773"/>
    <w:rsid w:val="00E03C97"/>
    <w:rsid w:val="00E107DF"/>
    <w:rsid w:val="00E1405E"/>
    <w:rsid w:val="00E15AEE"/>
    <w:rsid w:val="00E15B16"/>
    <w:rsid w:val="00E15FE6"/>
    <w:rsid w:val="00E1629E"/>
    <w:rsid w:val="00E2103A"/>
    <w:rsid w:val="00E2105F"/>
    <w:rsid w:val="00E22853"/>
    <w:rsid w:val="00E26751"/>
    <w:rsid w:val="00E26F9C"/>
    <w:rsid w:val="00E3264D"/>
    <w:rsid w:val="00E32CCC"/>
    <w:rsid w:val="00E46196"/>
    <w:rsid w:val="00E4639D"/>
    <w:rsid w:val="00E47715"/>
    <w:rsid w:val="00E50632"/>
    <w:rsid w:val="00E535E2"/>
    <w:rsid w:val="00E54CB4"/>
    <w:rsid w:val="00E558FD"/>
    <w:rsid w:val="00E562F6"/>
    <w:rsid w:val="00E67320"/>
    <w:rsid w:val="00E67EA1"/>
    <w:rsid w:val="00E718F7"/>
    <w:rsid w:val="00E71FD0"/>
    <w:rsid w:val="00E721E9"/>
    <w:rsid w:val="00E73BC2"/>
    <w:rsid w:val="00E83B7A"/>
    <w:rsid w:val="00E83BC1"/>
    <w:rsid w:val="00E83CF9"/>
    <w:rsid w:val="00E92C8F"/>
    <w:rsid w:val="00EA7E5D"/>
    <w:rsid w:val="00EB1ED7"/>
    <w:rsid w:val="00EB399F"/>
    <w:rsid w:val="00EB4556"/>
    <w:rsid w:val="00EB7596"/>
    <w:rsid w:val="00EB787E"/>
    <w:rsid w:val="00EC633B"/>
    <w:rsid w:val="00ED1801"/>
    <w:rsid w:val="00ED25AF"/>
    <w:rsid w:val="00EE7FEC"/>
    <w:rsid w:val="00EF3983"/>
    <w:rsid w:val="00EF5525"/>
    <w:rsid w:val="00EF5B66"/>
    <w:rsid w:val="00F00EB7"/>
    <w:rsid w:val="00F02978"/>
    <w:rsid w:val="00F02F80"/>
    <w:rsid w:val="00F03E9D"/>
    <w:rsid w:val="00F05423"/>
    <w:rsid w:val="00F07EC6"/>
    <w:rsid w:val="00F111DC"/>
    <w:rsid w:val="00F117B7"/>
    <w:rsid w:val="00F1304E"/>
    <w:rsid w:val="00F14EEB"/>
    <w:rsid w:val="00F22211"/>
    <w:rsid w:val="00F22B48"/>
    <w:rsid w:val="00F2778B"/>
    <w:rsid w:val="00F27942"/>
    <w:rsid w:val="00F309FC"/>
    <w:rsid w:val="00F3520C"/>
    <w:rsid w:val="00F45681"/>
    <w:rsid w:val="00F50581"/>
    <w:rsid w:val="00F5274E"/>
    <w:rsid w:val="00F5604B"/>
    <w:rsid w:val="00F63674"/>
    <w:rsid w:val="00F80A96"/>
    <w:rsid w:val="00F82AF3"/>
    <w:rsid w:val="00F82CB8"/>
    <w:rsid w:val="00F90073"/>
    <w:rsid w:val="00FA7648"/>
    <w:rsid w:val="00FB4451"/>
    <w:rsid w:val="00FC07A4"/>
    <w:rsid w:val="00FC100F"/>
    <w:rsid w:val="00FC62AB"/>
    <w:rsid w:val="00FC6CE7"/>
    <w:rsid w:val="00FC7D30"/>
    <w:rsid w:val="00FD2CDF"/>
    <w:rsid w:val="00FD46CB"/>
    <w:rsid w:val="00FD49AA"/>
    <w:rsid w:val="00FE4AB1"/>
    <w:rsid w:val="00FF0353"/>
    <w:rsid w:val="00FF15F4"/>
    <w:rsid w:val="00FF4108"/>
    <w:rsid w:val="00FF5347"/>
    <w:rsid w:val="014728C9"/>
    <w:rsid w:val="014E1B18"/>
    <w:rsid w:val="01BB1583"/>
    <w:rsid w:val="01D512AC"/>
    <w:rsid w:val="023957C9"/>
    <w:rsid w:val="03A32649"/>
    <w:rsid w:val="0849758E"/>
    <w:rsid w:val="0AB14AFE"/>
    <w:rsid w:val="0B4C1BA0"/>
    <w:rsid w:val="0BCE6B14"/>
    <w:rsid w:val="0BD533E9"/>
    <w:rsid w:val="0DA261F7"/>
    <w:rsid w:val="0E876CE6"/>
    <w:rsid w:val="0EC83B19"/>
    <w:rsid w:val="0F7134C0"/>
    <w:rsid w:val="119C654B"/>
    <w:rsid w:val="13303D59"/>
    <w:rsid w:val="14E3254C"/>
    <w:rsid w:val="15665585"/>
    <w:rsid w:val="16D37E23"/>
    <w:rsid w:val="16F10F2D"/>
    <w:rsid w:val="17F93643"/>
    <w:rsid w:val="1858339E"/>
    <w:rsid w:val="18AC43F1"/>
    <w:rsid w:val="194B5595"/>
    <w:rsid w:val="1972495E"/>
    <w:rsid w:val="19AE2BCE"/>
    <w:rsid w:val="1C730E9F"/>
    <w:rsid w:val="1CC8201B"/>
    <w:rsid w:val="1F2F70B0"/>
    <w:rsid w:val="1F4313E0"/>
    <w:rsid w:val="1F8D5798"/>
    <w:rsid w:val="21C12CC3"/>
    <w:rsid w:val="22087508"/>
    <w:rsid w:val="22786704"/>
    <w:rsid w:val="229D084E"/>
    <w:rsid w:val="22FB58B7"/>
    <w:rsid w:val="24DA3998"/>
    <w:rsid w:val="25036F65"/>
    <w:rsid w:val="27AA4674"/>
    <w:rsid w:val="28783376"/>
    <w:rsid w:val="28943D60"/>
    <w:rsid w:val="2B9337CC"/>
    <w:rsid w:val="2C252A4D"/>
    <w:rsid w:val="302936FF"/>
    <w:rsid w:val="30B6684F"/>
    <w:rsid w:val="31585038"/>
    <w:rsid w:val="334D06AD"/>
    <w:rsid w:val="337A25B8"/>
    <w:rsid w:val="33DF63DE"/>
    <w:rsid w:val="34CD594E"/>
    <w:rsid w:val="34D75164"/>
    <w:rsid w:val="34EC5ACA"/>
    <w:rsid w:val="35133A5F"/>
    <w:rsid w:val="353C426D"/>
    <w:rsid w:val="36934B87"/>
    <w:rsid w:val="37AA3DFC"/>
    <w:rsid w:val="37C05C6E"/>
    <w:rsid w:val="37F42F41"/>
    <w:rsid w:val="38525ADD"/>
    <w:rsid w:val="3B40546B"/>
    <w:rsid w:val="3D342705"/>
    <w:rsid w:val="3E273CD3"/>
    <w:rsid w:val="3F1E3CAD"/>
    <w:rsid w:val="3F8F633D"/>
    <w:rsid w:val="3FAC4333"/>
    <w:rsid w:val="3FE77E7C"/>
    <w:rsid w:val="406C1993"/>
    <w:rsid w:val="409806D4"/>
    <w:rsid w:val="41917E5D"/>
    <w:rsid w:val="43662474"/>
    <w:rsid w:val="451673CA"/>
    <w:rsid w:val="47B51E5B"/>
    <w:rsid w:val="4A1D522F"/>
    <w:rsid w:val="4B172F28"/>
    <w:rsid w:val="4B9C7EE3"/>
    <w:rsid w:val="4BE72A3F"/>
    <w:rsid w:val="4CE9777F"/>
    <w:rsid w:val="4D287349"/>
    <w:rsid w:val="4D5048E4"/>
    <w:rsid w:val="4FA97688"/>
    <w:rsid w:val="5004230F"/>
    <w:rsid w:val="55235232"/>
    <w:rsid w:val="56656B79"/>
    <w:rsid w:val="59913130"/>
    <w:rsid w:val="59C41D2F"/>
    <w:rsid w:val="5A9A2769"/>
    <w:rsid w:val="5E844E53"/>
    <w:rsid w:val="602915C0"/>
    <w:rsid w:val="62AF14B9"/>
    <w:rsid w:val="66B82094"/>
    <w:rsid w:val="66D16286"/>
    <w:rsid w:val="67BB05AC"/>
    <w:rsid w:val="691B7D14"/>
    <w:rsid w:val="69837312"/>
    <w:rsid w:val="69BD39D9"/>
    <w:rsid w:val="6A615AAE"/>
    <w:rsid w:val="6B62299A"/>
    <w:rsid w:val="6BE01E10"/>
    <w:rsid w:val="6CBB43CE"/>
    <w:rsid w:val="6D0E76ED"/>
    <w:rsid w:val="6D41207E"/>
    <w:rsid w:val="6DA526F2"/>
    <w:rsid w:val="6DAB47E2"/>
    <w:rsid w:val="6DC12176"/>
    <w:rsid w:val="6F080902"/>
    <w:rsid w:val="6F1910A0"/>
    <w:rsid w:val="70C377C4"/>
    <w:rsid w:val="72913D48"/>
    <w:rsid w:val="72AB47F8"/>
    <w:rsid w:val="73211307"/>
    <w:rsid w:val="734348F8"/>
    <w:rsid w:val="73B37A69"/>
    <w:rsid w:val="766D37E7"/>
    <w:rsid w:val="7AF22BD2"/>
    <w:rsid w:val="7BA31458"/>
    <w:rsid w:val="7C0E7410"/>
    <w:rsid w:val="7D511FF1"/>
    <w:rsid w:val="7E3079EC"/>
    <w:rsid w:val="7EAD0FCD"/>
    <w:rsid w:val="7FE7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0"/>
    <w:pPr>
      <w:keepNext/>
      <w:keepLines/>
      <w:spacing w:before="340" w:after="330" w:line="578" w:lineRule="auto"/>
      <w:outlineLvl w:val="0"/>
    </w:pPr>
    <w:rPr>
      <w:b/>
      <w:kern w:val="44"/>
      <w:sz w:val="44"/>
      <w:szCs w:val="20"/>
    </w:rPr>
  </w:style>
  <w:style w:type="paragraph" w:styleId="6">
    <w:name w:val="heading 2"/>
    <w:basedOn w:val="1"/>
    <w:next w:val="1"/>
    <w:link w:val="32"/>
    <w:qFormat/>
    <w:uiPriority w:val="0"/>
    <w:pPr>
      <w:keepNext/>
      <w:keepLines/>
      <w:spacing w:before="260" w:after="260" w:line="416" w:lineRule="auto"/>
      <w:outlineLvl w:val="1"/>
    </w:pPr>
    <w:rPr>
      <w:rFonts w:ascii="Cambria" w:hAnsi="Cambria"/>
      <w:b/>
      <w:kern w:val="0"/>
      <w:sz w:val="32"/>
      <w:szCs w:val="20"/>
    </w:rPr>
  </w:style>
  <w:style w:type="paragraph" w:styleId="7">
    <w:name w:val="heading 3"/>
    <w:basedOn w:val="1"/>
    <w:next w:val="1"/>
    <w:link w:val="33"/>
    <w:qFormat/>
    <w:uiPriority w:val="0"/>
    <w:pPr>
      <w:keepNext/>
      <w:keepLines/>
      <w:spacing w:before="260" w:after="260" w:line="416" w:lineRule="auto"/>
      <w:outlineLvl w:val="2"/>
    </w:pPr>
    <w:rPr>
      <w:b/>
      <w:kern w:val="0"/>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公1"/>
    <w:next w:val="3"/>
    <w:qFormat/>
    <w:uiPriority w:val="0"/>
    <w:pPr>
      <w:widowControl w:val="0"/>
      <w:ind w:firstLine="200" w:firstLineChars="200"/>
      <w:jc w:val="both"/>
    </w:pPr>
    <w:rPr>
      <w:rFonts w:ascii="Calibri" w:hAnsi="Calibri" w:eastAsia="宋体" w:cs="黑体"/>
      <w:kern w:val="2"/>
      <w:sz w:val="21"/>
      <w:szCs w:val="24"/>
      <w:lang w:val="en-US" w:eastAsia="zh-CN" w:bidi="ar-SA"/>
    </w:rPr>
  </w:style>
  <w:style w:type="paragraph" w:styleId="3">
    <w:name w:val="Normal (Web)"/>
    <w:basedOn w:val="1"/>
    <w:next w:val="4"/>
    <w:qFormat/>
    <w:uiPriority w:val="99"/>
    <w:pPr>
      <w:widowControl/>
      <w:spacing w:before="100" w:beforeAutospacing="1" w:after="100" w:afterAutospacing="1"/>
      <w:jc w:val="left"/>
    </w:pPr>
    <w:rPr>
      <w:rFonts w:ascii="宋体" w:hAnsi="宋体" w:cs="宋体"/>
      <w:kern w:val="0"/>
      <w:sz w:val="24"/>
    </w:rPr>
  </w:style>
  <w:style w:type="paragraph" w:styleId="4">
    <w:name w:val="index 9"/>
    <w:next w:val="1"/>
    <w:qFormat/>
    <w:uiPriority w:val="0"/>
    <w:pPr>
      <w:widowControl w:val="0"/>
      <w:ind w:left="1600" w:leftChars="1600"/>
    </w:pPr>
    <w:rPr>
      <w:rFonts w:ascii="Calibri" w:hAnsi="Calibri" w:eastAsia="宋体" w:cs="Arial"/>
      <w:sz w:val="22"/>
      <w:szCs w:val="22"/>
      <w:lang w:val="en-US" w:eastAsia="zh-CN" w:bidi="ar-SA"/>
    </w:r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link w:val="49"/>
    <w:semiHidden/>
    <w:unhideWhenUsed/>
    <w:qFormat/>
    <w:uiPriority w:val="0"/>
    <w:pPr>
      <w:jc w:val="left"/>
    </w:pPr>
  </w:style>
  <w:style w:type="paragraph" w:styleId="10">
    <w:name w:val="toc 3"/>
    <w:basedOn w:val="1"/>
    <w:next w:val="1"/>
    <w:qFormat/>
    <w:uiPriority w:val="39"/>
    <w:pPr>
      <w:ind w:left="840" w:leftChars="400"/>
    </w:pPr>
    <w:rPr>
      <w:rFonts w:ascii="Calibri" w:hAnsi="Calibri"/>
      <w:szCs w:val="22"/>
    </w:rPr>
  </w:style>
  <w:style w:type="paragraph" w:styleId="11">
    <w:name w:val="Date"/>
    <w:basedOn w:val="1"/>
    <w:next w:val="1"/>
    <w:link w:val="39"/>
    <w:qFormat/>
    <w:uiPriority w:val="0"/>
    <w:pPr>
      <w:ind w:left="100" w:leftChars="2500"/>
    </w:pPr>
    <w:rPr>
      <w:rFonts w:cstheme="minorBidi"/>
      <w:sz w:val="24"/>
      <w:szCs w:val="22"/>
    </w:rPr>
  </w:style>
  <w:style w:type="paragraph" w:styleId="12">
    <w:name w:val="endnote text"/>
    <w:basedOn w:val="1"/>
    <w:link w:val="35"/>
    <w:qFormat/>
    <w:uiPriority w:val="0"/>
    <w:pPr>
      <w:snapToGrid w:val="0"/>
      <w:jc w:val="left"/>
    </w:pPr>
    <w:rPr>
      <w:rFonts w:cstheme="minorBidi"/>
      <w:sz w:val="24"/>
      <w:szCs w:val="22"/>
    </w:rPr>
  </w:style>
  <w:style w:type="paragraph" w:styleId="13">
    <w:name w:val="Balloon Text"/>
    <w:basedOn w:val="1"/>
    <w:link w:val="34"/>
    <w:semiHidden/>
    <w:qFormat/>
    <w:uiPriority w:val="0"/>
    <w:rPr>
      <w:rFonts w:cstheme="minorBidi"/>
      <w:sz w:val="18"/>
      <w:szCs w:val="22"/>
    </w:rPr>
  </w:style>
  <w:style w:type="paragraph" w:styleId="14">
    <w:name w:val="footer"/>
    <w:basedOn w:val="1"/>
    <w:link w:val="38"/>
    <w:qFormat/>
    <w:uiPriority w:val="0"/>
    <w:pPr>
      <w:tabs>
        <w:tab w:val="center" w:pos="4153"/>
        <w:tab w:val="right" w:pos="8306"/>
      </w:tabs>
      <w:snapToGrid w:val="0"/>
      <w:jc w:val="left"/>
    </w:pPr>
    <w:rPr>
      <w:rFonts w:cstheme="minorBidi"/>
      <w:sz w:val="18"/>
      <w:szCs w:val="22"/>
    </w:rPr>
  </w:style>
  <w:style w:type="paragraph" w:styleId="15">
    <w:name w:val="header"/>
    <w:basedOn w:val="1"/>
    <w:link w:val="43"/>
    <w:qFormat/>
    <w:uiPriority w:val="0"/>
    <w:pPr>
      <w:pBdr>
        <w:bottom w:val="single" w:color="auto" w:sz="6" w:space="1"/>
      </w:pBdr>
      <w:tabs>
        <w:tab w:val="center" w:pos="4153"/>
        <w:tab w:val="right" w:pos="8306"/>
      </w:tabs>
      <w:snapToGrid w:val="0"/>
      <w:jc w:val="center"/>
    </w:pPr>
    <w:rPr>
      <w:rFonts w:cstheme="minorBidi"/>
      <w:sz w:val="18"/>
      <w:szCs w:val="22"/>
    </w:rPr>
  </w:style>
  <w:style w:type="paragraph" w:styleId="16">
    <w:name w:val="toc 1"/>
    <w:basedOn w:val="1"/>
    <w:next w:val="1"/>
    <w:qFormat/>
    <w:uiPriority w:val="39"/>
    <w:pPr>
      <w:tabs>
        <w:tab w:val="right" w:leader="dot" w:pos="8296"/>
      </w:tabs>
      <w:spacing w:line="500" w:lineRule="exact"/>
    </w:pPr>
    <w:rPr>
      <w:rFonts w:ascii="黑体" w:hAnsi="黑体" w:eastAsia="黑体"/>
      <w:sz w:val="28"/>
      <w:szCs w:val="28"/>
      <w:lang w:val="zh-CN"/>
    </w:rPr>
  </w:style>
  <w:style w:type="paragraph" w:styleId="17">
    <w:name w:val="footnote text"/>
    <w:basedOn w:val="1"/>
    <w:link w:val="40"/>
    <w:qFormat/>
    <w:uiPriority w:val="0"/>
    <w:pPr>
      <w:snapToGrid w:val="0"/>
      <w:jc w:val="left"/>
    </w:pPr>
    <w:rPr>
      <w:rFonts w:cstheme="minorBidi"/>
      <w:sz w:val="18"/>
      <w:szCs w:val="22"/>
    </w:rPr>
  </w:style>
  <w:style w:type="paragraph" w:styleId="18">
    <w:name w:val="toc 2"/>
    <w:basedOn w:val="1"/>
    <w:next w:val="1"/>
    <w:qFormat/>
    <w:uiPriority w:val="39"/>
    <w:pPr>
      <w:tabs>
        <w:tab w:val="right" w:leader="dot" w:pos="8296"/>
      </w:tabs>
      <w:ind w:left="420" w:leftChars="200"/>
    </w:pPr>
    <w:rPr>
      <w:rFonts w:ascii="仿宋_GB2312" w:hAnsi="Calibri" w:eastAsia="仿宋_GB2312"/>
      <w:sz w:val="24"/>
      <w:lang w:val="zh-CN"/>
    </w:rPr>
  </w:style>
  <w:style w:type="paragraph" w:styleId="19">
    <w:name w:val="Title"/>
    <w:basedOn w:val="1"/>
    <w:next w:val="1"/>
    <w:link w:val="37"/>
    <w:qFormat/>
    <w:uiPriority w:val="0"/>
    <w:pPr>
      <w:spacing w:before="240" w:after="60"/>
      <w:jc w:val="center"/>
      <w:outlineLvl w:val="0"/>
    </w:pPr>
    <w:rPr>
      <w:rFonts w:ascii="Cambria" w:hAnsi="Cambria" w:cstheme="minorBidi"/>
      <w:b/>
      <w:sz w:val="32"/>
      <w:szCs w:val="22"/>
    </w:rPr>
  </w:style>
  <w:style w:type="paragraph" w:styleId="20">
    <w:name w:val="annotation subject"/>
    <w:basedOn w:val="9"/>
    <w:next w:val="9"/>
    <w:link w:val="50"/>
    <w:semiHidden/>
    <w:qFormat/>
    <w:uiPriority w:val="0"/>
    <w:rPr>
      <w:b/>
      <w:bCs/>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endnote reference"/>
    <w:qFormat/>
    <w:uiPriority w:val="0"/>
    <w:rPr>
      <w:vertAlign w:val="superscript"/>
    </w:rPr>
  </w:style>
  <w:style w:type="character" w:styleId="26">
    <w:name w:val="page number"/>
    <w:basedOn w:val="23"/>
    <w:qFormat/>
    <w:uiPriority w:val="0"/>
  </w:style>
  <w:style w:type="character" w:styleId="27">
    <w:name w:val="Emphasis"/>
    <w:qFormat/>
    <w:uiPriority w:val="20"/>
    <w:rPr>
      <w:i/>
    </w:rPr>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character" w:styleId="30">
    <w:name w:val="footnote reference"/>
    <w:qFormat/>
    <w:uiPriority w:val="0"/>
    <w:rPr>
      <w:rFonts w:ascii="仿宋_GB2312" w:eastAsia="仿宋_GB2312"/>
      <w:sz w:val="32"/>
      <w:vertAlign w:val="superscript"/>
      <w:lang w:val="zh-CN"/>
    </w:rPr>
  </w:style>
  <w:style w:type="character" w:customStyle="1" w:styleId="31">
    <w:name w:val="标题 1 字符"/>
    <w:basedOn w:val="23"/>
    <w:link w:val="5"/>
    <w:qFormat/>
    <w:uiPriority w:val="0"/>
    <w:rPr>
      <w:rFonts w:ascii="Times New Roman" w:hAnsi="Times New Roman" w:eastAsia="宋体" w:cs="Times New Roman"/>
      <w:b/>
      <w:kern w:val="44"/>
      <w:sz w:val="44"/>
      <w:szCs w:val="20"/>
    </w:rPr>
  </w:style>
  <w:style w:type="character" w:customStyle="1" w:styleId="32">
    <w:name w:val="标题 2 字符"/>
    <w:basedOn w:val="23"/>
    <w:link w:val="6"/>
    <w:qFormat/>
    <w:uiPriority w:val="0"/>
    <w:rPr>
      <w:rFonts w:ascii="Cambria" w:hAnsi="Cambria" w:eastAsia="宋体" w:cs="Times New Roman"/>
      <w:b/>
      <w:kern w:val="0"/>
      <w:sz w:val="32"/>
      <w:szCs w:val="20"/>
    </w:rPr>
  </w:style>
  <w:style w:type="character" w:customStyle="1" w:styleId="33">
    <w:name w:val="标题 3 字符"/>
    <w:basedOn w:val="23"/>
    <w:link w:val="7"/>
    <w:qFormat/>
    <w:uiPriority w:val="0"/>
    <w:rPr>
      <w:rFonts w:ascii="Times New Roman" w:hAnsi="Times New Roman" w:eastAsia="宋体" w:cs="Times New Roman"/>
      <w:b/>
      <w:kern w:val="0"/>
      <w:sz w:val="32"/>
      <w:szCs w:val="20"/>
    </w:rPr>
  </w:style>
  <w:style w:type="character" w:customStyle="1" w:styleId="34">
    <w:name w:val="批注框文本 字符"/>
    <w:link w:val="13"/>
    <w:semiHidden/>
    <w:qFormat/>
    <w:locked/>
    <w:uiPriority w:val="0"/>
    <w:rPr>
      <w:rFonts w:ascii="Times New Roman" w:hAnsi="Times New Roman" w:eastAsia="宋体"/>
      <w:sz w:val="18"/>
    </w:rPr>
  </w:style>
  <w:style w:type="character" w:customStyle="1" w:styleId="35">
    <w:name w:val="尾注文本 字符"/>
    <w:link w:val="12"/>
    <w:qFormat/>
    <w:locked/>
    <w:uiPriority w:val="0"/>
    <w:rPr>
      <w:rFonts w:ascii="Times New Roman" w:hAnsi="Times New Roman" w:eastAsia="宋体"/>
      <w:sz w:val="24"/>
    </w:rPr>
  </w:style>
  <w:style w:type="character" w:customStyle="1" w:styleId="36">
    <w:name w:val="green121"/>
    <w:qFormat/>
    <w:uiPriority w:val="0"/>
    <w:rPr>
      <w:rFonts w:ascii="??" w:hAnsi="??"/>
      <w:color w:val="0A5D21"/>
      <w:sz w:val="18"/>
      <w:u w:val="none"/>
    </w:rPr>
  </w:style>
  <w:style w:type="character" w:customStyle="1" w:styleId="37">
    <w:name w:val="标题 字符"/>
    <w:link w:val="19"/>
    <w:qFormat/>
    <w:locked/>
    <w:uiPriority w:val="0"/>
    <w:rPr>
      <w:rFonts w:ascii="Cambria" w:hAnsi="Cambria" w:eastAsia="宋体"/>
      <w:b/>
      <w:sz w:val="32"/>
    </w:rPr>
  </w:style>
  <w:style w:type="character" w:customStyle="1" w:styleId="38">
    <w:name w:val="页脚 字符"/>
    <w:link w:val="14"/>
    <w:qFormat/>
    <w:locked/>
    <w:uiPriority w:val="0"/>
    <w:rPr>
      <w:rFonts w:ascii="Times New Roman" w:hAnsi="Times New Roman" w:eastAsia="宋体"/>
      <w:sz w:val="18"/>
    </w:rPr>
  </w:style>
  <w:style w:type="character" w:customStyle="1" w:styleId="39">
    <w:name w:val="日期 字符"/>
    <w:link w:val="11"/>
    <w:qFormat/>
    <w:locked/>
    <w:uiPriority w:val="0"/>
    <w:rPr>
      <w:rFonts w:ascii="Times New Roman" w:hAnsi="Times New Roman" w:eastAsia="宋体"/>
      <w:sz w:val="24"/>
    </w:rPr>
  </w:style>
  <w:style w:type="character" w:customStyle="1" w:styleId="40">
    <w:name w:val="脚注文本 字符"/>
    <w:link w:val="17"/>
    <w:qFormat/>
    <w:locked/>
    <w:uiPriority w:val="0"/>
    <w:rPr>
      <w:rFonts w:ascii="Times New Roman" w:hAnsi="Times New Roman" w:eastAsia="宋体"/>
      <w:sz w:val="18"/>
    </w:rPr>
  </w:style>
  <w:style w:type="character" w:customStyle="1" w:styleId="41">
    <w:name w:val="apple-converted-space"/>
    <w:basedOn w:val="23"/>
    <w:qFormat/>
    <w:uiPriority w:val="0"/>
  </w:style>
  <w:style w:type="character" w:customStyle="1" w:styleId="42">
    <w:name w:val="biaoti1"/>
    <w:qFormat/>
    <w:uiPriority w:val="0"/>
    <w:rPr>
      <w:rFonts w:ascii="宋体" w:hAnsi="宋体" w:eastAsia="宋体"/>
      <w:b/>
      <w:color w:val="C63C3C"/>
      <w:sz w:val="28"/>
    </w:rPr>
  </w:style>
  <w:style w:type="character" w:customStyle="1" w:styleId="43">
    <w:name w:val="页眉 字符"/>
    <w:link w:val="15"/>
    <w:qFormat/>
    <w:locked/>
    <w:uiPriority w:val="0"/>
    <w:rPr>
      <w:rFonts w:ascii="Times New Roman" w:hAnsi="Times New Roman" w:eastAsia="宋体"/>
      <w:sz w:val="18"/>
    </w:rPr>
  </w:style>
  <w:style w:type="character" w:customStyle="1" w:styleId="44">
    <w:name w:val="标题2 Char"/>
    <w:link w:val="45"/>
    <w:qFormat/>
    <w:locked/>
    <w:uiPriority w:val="0"/>
    <w:rPr>
      <w:rFonts w:ascii="Times New Roman" w:hAnsi="Times New Roman" w:eastAsia="方正楷体_GBK"/>
      <w:snapToGrid w:val="0"/>
      <w:kern w:val="0"/>
      <w:sz w:val="20"/>
    </w:rPr>
  </w:style>
  <w:style w:type="paragraph" w:customStyle="1" w:styleId="45">
    <w:name w:val="标题2"/>
    <w:basedOn w:val="1"/>
    <w:next w:val="1"/>
    <w:link w:val="44"/>
    <w:qFormat/>
    <w:uiPriority w:val="0"/>
    <w:pPr>
      <w:autoSpaceDE w:val="0"/>
      <w:autoSpaceDN w:val="0"/>
      <w:snapToGrid w:val="0"/>
      <w:spacing w:line="590" w:lineRule="atLeast"/>
      <w:jc w:val="center"/>
    </w:pPr>
    <w:rPr>
      <w:rFonts w:eastAsia="方正楷体_GBK" w:cstheme="minorBidi"/>
      <w:snapToGrid w:val="0"/>
      <w:kern w:val="0"/>
      <w:sz w:val="20"/>
      <w:szCs w:val="22"/>
    </w:rPr>
  </w:style>
  <w:style w:type="character" w:customStyle="1" w:styleId="46">
    <w:name w:val="info"/>
    <w:qFormat/>
    <w:uiPriority w:val="0"/>
  </w:style>
  <w:style w:type="character" w:customStyle="1" w:styleId="47">
    <w:name w:val="页眉 Char1"/>
    <w:basedOn w:val="23"/>
    <w:semiHidden/>
    <w:qFormat/>
    <w:uiPriority w:val="99"/>
    <w:rPr>
      <w:rFonts w:ascii="Times New Roman" w:hAnsi="Times New Roman" w:eastAsia="宋体" w:cs="Times New Roman"/>
      <w:sz w:val="18"/>
      <w:szCs w:val="18"/>
    </w:rPr>
  </w:style>
  <w:style w:type="character" w:customStyle="1" w:styleId="48">
    <w:name w:val="批注框文本 Char1"/>
    <w:basedOn w:val="23"/>
    <w:semiHidden/>
    <w:qFormat/>
    <w:uiPriority w:val="99"/>
    <w:rPr>
      <w:rFonts w:ascii="Times New Roman" w:hAnsi="Times New Roman" w:eastAsia="宋体" w:cs="Times New Roman"/>
      <w:sz w:val="18"/>
      <w:szCs w:val="18"/>
    </w:rPr>
  </w:style>
  <w:style w:type="character" w:customStyle="1" w:styleId="49">
    <w:name w:val="批注文字 字符"/>
    <w:basedOn w:val="23"/>
    <w:link w:val="9"/>
    <w:semiHidden/>
    <w:qFormat/>
    <w:uiPriority w:val="99"/>
    <w:rPr>
      <w:rFonts w:ascii="Times New Roman" w:hAnsi="Times New Roman" w:eastAsia="宋体" w:cs="Times New Roman"/>
      <w:szCs w:val="24"/>
    </w:rPr>
  </w:style>
  <w:style w:type="character" w:customStyle="1" w:styleId="50">
    <w:name w:val="批注主题 字符"/>
    <w:basedOn w:val="49"/>
    <w:link w:val="20"/>
    <w:semiHidden/>
    <w:qFormat/>
    <w:uiPriority w:val="0"/>
    <w:rPr>
      <w:rFonts w:ascii="Times New Roman" w:hAnsi="Times New Roman" w:eastAsia="宋体" w:cs="Times New Roman"/>
      <w:b/>
      <w:bCs/>
      <w:szCs w:val="24"/>
    </w:rPr>
  </w:style>
  <w:style w:type="character" w:customStyle="1" w:styleId="51">
    <w:name w:val="日期 Char1"/>
    <w:basedOn w:val="23"/>
    <w:semiHidden/>
    <w:qFormat/>
    <w:uiPriority w:val="99"/>
    <w:rPr>
      <w:rFonts w:ascii="Times New Roman" w:hAnsi="Times New Roman" w:eastAsia="宋体" w:cs="Times New Roman"/>
      <w:szCs w:val="24"/>
    </w:rPr>
  </w:style>
  <w:style w:type="paragraph" w:customStyle="1" w:styleId="52">
    <w:name w:val="Char"/>
    <w:basedOn w:val="1"/>
    <w:semiHidden/>
    <w:qFormat/>
    <w:uiPriority w:val="0"/>
  </w:style>
  <w:style w:type="character" w:customStyle="1" w:styleId="53">
    <w:name w:val="尾注文本 Char1"/>
    <w:basedOn w:val="23"/>
    <w:semiHidden/>
    <w:qFormat/>
    <w:uiPriority w:val="99"/>
    <w:rPr>
      <w:rFonts w:ascii="Times New Roman" w:hAnsi="Times New Roman" w:eastAsia="宋体" w:cs="Times New Roman"/>
      <w:szCs w:val="24"/>
    </w:rPr>
  </w:style>
  <w:style w:type="paragraph" w:customStyle="1" w:styleId="54">
    <w:name w:val="列出段落1"/>
    <w:basedOn w:val="1"/>
    <w:qFormat/>
    <w:uiPriority w:val="0"/>
    <w:pPr>
      <w:ind w:firstLine="420" w:firstLineChars="200"/>
    </w:pPr>
  </w:style>
  <w:style w:type="character" w:customStyle="1" w:styleId="55">
    <w:name w:val="标题 Char1"/>
    <w:basedOn w:val="23"/>
    <w:qFormat/>
    <w:uiPriority w:val="10"/>
    <w:rPr>
      <w:rFonts w:eastAsia="宋体" w:asciiTheme="majorHAnsi" w:hAnsiTheme="majorHAnsi" w:cstheme="majorBidi"/>
      <w:b/>
      <w:bCs/>
      <w:sz w:val="32"/>
      <w:szCs w:val="32"/>
    </w:rPr>
  </w:style>
  <w:style w:type="character" w:customStyle="1" w:styleId="56">
    <w:name w:val="脚注文本 Char1"/>
    <w:basedOn w:val="23"/>
    <w:semiHidden/>
    <w:qFormat/>
    <w:uiPriority w:val="99"/>
    <w:rPr>
      <w:rFonts w:ascii="Times New Roman" w:hAnsi="Times New Roman" w:eastAsia="宋体" w:cs="Times New Roman"/>
      <w:sz w:val="18"/>
      <w:szCs w:val="18"/>
    </w:rPr>
  </w:style>
  <w:style w:type="character" w:customStyle="1" w:styleId="57">
    <w:name w:val="页脚 Char1"/>
    <w:basedOn w:val="23"/>
    <w:semiHidden/>
    <w:qFormat/>
    <w:uiPriority w:val="99"/>
    <w:rPr>
      <w:rFonts w:ascii="Times New Roman" w:hAnsi="Times New Roman" w:eastAsia="宋体" w:cs="Times New Roman"/>
      <w:sz w:val="18"/>
      <w:szCs w:val="18"/>
    </w:rPr>
  </w:style>
  <w:style w:type="paragraph" w:styleId="58">
    <w:name w:val="List Paragraph"/>
    <w:basedOn w:val="1"/>
    <w:qFormat/>
    <w:uiPriority w:val="34"/>
    <w:pPr>
      <w:ind w:firstLine="420" w:firstLineChars="200"/>
    </w:pPr>
  </w:style>
  <w:style w:type="character" w:customStyle="1" w:styleId="59">
    <w:name w:val="Body text|1_"/>
    <w:basedOn w:val="23"/>
    <w:link w:val="60"/>
    <w:qFormat/>
    <w:uiPriority w:val="0"/>
    <w:rPr>
      <w:rFonts w:ascii="宋体" w:hAnsi="宋体" w:eastAsia="宋体" w:cs="宋体"/>
      <w:sz w:val="30"/>
      <w:szCs w:val="30"/>
      <w:lang w:val="zh-TW" w:eastAsia="zh-TW" w:bidi="zh-TW"/>
    </w:rPr>
  </w:style>
  <w:style w:type="paragraph" w:customStyle="1" w:styleId="60">
    <w:name w:val="Body text|1"/>
    <w:basedOn w:val="1"/>
    <w:link w:val="59"/>
    <w:qFormat/>
    <w:uiPriority w:val="0"/>
    <w:pPr>
      <w:spacing w:line="434" w:lineRule="auto"/>
      <w:ind w:firstLine="400"/>
      <w:jc w:val="left"/>
    </w:pPr>
    <w:rPr>
      <w:rFonts w:ascii="宋体" w:hAnsi="宋体" w:cs="宋体"/>
      <w:sz w:val="30"/>
      <w:szCs w:val="30"/>
      <w:lang w:val="zh-TW" w:eastAsia="zh-TW" w:bidi="zh-TW"/>
    </w:rPr>
  </w:style>
  <w:style w:type="character" w:customStyle="1" w:styleId="61">
    <w:name w:val="font31"/>
    <w:basedOn w:val="23"/>
    <w:qFormat/>
    <w:uiPriority w:val="0"/>
    <w:rPr>
      <w:rFonts w:hint="default" w:ascii="Times New Roman" w:hAnsi="Times New Roman" w:cs="Times New Roman"/>
      <w:color w:val="000000"/>
      <w:sz w:val="22"/>
      <w:szCs w:val="22"/>
      <w:u w:val="none"/>
    </w:rPr>
  </w:style>
  <w:style w:type="character" w:customStyle="1" w:styleId="62">
    <w:name w:val="font41"/>
    <w:basedOn w:val="23"/>
    <w:qFormat/>
    <w:uiPriority w:val="0"/>
    <w:rPr>
      <w:rFonts w:hint="eastAsia" w:ascii="宋体" w:hAnsi="宋体" w:eastAsia="宋体" w:cs="宋体"/>
      <w:color w:val="000000"/>
      <w:sz w:val="22"/>
      <w:szCs w:val="22"/>
      <w:u w:val="none"/>
    </w:rPr>
  </w:style>
  <w:style w:type="character" w:customStyle="1" w:styleId="63">
    <w:name w:val="font21"/>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79FE4-791E-4ECF-8D07-0210025A40DC}">
  <ds:schemaRefs/>
</ds:datastoreItem>
</file>

<file path=docProps/app.xml><?xml version="1.0" encoding="utf-8"?>
<Properties xmlns="http://schemas.openxmlformats.org/officeDocument/2006/extended-properties" xmlns:vt="http://schemas.openxmlformats.org/officeDocument/2006/docPropsVTypes">
  <Template>Normal</Template>
  <Pages>9</Pages>
  <Words>617</Words>
  <Characters>3519</Characters>
  <Lines>29</Lines>
  <Paragraphs>8</Paragraphs>
  <TotalTime>6</TotalTime>
  <ScaleCrop>false</ScaleCrop>
  <LinksUpToDate>false</LinksUpToDate>
  <CharactersWithSpaces>4128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2017-12-06T10:20:00Z</dcterms:created>
  <dc:creator>Lenovo</dc:creator>
  <cp:lastModifiedBy>cici</cp:lastModifiedBy>
  <cp:lastPrinted>2024-03-06T08:54:00Z</cp:lastPrinted>
  <dcterms:modified xsi:type="dcterms:W3CDTF">2024-09-03T03:03:53Z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51F6E3C890E849198534903B8C8E9DA2</vt:lpwstr>
  </property>
</Properties>
</file>