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val="0"/>
        <w:spacing w:beforeLines="100" w:afterLines="100" w:line="560" w:lineRule="exact"/>
        <w:jc w:val="center"/>
        <w:rPr>
          <w:rFonts w:ascii="方正小标宋简体" w:hAnsi="方正小标宋简体" w:eastAsia="方正小标宋简体" w:cs="方正小标宋简体"/>
          <w:color w:val="000000"/>
          <w:sz w:val="36"/>
          <w:szCs w:val="36"/>
          <w:lang w:eastAsia="zh-CN"/>
        </w:rPr>
      </w:pPr>
      <w:r>
        <w:rPr>
          <w:rFonts w:hint="eastAsia" w:ascii="方正小标宋简体" w:hAnsi="方正小标宋简体" w:eastAsia="方正小标宋简体" w:cs="方正小标宋简体"/>
          <w:color w:val="000000"/>
          <w:sz w:val="36"/>
          <w:szCs w:val="36"/>
          <w:lang w:eastAsia="zh-CN"/>
        </w:rPr>
        <w:t>2023年中央农业资源及生态保护项目支出</w:t>
      </w:r>
    </w:p>
    <w:p>
      <w:pPr>
        <w:pStyle w:val="13"/>
        <w:widowControl w:val="0"/>
        <w:spacing w:beforeLines="100" w:afterLines="100" w:line="560" w:lineRule="exact"/>
        <w:jc w:val="center"/>
        <w:rPr>
          <w:rFonts w:ascii="方正小标宋简体" w:hAnsi="方正小标宋简体" w:eastAsia="方正小标宋简体" w:cs="方正小标宋简体"/>
          <w:color w:val="000000"/>
          <w:sz w:val="36"/>
          <w:szCs w:val="36"/>
          <w:lang w:eastAsia="zh-CN"/>
        </w:rPr>
      </w:pPr>
      <w:r>
        <w:rPr>
          <w:rFonts w:hint="eastAsia" w:ascii="方正小标宋简体" w:hAnsi="方正小标宋简体" w:eastAsia="方正小标宋简体" w:cs="方正小标宋简体"/>
          <w:color w:val="000000"/>
          <w:sz w:val="36"/>
          <w:szCs w:val="36"/>
          <w:lang w:eastAsia="zh-CN"/>
        </w:rPr>
        <w:t>绩效评价报告</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一、项目情况</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（一）项目概况。</w:t>
      </w:r>
    </w:p>
    <w:p>
      <w:pPr>
        <w:spacing w:line="560" w:lineRule="exact"/>
        <w:ind w:firstLine="640" w:firstLineChars="200"/>
        <w:rPr>
          <w:rFonts w:ascii="仿宋_GB2312" w:hAnsi="仿宋_GB2312" w:eastAsia="仿宋_GB2312"/>
          <w:b w:val="0"/>
          <w:bCs/>
          <w:color w:val="000000"/>
          <w:sz w:val="32"/>
          <w:szCs w:val="32"/>
          <w:shd w:val="clear" w:color="auto" w:fill="FFFFFF"/>
        </w:rPr>
      </w:pPr>
      <w:r>
        <w:rPr>
          <w:rFonts w:hint="eastAsia" w:ascii="仿宋_GB2312" w:hAnsi="仿宋_GB2312" w:eastAsia="仿宋_GB2312"/>
          <w:b w:val="0"/>
          <w:bCs/>
          <w:color w:val="000000"/>
          <w:sz w:val="32"/>
          <w:szCs w:val="32"/>
        </w:rPr>
        <w:t xml:space="preserve"> 该项目为中央转移支付专项，实行“大专项+任务清单”模式，主要支持耕地质量保护与提升、渔业资源保护、农作物秸秆综合利用、地膜科学使用回收等。2023年</w:t>
      </w:r>
      <w:r>
        <w:rPr>
          <w:rFonts w:hint="eastAsia" w:ascii="仿宋_GB2312" w:hAnsi="仿宋_GB2312" w:eastAsia="仿宋_GB2312"/>
          <w:b w:val="0"/>
          <w:bCs/>
          <w:color w:val="000000"/>
          <w:sz w:val="32"/>
          <w:szCs w:val="32"/>
          <w:lang w:eastAsia="zh-CN"/>
        </w:rPr>
        <w:t>及上年结转</w:t>
      </w:r>
      <w:r>
        <w:rPr>
          <w:rFonts w:hint="eastAsia" w:ascii="仿宋_GB2312" w:hAnsi="仿宋_GB2312" w:eastAsia="仿宋_GB2312"/>
          <w:b w:val="0"/>
          <w:bCs/>
          <w:color w:val="000000"/>
          <w:sz w:val="32"/>
          <w:szCs w:val="32"/>
        </w:rPr>
        <w:t>共</w:t>
      </w:r>
      <w:r>
        <w:rPr>
          <w:rFonts w:hint="eastAsia" w:ascii="仿宋_GB2312" w:hAnsi="仿宋_GB2312" w:eastAsia="仿宋_GB2312"/>
          <w:b w:val="0"/>
          <w:bCs/>
          <w:color w:val="000000"/>
          <w:sz w:val="32"/>
          <w:szCs w:val="32"/>
          <w:lang w:val="en-US" w:eastAsia="zh-CN"/>
        </w:rPr>
        <w:t>1314.91</w:t>
      </w:r>
      <w:r>
        <w:rPr>
          <w:rFonts w:hint="eastAsia" w:ascii="仿宋_GB2312" w:hAnsi="仿宋_GB2312" w:eastAsia="仿宋_GB2312"/>
          <w:b w:val="0"/>
          <w:bCs/>
          <w:color w:val="000000"/>
          <w:sz w:val="32"/>
          <w:szCs w:val="32"/>
        </w:rPr>
        <w:t>万元，截至23年年末使用</w:t>
      </w:r>
      <w:r>
        <w:rPr>
          <w:rFonts w:hint="eastAsia" w:ascii="仿宋_GB2312" w:hAnsi="仿宋_GB2312" w:eastAsia="仿宋_GB2312"/>
          <w:b w:val="0"/>
          <w:bCs/>
          <w:color w:val="000000"/>
          <w:sz w:val="32"/>
          <w:szCs w:val="32"/>
          <w:lang w:val="en-US" w:eastAsia="zh-CN"/>
        </w:rPr>
        <w:t>539</w:t>
      </w:r>
      <w:r>
        <w:rPr>
          <w:rFonts w:hint="eastAsia" w:ascii="仿宋_GB2312" w:hAnsi="仿宋_GB2312" w:eastAsia="仿宋_GB2312"/>
          <w:b w:val="0"/>
          <w:bCs/>
          <w:color w:val="000000"/>
          <w:sz w:val="32"/>
          <w:szCs w:val="32"/>
        </w:rPr>
        <w:t>.8万元。</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（二）绩效目标。</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  项目总体目标是加强农业农村生态环境保护，提高资源利用效率，保障农业农村生产生活环境绿色安全。</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二、评价情况</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 按照财政绩效评价相关要求，认真研究制定了项目评价的评价方式和评价指标体系，确定了决策、过程、产出指标、效益指标、满意度指标一级指标5个，项目立项、绩效目标、资金投入等二级指标11个，立项依据充分性、立项程序规范性、绩效目标合理性等三级指标20个。结合上级资金文件，对预算绩效目标做了部分调整，主要是产出指标、效益指标。根据工作完成情况、效益情况、满意度情况等确定评价结论。项目自评价得分9</w:t>
      </w:r>
      <w:r>
        <w:rPr>
          <w:rFonts w:hint="eastAsia" w:ascii="仿宋_GB2312" w:hAnsi="仿宋_GB2312" w:eastAsia="仿宋_GB2312" w:cs="仿宋_GB2312"/>
          <w:b w:val="0"/>
          <w:bCs/>
          <w:color w:val="000000"/>
          <w:sz w:val="32"/>
          <w:szCs w:val="32"/>
          <w:lang w:val="en-US" w:eastAsia="zh-CN"/>
        </w:rPr>
        <w:t>4.73</w:t>
      </w:r>
      <w:bookmarkStart w:id="0" w:name="_GoBack"/>
      <w:bookmarkEnd w:id="0"/>
      <w:r>
        <w:rPr>
          <w:rFonts w:hint="eastAsia" w:ascii="仿宋_GB2312" w:hAnsi="仿宋_GB2312" w:eastAsia="仿宋_GB2312" w:cs="仿宋_GB2312"/>
          <w:b w:val="0"/>
          <w:bCs/>
          <w:color w:val="000000"/>
          <w:sz w:val="32"/>
          <w:szCs w:val="32"/>
        </w:rPr>
        <w:t>分，等级为优。</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三、项目绩效。</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（一）项目组织实施情况</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上级资金下达后，由计财科牵头，根据下达的任务清单、绩效目标及各业务科室、下属单位申报情况，安排资金方案。该专项安排项目主要是：耕地轮作、大豆玉米复合种植、化肥减量增效、第三次土壤普查、地膜回收项目。</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ascii="仿宋_GB2312" w:hAnsi="仿宋_GB2312" w:eastAsia="仿宋_GB2312" w:cs="仿宋_GB2312"/>
          <w:b w:val="0"/>
          <w:bCs/>
          <w:color w:val="000000"/>
          <w:sz w:val="32"/>
          <w:szCs w:val="32"/>
        </w:rPr>
        <w:t>一是积极组织申报。各镇（区、街道）按照自愿原则，组织符合申报条件的各类生产经营主体填写项目申报表，并对申报主体逐个审核，并签订协议。二是加强现场核查。在项目镇验收的基础上，市农业农村局组织相关人员对申报主体进行现场验收。验收人员依据“林调通”、GPS系统，逐个实地丈量面积，确保补贴面积真实性和准确性。三是做好公开公示。市农业农村局依据验收专家组的验收面积统计汇总，加盖镇（区、街道）、村（社区）公章，在补助对象所属村村务公示栏公示7天。四是强化项目验收。市农业农村局项目建设监督评价科组织相关专家</w:t>
      </w:r>
      <w:r>
        <w:rPr>
          <w:rFonts w:hint="eastAsia" w:ascii="仿宋_GB2312" w:hAnsi="仿宋_GB2312" w:eastAsia="仿宋_GB2312" w:cs="仿宋_GB2312"/>
          <w:b w:val="0"/>
          <w:bCs/>
          <w:color w:val="000000"/>
          <w:sz w:val="32"/>
          <w:szCs w:val="32"/>
        </w:rPr>
        <w:t>，</w:t>
      </w:r>
      <w:r>
        <w:rPr>
          <w:rFonts w:ascii="仿宋_GB2312" w:hAnsi="仿宋_GB2312" w:eastAsia="仿宋_GB2312" w:cs="仿宋_GB2312"/>
          <w:b w:val="0"/>
          <w:bCs/>
          <w:color w:val="000000"/>
          <w:sz w:val="32"/>
          <w:szCs w:val="32"/>
        </w:rPr>
        <w:t>通过查阅相关资料和现场实地抽查种植面积和质量</w:t>
      </w:r>
      <w:r>
        <w:rPr>
          <w:rFonts w:hint="eastAsia" w:ascii="仿宋_GB2312" w:hAnsi="仿宋_GB2312" w:eastAsia="仿宋_GB2312" w:cs="仿宋_GB2312"/>
          <w:b w:val="0"/>
          <w:bCs/>
          <w:color w:val="000000"/>
          <w:sz w:val="32"/>
          <w:szCs w:val="32"/>
        </w:rPr>
        <w:t>，</w:t>
      </w:r>
      <w:r>
        <w:rPr>
          <w:rFonts w:ascii="仿宋_GB2312" w:hAnsi="仿宋_GB2312" w:eastAsia="仿宋_GB2312" w:cs="仿宋_GB2312"/>
          <w:b w:val="0"/>
          <w:bCs/>
          <w:color w:val="000000"/>
          <w:sz w:val="32"/>
          <w:szCs w:val="32"/>
        </w:rPr>
        <w:t>项目的各项指标符合项目实施方案要求，出具项目验收报告。</w:t>
      </w:r>
    </w:p>
    <w:p>
      <w:pPr>
        <w:pStyle w:val="6"/>
        <w:numPr>
          <w:ilvl w:val="0"/>
          <w:numId w:val="1"/>
        </w:numPr>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资金管理</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资金分配方案由农业农村局和财政局商讨后确定并联合上报省厅，项目方案也由两局联合批复，项目拨付资料由局计财科、财政局审核后，通过国库集中支付系统拨付到主体。</w:t>
      </w:r>
    </w:p>
    <w:p>
      <w:pPr>
        <w:pStyle w:val="6"/>
        <w:numPr>
          <w:ilvl w:val="0"/>
          <w:numId w:val="1"/>
        </w:numPr>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项目绩效情况</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完成耕地轮作0.5万亩，大豆玉米种植推广1.1万亩，测土配方施肥198.8万亩次，化肥减量增效示范16.57万亩，土壤外业调查采样和内业测试化验点位1008个，科学施肥促进降本增效明显，粮食生产能力提升。通过项目实施，完成上级下达的任务和绩效，促进农田生态环境改善，保护优质的水资源和良好的生态环境。</w:t>
      </w:r>
    </w:p>
    <w:p>
      <w:pPr>
        <w:pStyle w:val="6"/>
        <w:numPr>
          <w:ilvl w:val="0"/>
          <w:numId w:val="2"/>
        </w:numPr>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存在问题。</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是预算执行率不高，项目推进不快；二是资金计划下达后方案批复不及时或方案批复后未能在规定时间内实施结束；三是预算编制不准确，预算金额偏差较大，执行率目标值过高，上级转移支付资金当年不一定能形成100%兑付。</w:t>
      </w:r>
    </w:p>
    <w:p>
      <w:pPr>
        <w:pStyle w:val="6"/>
        <w:numPr>
          <w:ilvl w:val="0"/>
          <w:numId w:val="2"/>
        </w:numPr>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有关建议。</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shd w:val="clear" w:color="auto" w:fill="FFFFFF"/>
        </w:rPr>
      </w:pPr>
      <w:r>
        <w:rPr>
          <w:rFonts w:hint="eastAsia" w:ascii="仿宋_GB2312" w:hAnsi="仿宋_GB2312" w:eastAsia="仿宋_GB2312" w:cs="仿宋_GB2312"/>
          <w:b w:val="0"/>
          <w:bCs/>
          <w:color w:val="000000"/>
          <w:sz w:val="32"/>
          <w:szCs w:val="32"/>
          <w:shd w:val="clear" w:color="auto" w:fill="FFFFFF"/>
        </w:rPr>
        <w:t>一是加强项目储备，加快资金计划分配，做好项目前期准备工作；二是业务科室切实履行主体责任，加强项目监管，加快项目实施进度，提高资金执行率；三是加强项目绩效管理，提高业务人员的绩效管理水平，科学编制预算，合理设置目标值。</w:t>
      </w:r>
    </w:p>
    <w:sectPr>
      <w:pgSz w:w="11900" w:h="16820"/>
      <w:pgMar w:top="1701" w:right="1587" w:bottom="1587" w:left="1587" w:header="720" w:footer="720" w:gutter="0"/>
      <w:pgNumType w:fmt="numberInDash"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AFAAE"/>
    <w:multiLevelType w:val="singleLevel"/>
    <w:tmpl w:val="FFAAFAAE"/>
    <w:lvl w:ilvl="0" w:tentative="0">
      <w:start w:val="4"/>
      <w:numFmt w:val="chineseCounting"/>
      <w:suff w:val="nothing"/>
      <w:lvlText w:val="%1、"/>
      <w:lvlJc w:val="left"/>
      <w:rPr>
        <w:rFonts w:hint="eastAsia"/>
      </w:rPr>
    </w:lvl>
  </w:abstractNum>
  <w:abstractNum w:abstractNumId="1">
    <w:nsid w:val="66F43BDD"/>
    <w:multiLevelType w:val="singleLevel"/>
    <w:tmpl w:val="66F43BD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227E3"/>
    <w:rsid w:val="000227E3"/>
    <w:rsid w:val="001F1533"/>
    <w:rsid w:val="002B51C8"/>
    <w:rsid w:val="00557BF9"/>
    <w:rsid w:val="00E21B83"/>
    <w:rsid w:val="01AE12DD"/>
    <w:rsid w:val="0AAF4979"/>
    <w:rsid w:val="0B1D329D"/>
    <w:rsid w:val="0F9528D3"/>
    <w:rsid w:val="1BF36283"/>
    <w:rsid w:val="1C3D1B75"/>
    <w:rsid w:val="1F2107F3"/>
    <w:rsid w:val="203F5ADD"/>
    <w:rsid w:val="239E3AE2"/>
    <w:rsid w:val="24B651FD"/>
    <w:rsid w:val="2D1E33E1"/>
    <w:rsid w:val="30EE7BE9"/>
    <w:rsid w:val="36BA164F"/>
    <w:rsid w:val="392B113F"/>
    <w:rsid w:val="3A5822D4"/>
    <w:rsid w:val="3B925F69"/>
    <w:rsid w:val="405B5917"/>
    <w:rsid w:val="42B95408"/>
    <w:rsid w:val="476B0D34"/>
    <w:rsid w:val="52F3242F"/>
    <w:rsid w:val="54275B77"/>
    <w:rsid w:val="56927E72"/>
    <w:rsid w:val="5A997FCE"/>
    <w:rsid w:val="5DFE5280"/>
    <w:rsid w:val="62E13DA8"/>
    <w:rsid w:val="680500C7"/>
    <w:rsid w:val="684E157C"/>
    <w:rsid w:val="6E872B8D"/>
    <w:rsid w:val="6F9F0A9E"/>
    <w:rsid w:val="701F1DFE"/>
    <w:rsid w:val="7792427E"/>
    <w:rsid w:val="78C46920"/>
    <w:rsid w:val="7A7703D8"/>
    <w:rsid w:val="7F6F76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仿宋" w:cs="仿宋_GB2312" w:asciiTheme="minorHAnsi" w:hAnsiTheme="minorHAnsi"/>
      <w:b/>
      <w:sz w:val="28"/>
      <w:szCs w:val="28"/>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Cs/>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签发人"/>
    <w:basedOn w:val="1"/>
    <w:qFormat/>
    <w:uiPriority w:val="0"/>
    <w:rPr>
      <w:rFonts w:eastAsia="楷体"/>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Emphasis"/>
    <w:basedOn w:val="8"/>
    <w:qFormat/>
    <w:uiPriority w:val="0"/>
    <w:rPr>
      <w:i/>
    </w:rPr>
  </w:style>
  <w:style w:type="paragraph" w:customStyle="1" w:styleId="12">
    <w:name w:val="Normal_3"/>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3">
    <w:name w:val="Normal_0"/>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4">
    <w:name w:val="Normal_11"/>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5">
    <w:name w:val="Normal_12"/>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6">
    <w:name w:val="Normal_18"/>
    <w:qFormat/>
    <w:uiPriority w:val="0"/>
    <w:pPr>
      <w:spacing w:before="120" w:after="240"/>
      <w:jc w:val="both"/>
    </w:pPr>
    <w:rPr>
      <w:rFonts w:asciiTheme="minorHAnsi" w:hAnsiTheme="minorHAnsi" w:eastAsiaTheme="minorEastAsia" w:cstheme="minorBidi"/>
      <w:sz w:val="22"/>
      <w:szCs w:val="22"/>
      <w:lang w:val="en-US" w:eastAsia="en-US" w:bidi="ar-SA"/>
    </w:rPr>
  </w:style>
  <w:style w:type="character" w:customStyle="1" w:styleId="17">
    <w:name w:val="font71"/>
    <w:basedOn w:val="8"/>
    <w:qFormat/>
    <w:uiPriority w:val="0"/>
    <w:rPr>
      <w:rFonts w:hint="eastAsia" w:ascii="宋体" w:hAnsi="宋体" w:eastAsia="宋体" w:cs="宋体"/>
      <w:color w:val="000000"/>
      <w:sz w:val="22"/>
      <w:szCs w:val="22"/>
      <w:u w:val="single"/>
    </w:rPr>
  </w:style>
  <w:style w:type="character" w:customStyle="1" w:styleId="18">
    <w:name w:val="font01"/>
    <w:basedOn w:val="8"/>
    <w:qFormat/>
    <w:uiPriority w:val="0"/>
    <w:rPr>
      <w:rFonts w:hint="eastAsia" w:ascii="宋体" w:hAnsi="宋体" w:eastAsia="宋体" w:cs="宋体"/>
      <w:color w:val="000000"/>
      <w:sz w:val="22"/>
      <w:szCs w:val="22"/>
      <w:u w:val="none"/>
    </w:rPr>
  </w:style>
  <w:style w:type="paragraph" w:customStyle="1" w:styleId="19">
    <w:name w:val="A正文"/>
    <w:basedOn w:val="1"/>
    <w:qFormat/>
    <w:uiPriority w:val="0"/>
    <w:pPr>
      <w:ind w:firstLine="200" w:firstLineChars="200"/>
    </w:pPr>
  </w:style>
  <w:style w:type="character" w:customStyle="1" w:styleId="20">
    <w:name w:val="页眉 Char"/>
    <w:basedOn w:val="8"/>
    <w:link w:val="5"/>
    <w:qFormat/>
    <w:uiPriority w:val="0"/>
    <w:rPr>
      <w:rFonts w:eastAsia="仿宋" w:cs="仿宋_GB2312" w:asciiTheme="minorHAnsi" w:hAnsiTheme="minorHAnsi"/>
      <w:b/>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195</Words>
  <Characters>1112</Characters>
  <Lines>9</Lines>
  <Paragraphs>2</Paragraphs>
  <TotalTime>18</TotalTime>
  <ScaleCrop>false</ScaleCrop>
  <LinksUpToDate>false</LinksUpToDate>
  <CharactersWithSpaces>1305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2020-12-08T07:17:00Z</dcterms:created>
  <dc:creator>Administrator</dc:creator>
  <cp:lastModifiedBy>cici</cp:lastModifiedBy>
  <cp:lastPrinted>2022-03-21T09:29:00Z</cp:lastPrinted>
  <dcterms:modified xsi:type="dcterms:W3CDTF">2024-04-08T07:46:01Z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DF147718EDB345F6A9DFE48857E565B9</vt:lpwstr>
  </property>
</Properties>
</file>