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2023年省级农业生态保护与资源利用项目支出</w:t>
      </w:r>
    </w:p>
    <w:p>
      <w:pPr>
        <w:pStyle w:val="13"/>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绩效评价报告</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（一）项目概况。</w:t>
      </w:r>
    </w:p>
    <w:p>
      <w:pPr>
        <w:spacing w:line="560" w:lineRule="exact"/>
        <w:ind w:firstLine="640" w:firstLineChars="200"/>
        <w:rPr>
          <w:rFonts w:ascii="仿宋_GB2312" w:hAnsi="仿宋_GB2312" w:eastAsia="仿宋_GB2312"/>
          <w:b w:val="0"/>
          <w:bCs/>
          <w:color w:val="000000"/>
          <w:sz w:val="32"/>
          <w:szCs w:val="32"/>
          <w:shd w:val="clear" w:color="auto" w:fill="FFFFFF"/>
        </w:rPr>
      </w:pPr>
      <w:r>
        <w:rPr>
          <w:rFonts w:hint="eastAsia" w:ascii="仿宋_GB2312" w:hAnsi="仿宋_GB2312" w:eastAsia="仿宋_GB2312"/>
          <w:b w:val="0"/>
          <w:bCs/>
          <w:color w:val="000000"/>
          <w:sz w:val="32"/>
          <w:szCs w:val="32"/>
        </w:rPr>
        <w:t xml:space="preserve"> 该项目为省级转移支付专项，实行“大专项+任务清单”模式，主要支持耕地质量保护与提升、支持渔业资源保护、支持农业农村废弃物资源化利用、支持现代生态循环农业试点等。2023年</w:t>
      </w:r>
      <w:r>
        <w:rPr>
          <w:rFonts w:hint="eastAsia" w:ascii="仿宋_GB2312" w:hAnsi="仿宋_GB2312" w:eastAsia="仿宋_GB2312"/>
          <w:b w:val="0"/>
          <w:bCs/>
          <w:color w:val="000000"/>
          <w:sz w:val="32"/>
          <w:szCs w:val="32"/>
          <w:lang w:eastAsia="zh-CN"/>
        </w:rPr>
        <w:t>及上年结转</w:t>
      </w:r>
      <w:r>
        <w:rPr>
          <w:rFonts w:hint="eastAsia" w:ascii="仿宋_GB2312" w:hAnsi="仿宋_GB2312" w:eastAsia="仿宋_GB2312"/>
          <w:b w:val="0"/>
          <w:bCs/>
          <w:color w:val="000000"/>
          <w:sz w:val="32"/>
          <w:szCs w:val="32"/>
        </w:rPr>
        <w:t>共</w:t>
      </w:r>
      <w:r>
        <w:rPr>
          <w:rFonts w:hint="eastAsia" w:ascii="仿宋_GB2312" w:hAnsi="仿宋_GB2312" w:eastAsia="仿宋_GB2312"/>
          <w:b w:val="0"/>
          <w:bCs/>
          <w:color w:val="000000"/>
          <w:sz w:val="32"/>
          <w:szCs w:val="32"/>
          <w:lang w:val="en-US" w:eastAsia="zh-CN"/>
        </w:rPr>
        <w:t>6112.29</w:t>
      </w:r>
      <w:r>
        <w:rPr>
          <w:rFonts w:hint="eastAsia" w:ascii="仿宋_GB2312" w:hAnsi="仿宋_GB2312" w:eastAsia="仿宋_GB2312"/>
          <w:b w:val="0"/>
          <w:bCs/>
          <w:color w:val="000000"/>
          <w:sz w:val="32"/>
          <w:szCs w:val="32"/>
        </w:rPr>
        <w:t>万元，截至23年12月底使用</w:t>
      </w:r>
      <w:r>
        <w:rPr>
          <w:rFonts w:hint="eastAsia" w:ascii="仿宋_GB2312" w:hAnsi="仿宋_GB2312" w:eastAsia="仿宋_GB2312"/>
          <w:b w:val="0"/>
          <w:bCs/>
          <w:color w:val="000000"/>
          <w:sz w:val="32"/>
          <w:szCs w:val="32"/>
          <w:lang w:val="en-US" w:eastAsia="zh-CN"/>
        </w:rPr>
        <w:t>1861.16</w:t>
      </w:r>
      <w:r>
        <w:rPr>
          <w:rFonts w:hint="eastAsia" w:ascii="仿宋_GB2312" w:hAnsi="仿宋_GB2312" w:eastAsia="仿宋_GB2312"/>
          <w:b w:val="0"/>
          <w:bCs/>
          <w:color w:val="000000"/>
          <w:sz w:val="32"/>
          <w:szCs w:val="32"/>
        </w:rPr>
        <w:t>万元。</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（二）绩效目标。</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项目总体目标是加强农业农村生态环境保护，提高资源利用效率，保障农业农村生产生活环境绿色安全。</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二、评价情况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按照财政绩效评价相关要求，认真研究制定了项目评价的评价方式和评价指标体系，确定了决策、过程、产出指标、效益指标、满意度指标一级指标5个，项目立项、绩效目标、资金投入等二级指标11个，立项依据充分性、立项程序规范性、绩效目标合理性等三级指标21个。结合上级资金文件，对预算绩效目标做了部分调整，主要是产出指标、效益指标。根据工作完成情况、效益情况、满意度情况等确定评价结论。项目自评价得分9</w:t>
      </w:r>
      <w:r>
        <w:rPr>
          <w:rFonts w:hint="eastAsia" w:ascii="仿宋_GB2312" w:hAnsi="仿宋_GB2312" w:eastAsia="仿宋_GB2312" w:cs="仿宋_GB2312"/>
          <w:b w:val="0"/>
          <w:bCs/>
          <w:color w:val="000000"/>
          <w:sz w:val="32"/>
          <w:szCs w:val="32"/>
          <w:lang w:val="en-US" w:eastAsia="zh-CN"/>
        </w:rPr>
        <w:t>2</w:t>
      </w:r>
      <w:bookmarkStart w:id="0" w:name="_GoBack"/>
      <w:bookmarkEnd w:id="0"/>
      <w:r>
        <w:rPr>
          <w:rFonts w:hint="eastAsia" w:ascii="仿宋_GB2312" w:hAnsi="仿宋_GB2312" w:eastAsia="仿宋_GB2312" w:cs="仿宋_GB2312"/>
          <w:b w:val="0"/>
          <w:bCs/>
          <w:color w:val="000000"/>
          <w:sz w:val="32"/>
          <w:szCs w:val="32"/>
        </w:rPr>
        <w:t>分，等级为优。</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三、项目绩效。</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（一）项目组织实施情况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上级资金下达后，由计财科牵头，根据下达的任务清单、绩效目标及各业务科室、下属单位申报情况，安排资金方案。该专项安排项目主要是：秸秆机械化还田、增殖放流、秸秆收储利用、耕地质量保护提升、池塘标准化改造、畜禽粪污资源化利用、地膜回收等。</w:t>
      </w:r>
    </w:p>
    <w:p>
      <w:pPr>
        <w:pStyle w:val="6"/>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资金管理</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资金分配方案由农业农村局和财政局商讨后确定并联合上报省厅，项目方案也由两局联合批复，项目拨付资料由局计财科、财政局审核后，通过国库集中支付系统拨付到主体。</w:t>
      </w:r>
    </w:p>
    <w:p>
      <w:pPr>
        <w:pStyle w:val="6"/>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项目绩效情况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建设化肥减量增效示范区2个、比常规区化肥施用量削减2%，稻麦秸秆机械化还田率达52%以上，秸秆综合利用率96.8%。保护了农村生态环境、提高了资源利用率。</w:t>
      </w:r>
    </w:p>
    <w:p>
      <w:pPr>
        <w:pStyle w:val="6"/>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存在问题。</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是预算执行率不高，项目推进不快；二是资金计划下达后方案批复不及时或方案批复后未能在规定时间内实施结束；三是预算编制不准确，预算金额偏差较大，执行率目标值过高，上级转移支付资金当年不一定能形成100%兑付。</w:t>
      </w:r>
    </w:p>
    <w:p>
      <w:pPr>
        <w:pStyle w:val="6"/>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有关建议。</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一是加强项目储备，加快资金计划分配，做好项目前期准备工作；二是业务科室切实履行主体责任，加强项目监管，加快项目实施进度，提高资金执行率；三是加强项目绩效管理，提高业务人员的绩效管理水平，科学编制预算，合理设置目标值。</w:t>
      </w:r>
    </w:p>
    <w:sectPr>
      <w:pgSz w:w="11900" w:h="16820"/>
      <w:pgMar w:top="1701" w:right="1587" w:bottom="1587" w:left="1587"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FAAE"/>
    <w:multiLevelType w:val="singleLevel"/>
    <w:tmpl w:val="FFAAFAAE"/>
    <w:lvl w:ilvl="0" w:tentative="0">
      <w:start w:val="4"/>
      <w:numFmt w:val="chineseCounting"/>
      <w:suff w:val="nothing"/>
      <w:lvlText w:val="%1、"/>
      <w:lvlJc w:val="left"/>
      <w:rPr>
        <w:rFonts w:hint="eastAsia"/>
      </w:rPr>
    </w:lvl>
  </w:abstractNum>
  <w:abstractNum w:abstractNumId="1">
    <w:nsid w:val="66F43BDD"/>
    <w:multiLevelType w:val="singleLevel"/>
    <w:tmpl w:val="66F43B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B3303"/>
    <w:rsid w:val="003430A9"/>
    <w:rsid w:val="00CB3303"/>
    <w:rsid w:val="01AE12DD"/>
    <w:rsid w:val="0AAF4979"/>
    <w:rsid w:val="0B1D329D"/>
    <w:rsid w:val="0F9528D3"/>
    <w:rsid w:val="1BF36283"/>
    <w:rsid w:val="1C3D1B75"/>
    <w:rsid w:val="1F2107F3"/>
    <w:rsid w:val="203F5ADD"/>
    <w:rsid w:val="239E3AE2"/>
    <w:rsid w:val="24B651FD"/>
    <w:rsid w:val="2AB95EA0"/>
    <w:rsid w:val="30EE7BE9"/>
    <w:rsid w:val="38545BDF"/>
    <w:rsid w:val="3A5822D4"/>
    <w:rsid w:val="3ADF0D39"/>
    <w:rsid w:val="3B925F69"/>
    <w:rsid w:val="405B5917"/>
    <w:rsid w:val="42B95408"/>
    <w:rsid w:val="44632E62"/>
    <w:rsid w:val="46241A17"/>
    <w:rsid w:val="46BB743A"/>
    <w:rsid w:val="476B0D34"/>
    <w:rsid w:val="51031003"/>
    <w:rsid w:val="52436571"/>
    <w:rsid w:val="52F3242F"/>
    <w:rsid w:val="54275B77"/>
    <w:rsid w:val="548147AF"/>
    <w:rsid w:val="55E62B17"/>
    <w:rsid w:val="56927E72"/>
    <w:rsid w:val="594E2BBF"/>
    <w:rsid w:val="5A997FCE"/>
    <w:rsid w:val="5DFE5280"/>
    <w:rsid w:val="604B2077"/>
    <w:rsid w:val="62E13DA8"/>
    <w:rsid w:val="680500C7"/>
    <w:rsid w:val="684E157C"/>
    <w:rsid w:val="6E872B8D"/>
    <w:rsid w:val="6F9F0A9E"/>
    <w:rsid w:val="701F1DFE"/>
    <w:rsid w:val="71516680"/>
    <w:rsid w:val="7792427E"/>
    <w:rsid w:val="78C46920"/>
    <w:rsid w:val="7A7703D8"/>
    <w:rsid w:val="7F6F7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sz w:val="28"/>
      <w:szCs w:val="28"/>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A正文"/>
    <w:basedOn w:val="1"/>
    <w:qFormat/>
    <w:uiPriority w:val="0"/>
    <w:pPr>
      <w:ind w:firstLine="200" w:firstLineChars="200"/>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Emphasis"/>
    <w:basedOn w:val="8"/>
    <w:qFormat/>
    <w:uiPriority w:val="0"/>
    <w:rPr>
      <w:i/>
    </w:rPr>
  </w:style>
  <w:style w:type="paragraph" w:customStyle="1" w:styleId="12">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7">
    <w:name w:val="font71"/>
    <w:basedOn w:val="8"/>
    <w:qFormat/>
    <w:uiPriority w:val="0"/>
    <w:rPr>
      <w:rFonts w:hint="eastAsia" w:ascii="宋体" w:hAnsi="宋体" w:eastAsia="宋体" w:cs="宋体"/>
      <w:color w:val="000000"/>
      <w:sz w:val="22"/>
      <w:szCs w:val="22"/>
      <w:u w:val="single"/>
    </w:rPr>
  </w:style>
  <w:style w:type="character" w:customStyle="1" w:styleId="18">
    <w:name w:val="font01"/>
    <w:basedOn w:val="8"/>
    <w:qFormat/>
    <w:uiPriority w:val="0"/>
    <w:rPr>
      <w:rFonts w:hint="eastAsia" w:ascii="宋体" w:hAnsi="宋体" w:eastAsia="宋体" w:cs="宋体"/>
      <w:color w:val="000000"/>
      <w:sz w:val="22"/>
      <w:szCs w:val="22"/>
      <w:u w:val="none"/>
    </w:rPr>
  </w:style>
  <w:style w:type="character" w:customStyle="1" w:styleId="19">
    <w:name w:val="页眉 Char"/>
    <w:basedOn w:val="8"/>
    <w:link w:val="5"/>
    <w:uiPriority w:val="0"/>
    <w:rPr>
      <w:rFonts w:eastAsia="仿宋" w:cs="仿宋_GB2312" w:asciiTheme="minorHAnsi" w:hAnsiTheme="minorHAnsi"/>
      <w:b/>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144</Words>
  <Characters>824</Characters>
  <Lines>6</Lines>
  <Paragraphs>1</Paragraphs>
  <TotalTime>44</TotalTime>
  <ScaleCrop>false</ScaleCrop>
  <LinksUpToDate>false</LinksUpToDate>
  <CharactersWithSpaces>967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2022-03-21T09:29:00Z</cp:lastPrinted>
  <dcterms:modified xsi:type="dcterms:W3CDTF">2024-04-08T07:50:07Z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DF147718EDB345F6A9DFE48857E565B9</vt:lpwstr>
  </property>
</Properties>
</file>