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val="0"/>
        <w:spacing w:beforeLines="100" w:afterLines="100" w:line="560" w:lineRule="exact"/>
        <w:jc w:val="center"/>
        <w:rPr>
          <w:rFonts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val="en-US" w:eastAsia="zh-CN"/>
        </w:rPr>
        <w:t>2023年</w:t>
      </w:r>
      <w:r>
        <w:rPr>
          <w:rFonts w:hint="eastAsia" w:ascii="方正小标宋简体" w:hAnsi="方正小标宋简体" w:eastAsia="方正小标宋简体" w:cs="方正小标宋简体"/>
          <w:sz w:val="44"/>
          <w:lang w:eastAsia="zh-CN"/>
        </w:rPr>
        <w:t>人居环境项目支出绩效评价报告</w:t>
      </w:r>
    </w:p>
    <w:p>
      <w:pPr>
        <w:pStyle w:val="20"/>
        <w:widowControl w:val="0"/>
        <w:spacing w:before="0" w:after="0"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一、项目情况</w:t>
      </w:r>
    </w:p>
    <w:p>
      <w:pPr>
        <w:pStyle w:val="20"/>
        <w:widowControl w:val="0"/>
        <w:spacing w:before="0" w:after="0" w:line="560" w:lineRule="exact"/>
        <w:ind w:firstLine="624" w:firstLineChars="200"/>
        <w:rPr>
          <w:rFonts w:hint="eastAsia" w:ascii="楷体_GB2312" w:hAnsi="仿宋_GB2312" w:eastAsia="楷体_GB2312" w:cs="仿宋_GB2312"/>
          <w:spacing w:val="-4"/>
          <w:sz w:val="32"/>
          <w:szCs w:val="32"/>
          <w:lang w:eastAsia="zh-CN"/>
        </w:rPr>
      </w:pPr>
      <w:r>
        <w:rPr>
          <w:rFonts w:hint="eastAsia" w:ascii="楷体_GB2312" w:hAnsi="仿宋_GB2312" w:eastAsia="楷体_GB2312" w:cs="仿宋_GB2312"/>
          <w:spacing w:val="-4"/>
          <w:sz w:val="32"/>
          <w:szCs w:val="32"/>
          <w:lang w:eastAsia="zh-CN"/>
        </w:rPr>
        <w:t>（一）项目概况。</w:t>
      </w:r>
    </w:p>
    <w:p>
      <w:pPr>
        <w:pStyle w:val="20"/>
        <w:widowControl w:val="0"/>
        <w:spacing w:before="0" w:after="0" w:line="560" w:lineRule="exact"/>
        <w:ind w:firstLine="627" w:firstLineChars="200"/>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b/>
          <w:spacing w:val="-4"/>
          <w:sz w:val="32"/>
          <w:szCs w:val="32"/>
          <w:lang w:eastAsia="zh-CN"/>
        </w:rPr>
        <w:t>⑴项目背景。</w:t>
      </w:r>
      <w:r>
        <w:rPr>
          <w:rFonts w:hint="eastAsia" w:ascii="仿宋_GB2312" w:hAnsi="Times New Roman" w:eastAsia="仿宋_GB2312" w:cs="Times New Roman"/>
          <w:color w:val="000000"/>
          <w:sz w:val="32"/>
          <w:szCs w:val="32"/>
          <w:lang w:eastAsia="zh-CN"/>
        </w:rPr>
        <w:t>为深入贯彻习近平总书记关于接续推进农村人居环境整治提升行动的重要批示精神，落实《农村人居环境整治提升五年行动方案（</w:t>
      </w:r>
      <w:r>
        <w:rPr>
          <w:rFonts w:ascii="仿宋_GB2312" w:hAnsi="Times New Roman" w:eastAsia="仿宋_GB2312" w:cs="Times New Roman"/>
          <w:color w:val="000000"/>
          <w:sz w:val="32"/>
          <w:szCs w:val="32"/>
          <w:lang w:eastAsia="zh-CN"/>
        </w:rPr>
        <w:t>2021</w:t>
      </w:r>
      <w:r>
        <w:rPr>
          <w:rFonts w:hint="eastAsia" w:ascii="仿宋_GB2312" w:hAnsi="Times New Roman" w:eastAsia="仿宋_GB2312" w:cs="Times New Roman"/>
          <w:color w:val="000000"/>
          <w:sz w:val="32"/>
          <w:szCs w:val="32"/>
          <w:lang w:eastAsia="zh-CN"/>
        </w:rPr>
        <w:t>－</w:t>
      </w:r>
      <w:r>
        <w:rPr>
          <w:rFonts w:ascii="仿宋_GB2312" w:hAnsi="Times New Roman" w:eastAsia="仿宋_GB2312" w:cs="Times New Roman"/>
          <w:color w:val="000000"/>
          <w:sz w:val="32"/>
          <w:szCs w:val="32"/>
          <w:lang w:eastAsia="zh-CN"/>
        </w:rPr>
        <w:t>2025</w:t>
      </w:r>
      <w:r>
        <w:rPr>
          <w:rFonts w:hint="eastAsia" w:ascii="仿宋_GB2312" w:hAnsi="Times New Roman" w:eastAsia="仿宋_GB2312" w:cs="Times New Roman"/>
          <w:color w:val="000000"/>
          <w:sz w:val="32"/>
          <w:szCs w:val="32"/>
          <w:lang w:eastAsia="zh-CN"/>
        </w:rPr>
        <w:t>年）》和省、市有关要求，进一步谋划我市农村人居环境整治提升五年行动。我市</w:t>
      </w:r>
      <w:r>
        <w:rPr>
          <w:rFonts w:hint="eastAsia" w:ascii="仿宋_GB2312" w:eastAsia="仿宋_GB2312"/>
          <w:sz w:val="32"/>
          <w:szCs w:val="32"/>
          <w:lang w:eastAsia="zh-CN"/>
        </w:rPr>
        <w:t>适时调整市农村人居环境整治工作联席会议组成人员名单，制定</w:t>
      </w:r>
      <w:r>
        <w:rPr>
          <w:rFonts w:hint="eastAsia" w:ascii="仿宋_GB2312" w:hAnsi="仿宋_GB2312" w:eastAsia="仿宋_GB2312" w:cs="仿宋_GB2312"/>
          <w:spacing w:val="-4"/>
          <w:sz w:val="32"/>
          <w:szCs w:val="32"/>
          <w:lang w:eastAsia="zh-CN"/>
        </w:rPr>
        <w:t>并印发了《如皋市农村人居环境整治提升五年行动暨生态宜居美丽乡村建设实施方案》和《如皋市202</w:t>
      </w: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lang w:eastAsia="zh-CN"/>
        </w:rPr>
        <w:t>年农村人居环境整治提升工作考核细则（试行）》。</w:t>
      </w:r>
    </w:p>
    <w:p>
      <w:pPr>
        <w:spacing w:line="560" w:lineRule="exact"/>
        <w:ind w:firstLine="627" w:firstLineChars="200"/>
        <w:rPr>
          <w:rFonts w:hint="eastAsia" w:ascii="仿宋_GB2312" w:eastAsia="仿宋_GB2312"/>
          <w:b w:val="0"/>
          <w:sz w:val="32"/>
          <w:szCs w:val="32"/>
          <w:lang w:eastAsia="zh-CN"/>
        </w:rPr>
      </w:pPr>
      <w:r>
        <w:rPr>
          <w:rFonts w:hint="eastAsia" w:ascii="仿宋_GB2312" w:hAnsi="仿宋_GB2312" w:eastAsia="仿宋_GB2312" w:cs="仿宋_GB2312"/>
          <w:b/>
          <w:spacing w:val="-4"/>
          <w:sz w:val="32"/>
          <w:szCs w:val="32"/>
          <w:lang w:eastAsia="zh-CN"/>
        </w:rPr>
        <w:t>⑵主要内容。</w:t>
      </w:r>
      <w:r>
        <w:rPr>
          <w:rFonts w:hint="eastAsia" w:ascii="仿宋_GB2312" w:eastAsia="仿宋_GB2312"/>
          <w:b w:val="0"/>
          <w:sz w:val="32"/>
          <w:szCs w:val="32"/>
        </w:rPr>
        <w:t>农村厕所革命</w:t>
      </w:r>
      <w:r>
        <w:rPr>
          <w:rFonts w:hint="eastAsia" w:ascii="仿宋_GB2312" w:eastAsia="仿宋_GB2312"/>
          <w:b w:val="0"/>
          <w:sz w:val="32"/>
          <w:szCs w:val="32"/>
          <w:lang w:eastAsia="zh-CN"/>
        </w:rPr>
        <w:t>、</w:t>
      </w:r>
      <w:r>
        <w:rPr>
          <w:rFonts w:hint="eastAsia" w:ascii="仿宋_GB2312" w:eastAsia="仿宋_GB2312"/>
          <w:b w:val="0"/>
          <w:sz w:val="32"/>
        </w:rPr>
        <w:t>农村生活污水治理</w:t>
      </w:r>
      <w:r>
        <w:rPr>
          <w:rFonts w:hint="eastAsia" w:ascii="仿宋_GB2312" w:hAnsi="仿宋_GB2312" w:eastAsia="仿宋_GB2312" w:cs="仿宋_GB2312"/>
          <w:b w:val="0"/>
          <w:spacing w:val="-4"/>
          <w:sz w:val="32"/>
          <w:szCs w:val="32"/>
          <w:lang w:val="en-US" w:eastAsia="zh-CN" w:bidi="ar-SA"/>
        </w:rPr>
        <w:t>、农村水环境整治</w:t>
      </w:r>
      <w:r>
        <w:rPr>
          <w:rFonts w:hint="eastAsia" w:ascii="仿宋_GB2312" w:eastAsia="仿宋_GB2312"/>
          <w:b w:val="0"/>
          <w:sz w:val="32"/>
          <w:szCs w:val="32"/>
          <w:lang w:val="en-US" w:eastAsia="zh-CN"/>
        </w:rPr>
        <w:t>、</w:t>
      </w:r>
      <w:r>
        <w:rPr>
          <w:rFonts w:hint="eastAsia" w:ascii="仿宋_GB2312" w:eastAsia="仿宋_GB2312"/>
          <w:b w:val="0"/>
          <w:sz w:val="32"/>
          <w:szCs w:val="32"/>
        </w:rPr>
        <w:t>农村生活垃圾治理</w:t>
      </w:r>
      <w:r>
        <w:rPr>
          <w:rFonts w:hint="eastAsia" w:ascii="仿宋_GB2312" w:eastAsia="仿宋_GB2312"/>
          <w:b w:val="0"/>
          <w:sz w:val="32"/>
          <w:szCs w:val="32"/>
          <w:lang w:eastAsia="zh-CN"/>
        </w:rPr>
        <w:t>、</w:t>
      </w:r>
      <w:r>
        <w:rPr>
          <w:rFonts w:hint="eastAsia" w:ascii="仿宋_GB2312" w:eastAsia="仿宋_GB2312"/>
          <w:b w:val="0"/>
          <w:sz w:val="32"/>
          <w:szCs w:val="32"/>
        </w:rPr>
        <w:t>村庄清洁行动</w:t>
      </w:r>
      <w:r>
        <w:rPr>
          <w:rFonts w:hint="eastAsia" w:ascii="仿宋_GB2312" w:eastAsia="仿宋_GB2312"/>
          <w:b w:val="0"/>
          <w:sz w:val="32"/>
          <w:szCs w:val="32"/>
          <w:lang w:eastAsia="zh-CN"/>
        </w:rPr>
        <w:t>、</w:t>
      </w:r>
      <w:r>
        <w:rPr>
          <w:rFonts w:hint="eastAsia" w:ascii="仿宋_GB2312" w:eastAsia="仿宋_GB2312"/>
          <w:b w:val="0"/>
          <w:sz w:val="32"/>
          <w:szCs w:val="32"/>
        </w:rPr>
        <w:t>村庄公共环境</w:t>
      </w:r>
      <w:r>
        <w:rPr>
          <w:rFonts w:hint="eastAsia" w:ascii="仿宋_GB2312" w:eastAsia="仿宋_GB2312"/>
          <w:b w:val="0"/>
          <w:sz w:val="32"/>
          <w:szCs w:val="32"/>
          <w:lang w:eastAsia="zh-CN"/>
        </w:rPr>
        <w:t>、</w:t>
      </w:r>
      <w:r>
        <w:rPr>
          <w:rFonts w:hint="eastAsia" w:ascii="仿宋_GB2312" w:eastAsia="仿宋_GB2312"/>
          <w:b w:val="0"/>
          <w:sz w:val="32"/>
          <w:szCs w:val="32"/>
        </w:rPr>
        <w:t>乡村绿化美化</w:t>
      </w:r>
      <w:r>
        <w:rPr>
          <w:rFonts w:hint="eastAsia" w:ascii="仿宋_GB2312" w:eastAsia="仿宋_GB2312"/>
          <w:b w:val="0"/>
          <w:sz w:val="32"/>
          <w:szCs w:val="32"/>
          <w:lang w:eastAsia="zh-CN"/>
        </w:rPr>
        <w:t>、</w:t>
      </w:r>
      <w:r>
        <w:rPr>
          <w:rFonts w:hint="eastAsia" w:ascii="仿宋_GB2312" w:eastAsia="仿宋_GB2312"/>
          <w:b w:val="0"/>
          <w:sz w:val="32"/>
          <w:szCs w:val="32"/>
        </w:rPr>
        <w:t>农村住房条件改善</w:t>
      </w:r>
      <w:r>
        <w:rPr>
          <w:rFonts w:hint="eastAsia" w:ascii="仿宋_GB2312" w:eastAsia="仿宋_GB2312"/>
          <w:b w:val="0"/>
          <w:sz w:val="32"/>
          <w:szCs w:val="32"/>
          <w:lang w:eastAsia="zh-CN"/>
        </w:rPr>
        <w:t>、</w:t>
      </w:r>
      <w:r>
        <w:rPr>
          <w:rFonts w:hint="eastAsia" w:ascii="仿宋_GB2312" w:eastAsia="仿宋_GB2312"/>
          <w:b w:val="0"/>
          <w:sz w:val="32"/>
          <w:szCs w:val="32"/>
        </w:rPr>
        <w:t>乡村风貌保护</w:t>
      </w:r>
      <w:r>
        <w:rPr>
          <w:rFonts w:hint="eastAsia" w:ascii="仿宋_GB2312" w:eastAsia="仿宋_GB2312"/>
          <w:b w:val="0"/>
          <w:sz w:val="32"/>
          <w:szCs w:val="32"/>
          <w:lang w:eastAsia="zh-CN"/>
        </w:rPr>
        <w:t>、</w:t>
      </w:r>
      <w:r>
        <w:rPr>
          <w:rFonts w:hint="eastAsia" w:ascii="仿宋_GB2312" w:eastAsia="仿宋_GB2312"/>
          <w:b w:val="0"/>
          <w:sz w:val="32"/>
          <w:szCs w:val="32"/>
        </w:rPr>
        <w:t>乡村文化传承发展</w:t>
      </w:r>
      <w:r>
        <w:rPr>
          <w:rFonts w:hint="eastAsia" w:ascii="仿宋_GB2312" w:eastAsia="仿宋_GB2312"/>
          <w:b w:val="0"/>
          <w:sz w:val="32"/>
          <w:szCs w:val="32"/>
          <w:lang w:eastAsia="zh-CN"/>
        </w:rPr>
        <w:t>、</w:t>
      </w:r>
      <w:r>
        <w:rPr>
          <w:rFonts w:hint="eastAsia" w:ascii="仿宋_GB2312" w:eastAsia="仿宋_GB2312"/>
          <w:b w:val="0"/>
          <w:sz w:val="32"/>
          <w:szCs w:val="32"/>
        </w:rPr>
        <w:t>乡风文明</w:t>
      </w:r>
      <w:r>
        <w:rPr>
          <w:rFonts w:hint="eastAsia" w:ascii="仿宋_GB2312" w:eastAsia="仿宋_GB2312"/>
          <w:b w:val="0"/>
          <w:sz w:val="32"/>
          <w:szCs w:val="32"/>
          <w:lang w:eastAsia="zh-CN"/>
        </w:rPr>
        <w:t>、长效管护。</w:t>
      </w:r>
    </w:p>
    <w:p>
      <w:pPr>
        <w:spacing w:line="560" w:lineRule="exact"/>
        <w:ind w:firstLine="627" w:firstLineChars="200"/>
        <w:rPr>
          <w:rFonts w:hint="eastAsia" w:eastAsia="仿宋_GB2312"/>
          <w:sz w:val="32"/>
          <w:szCs w:val="32"/>
        </w:rPr>
      </w:pPr>
      <w:r>
        <w:rPr>
          <w:rFonts w:hint="eastAsia" w:ascii="仿宋_GB2312" w:hAnsi="仿宋_GB2312" w:eastAsia="仿宋_GB2312"/>
          <w:spacing w:val="-4"/>
          <w:sz w:val="32"/>
          <w:szCs w:val="32"/>
        </w:rPr>
        <w:t>⑶实施方式。</w:t>
      </w:r>
      <w:r>
        <w:rPr>
          <w:rFonts w:eastAsia="仿宋_GB2312"/>
          <w:b w:val="0"/>
          <w:sz w:val="32"/>
          <w:szCs w:val="32"/>
        </w:rPr>
        <w:t>由市人居办牵头相关部门组成考评工作组，采取临时分组、随机</w:t>
      </w:r>
      <w:r>
        <w:rPr>
          <w:rFonts w:hint="eastAsia" w:eastAsia="仿宋_GB2312"/>
          <w:b w:val="0"/>
          <w:sz w:val="32"/>
          <w:szCs w:val="32"/>
        </w:rPr>
        <w:t>抽镇</w:t>
      </w:r>
      <w:r>
        <w:rPr>
          <w:rFonts w:eastAsia="仿宋_GB2312"/>
          <w:b w:val="0"/>
          <w:sz w:val="32"/>
          <w:szCs w:val="32"/>
        </w:rPr>
        <w:t>抽</w:t>
      </w:r>
      <w:r>
        <w:rPr>
          <w:rFonts w:hint="eastAsia" w:eastAsia="仿宋_GB2312"/>
          <w:b w:val="0"/>
          <w:sz w:val="32"/>
          <w:szCs w:val="32"/>
        </w:rPr>
        <w:t>村、“四不两直”</w:t>
      </w:r>
      <w:r>
        <w:rPr>
          <w:rFonts w:eastAsia="仿宋_GB2312"/>
          <w:b w:val="0"/>
          <w:sz w:val="32"/>
          <w:szCs w:val="32"/>
        </w:rPr>
        <w:t>的方式进行。</w:t>
      </w:r>
      <w:r>
        <w:rPr>
          <w:rFonts w:ascii="Times New Roman" w:hAnsi="Times New Roman" w:eastAsia="仿宋_GB2312" w:cs="Times New Roman"/>
          <w:b w:val="0"/>
          <w:sz w:val="32"/>
          <w:szCs w:val="32"/>
        </w:rPr>
        <w:t>采取月度</w:t>
      </w:r>
      <w:r>
        <w:rPr>
          <w:rFonts w:hint="eastAsia" w:ascii="Times New Roman" w:hAnsi="Times New Roman" w:eastAsia="仿宋_GB2312" w:cs="Times New Roman"/>
          <w:b w:val="0"/>
          <w:sz w:val="32"/>
          <w:szCs w:val="32"/>
        </w:rPr>
        <w:t>考核、</w:t>
      </w:r>
      <w:r>
        <w:rPr>
          <w:rFonts w:hint="eastAsia" w:ascii="Times New Roman" w:hAnsi="Times New Roman" w:eastAsia="仿宋_GB2312"/>
          <w:b w:val="0"/>
          <w:sz w:val="32"/>
          <w:szCs w:val="32"/>
        </w:rPr>
        <w:t>双月现场会推进、季度村（社区）书记大讲坛观摩等办法进行</w:t>
      </w:r>
      <w:r>
        <w:rPr>
          <w:rFonts w:hint="eastAsia" w:eastAsia="仿宋_GB2312"/>
          <w:b w:val="0"/>
          <w:sz w:val="32"/>
          <w:szCs w:val="32"/>
        </w:rPr>
        <w:t>。考核和观摩采取现场随机抽查的方式进行。</w:t>
      </w:r>
    </w:p>
    <w:p>
      <w:pPr>
        <w:pStyle w:val="20"/>
        <w:widowControl w:val="0"/>
        <w:spacing w:before="0" w:after="0" w:line="560" w:lineRule="exact"/>
        <w:ind w:firstLine="627"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pacing w:val="-4"/>
          <w:sz w:val="32"/>
          <w:szCs w:val="32"/>
          <w:lang w:eastAsia="zh-CN"/>
        </w:rPr>
        <w:t>⑷资</w:t>
      </w:r>
      <w:r>
        <w:rPr>
          <w:rFonts w:hint="eastAsia" w:ascii="仿宋_GB2312" w:hAnsi="仿宋_GB2312" w:eastAsia="仿宋_GB2312" w:cs="仿宋_GB2312"/>
          <w:b/>
          <w:sz w:val="32"/>
          <w:szCs w:val="32"/>
          <w:lang w:eastAsia="zh-CN"/>
        </w:rPr>
        <w:t>金投入。</w:t>
      </w:r>
      <w:r>
        <w:rPr>
          <w:rFonts w:hint="eastAsia" w:ascii="仿宋_GB2312" w:hAnsi="仿宋_GB2312" w:eastAsia="仿宋_GB2312" w:cs="仿宋_GB2312"/>
          <w:sz w:val="32"/>
          <w:szCs w:val="32"/>
          <w:lang w:val="en-US" w:eastAsia="zh-CN"/>
        </w:rPr>
        <w:t>2023年共4290万元。</w:t>
      </w:r>
    </w:p>
    <w:p>
      <w:pPr>
        <w:pStyle w:val="20"/>
        <w:widowControl w:val="0"/>
        <w:spacing w:before="0" w:after="0" w:line="56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eastAsia="zh-CN"/>
        </w:rPr>
        <w:t>⑸使用情况。</w:t>
      </w:r>
      <w:r>
        <w:rPr>
          <w:rFonts w:hint="eastAsia" w:ascii="仿宋_GB2312" w:hAnsi="仿宋_GB2312" w:eastAsia="仿宋_GB2312" w:cs="仿宋_GB2312"/>
          <w:sz w:val="32"/>
          <w:szCs w:val="32"/>
          <w:lang w:eastAsia="zh-CN"/>
        </w:rPr>
        <w:t>实际使用</w:t>
      </w:r>
      <w:r>
        <w:rPr>
          <w:rFonts w:hint="eastAsia" w:ascii="仿宋_GB2312" w:hAnsi="仿宋_GB2312" w:eastAsia="仿宋_GB2312" w:cs="仿宋_GB2312"/>
          <w:sz w:val="32"/>
          <w:szCs w:val="32"/>
          <w:lang w:val="en-US" w:eastAsia="zh-CN"/>
        </w:rPr>
        <w:t>4168.78万元，用于兑付2022年乡镇考核资金及2023年考核工作经费。</w:t>
      </w:r>
    </w:p>
    <w:p>
      <w:pPr>
        <w:pStyle w:val="20"/>
        <w:widowControl w:val="0"/>
        <w:numPr>
          <w:ilvl w:val="0"/>
          <w:numId w:val="1"/>
        </w:numPr>
        <w:spacing w:before="0" w:after="0" w:line="560" w:lineRule="exact"/>
        <w:ind w:firstLine="640" w:firstLineChars="200"/>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绩效目标。</w:t>
      </w:r>
    </w:p>
    <w:p>
      <w:pPr>
        <w:spacing w:line="560" w:lineRule="exact"/>
        <w:ind w:firstLine="640" w:firstLineChars="200"/>
        <w:rPr>
          <w:rFonts w:hint="eastAsia" w:ascii="楷体_GB2312" w:hAnsi="仿宋_GB2312" w:eastAsia="楷体_GB2312" w:cs="仿宋_GB2312"/>
          <w:sz w:val="32"/>
          <w:szCs w:val="32"/>
          <w:lang w:eastAsia="zh-CN"/>
        </w:rPr>
      </w:pPr>
      <w:r>
        <w:rPr>
          <w:rFonts w:hint="eastAsia" w:ascii="仿宋_GB2312" w:eastAsia="仿宋_GB2312" w:hAnsiTheme="minorEastAsia"/>
          <w:b w:val="0"/>
          <w:sz w:val="32"/>
          <w:szCs w:val="32"/>
        </w:rPr>
        <w:t>①总体目标</w:t>
      </w:r>
    </w:p>
    <w:p>
      <w:pPr>
        <w:spacing w:line="590" w:lineRule="exact"/>
        <w:ind w:firstLine="671" w:firstLineChars="221"/>
        <w:rPr>
          <w:rFonts w:hint="eastAsia" w:ascii="仿宋_GB2312" w:hAnsi="Times New Roman" w:eastAsia="仿宋_GB2312" w:cs="CUBAAU+FZFSK--GBK1-0"/>
          <w:b w:val="0"/>
          <w:spacing w:val="-8"/>
          <w:sz w:val="32"/>
          <w:szCs w:val="32"/>
        </w:rPr>
      </w:pPr>
      <w:r>
        <w:rPr>
          <w:rFonts w:hint="eastAsia" w:ascii="仿宋_GB2312" w:hAnsi="Times New Roman" w:eastAsia="仿宋_GB2312" w:cs="CUBAAU+FZFSK--GBK1-0"/>
          <w:b w:val="0"/>
          <w:spacing w:val="-8"/>
          <w:sz w:val="32"/>
          <w:szCs w:val="32"/>
        </w:rPr>
        <w:t>到2025年，全市农村人居环境高质量提升，农村生活垃圾分类设施、生活污水处理设施行政村建设和卫生户厕无害化改造实现全覆盖，农村生活污水农户覆盖率不少于70%，消除农村黑臭水体河道，三分之一以上的农村河道建设成为生态美丽河道。全市畜禽粪污和秸秆综合利用率都达95%以上，废旧农膜基本实现全回收，农药包装废弃物处置率达100%。争创“四好农村路”全国示范县，打造农村交通服务乡村振兴样板。建成省级绿美村庄30个以上、美丽宜居乡村150个、特色田园乡村10个。农村人居环境长效管护机制健全，村庄环境美丽宜居，富有江海田园特色风貌的美丽乡村基本形成。</w:t>
      </w:r>
    </w:p>
    <w:p>
      <w:pPr>
        <w:spacing w:line="560" w:lineRule="exact"/>
        <w:ind w:firstLine="640" w:firstLineChars="200"/>
        <w:rPr>
          <w:rFonts w:hint="eastAsia" w:ascii="仿宋_GB2312" w:eastAsia="仿宋_GB2312" w:hAnsiTheme="minorEastAsia"/>
          <w:b w:val="0"/>
          <w:sz w:val="32"/>
          <w:szCs w:val="32"/>
        </w:rPr>
      </w:pPr>
      <w:r>
        <w:rPr>
          <w:rFonts w:hint="eastAsia" w:ascii="仿宋_GB2312" w:eastAsia="仿宋_GB2312" w:hAnsiTheme="minorEastAsia"/>
          <w:b w:val="0"/>
          <w:sz w:val="32"/>
          <w:szCs w:val="32"/>
        </w:rPr>
        <w:t>②阶段性目标</w:t>
      </w:r>
    </w:p>
    <w:p>
      <w:pPr>
        <w:spacing w:line="560" w:lineRule="exact"/>
        <w:ind w:firstLine="640" w:firstLineChars="200"/>
        <w:rPr>
          <w:rFonts w:ascii="仿宋_GB2312" w:eastAsia="仿宋_GB2312"/>
          <w:sz w:val="32"/>
          <w:szCs w:val="32"/>
        </w:rPr>
      </w:pPr>
      <w:r>
        <w:rPr>
          <w:rFonts w:hint="eastAsia" w:ascii="仿宋_GB2312" w:hAnsi="Calibri" w:eastAsia="仿宋_GB2312" w:cs="Times New Roman"/>
          <w:b w:val="0"/>
          <w:sz w:val="32"/>
          <w:szCs w:val="32"/>
        </w:rPr>
        <w:t>全市农村人居环境质量全面提升，镇村环境干净整洁有序，农村居民的环境与健康意识普遍提高，广大农民群众安全感、获得感、幸福感显著增强</w:t>
      </w:r>
      <w:r>
        <w:rPr>
          <w:rFonts w:hint="eastAsia" w:ascii="仿宋_GB2312" w:eastAsia="仿宋_GB2312"/>
          <w:sz w:val="32"/>
          <w:szCs w:val="32"/>
        </w:rPr>
        <w:t>。</w:t>
      </w:r>
    </w:p>
    <w:p>
      <w:pPr>
        <w:pStyle w:val="20"/>
        <w:widowControl w:val="0"/>
        <w:spacing w:before="0" w:after="0"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二、评价情况</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Style w:val="13"/>
          <w:rFonts w:hint="eastAsia" w:ascii="仿宋" w:hAnsi="仿宋" w:eastAsia="仿宋" w:cs="仿宋"/>
          <w:b w:val="0"/>
          <w:bCs/>
          <w:color w:val="000000"/>
          <w:spacing w:val="0"/>
          <w:sz w:val="32"/>
          <w:szCs w:val="32"/>
        </w:rPr>
        <w:t>按照财政绩效评价相关要求，认真研究制定了项目评价的评价方式和评价指标体系，根据决策、过程、</w:t>
      </w:r>
      <w:r>
        <w:rPr>
          <w:rStyle w:val="13"/>
          <w:rFonts w:hint="eastAsia" w:ascii="仿宋" w:hAnsi="仿宋" w:eastAsia="仿宋" w:cs="仿宋"/>
          <w:b w:val="0"/>
          <w:bCs/>
          <w:color w:val="000000"/>
          <w:spacing w:val="0"/>
          <w:sz w:val="32"/>
          <w:szCs w:val="32"/>
          <w:lang w:eastAsia="zh-CN"/>
        </w:rPr>
        <w:t>成本、</w:t>
      </w:r>
      <w:r>
        <w:rPr>
          <w:rStyle w:val="13"/>
          <w:rFonts w:hint="eastAsia" w:ascii="仿宋" w:hAnsi="仿宋" w:eastAsia="仿宋" w:cs="仿宋"/>
          <w:b w:val="0"/>
          <w:bCs/>
          <w:color w:val="000000"/>
          <w:spacing w:val="0"/>
          <w:sz w:val="32"/>
          <w:szCs w:val="32"/>
        </w:rPr>
        <w:t>产出指标、效益指标、满意度指标一级指标</w:t>
      </w:r>
      <w:r>
        <w:rPr>
          <w:rStyle w:val="13"/>
          <w:rFonts w:hint="eastAsia" w:ascii="仿宋" w:hAnsi="仿宋" w:eastAsia="仿宋" w:cs="仿宋"/>
          <w:b w:val="0"/>
          <w:bCs/>
          <w:color w:val="000000"/>
          <w:spacing w:val="0"/>
          <w:sz w:val="32"/>
          <w:szCs w:val="32"/>
          <w:lang w:val="en-US" w:eastAsia="zh-CN"/>
        </w:rPr>
        <w:t>6</w:t>
      </w:r>
      <w:r>
        <w:rPr>
          <w:rStyle w:val="13"/>
          <w:rFonts w:hint="eastAsia" w:ascii="仿宋" w:hAnsi="仿宋" w:eastAsia="仿宋" w:cs="仿宋"/>
          <w:b w:val="0"/>
          <w:bCs/>
          <w:color w:val="000000"/>
          <w:spacing w:val="0"/>
          <w:sz w:val="32"/>
          <w:szCs w:val="32"/>
        </w:rPr>
        <w:t>个，项目立项、绩效目标、资金投入等二级指标1</w:t>
      </w:r>
      <w:r>
        <w:rPr>
          <w:rStyle w:val="13"/>
          <w:rFonts w:hint="eastAsia" w:ascii="仿宋" w:hAnsi="仿宋" w:eastAsia="仿宋" w:cs="仿宋"/>
          <w:b w:val="0"/>
          <w:bCs/>
          <w:color w:val="000000"/>
          <w:spacing w:val="0"/>
          <w:sz w:val="32"/>
          <w:szCs w:val="32"/>
          <w:lang w:val="en-US" w:eastAsia="zh-CN"/>
        </w:rPr>
        <w:t>4</w:t>
      </w:r>
      <w:r>
        <w:rPr>
          <w:rStyle w:val="13"/>
          <w:rFonts w:hint="eastAsia" w:ascii="仿宋" w:hAnsi="仿宋" w:eastAsia="仿宋" w:cs="仿宋"/>
          <w:b w:val="0"/>
          <w:bCs/>
          <w:color w:val="000000"/>
          <w:spacing w:val="0"/>
          <w:sz w:val="32"/>
          <w:szCs w:val="32"/>
        </w:rPr>
        <w:t>个，立项依据充分性、立项程序规范性、绩效目标合理性等三级指标2</w:t>
      </w:r>
      <w:r>
        <w:rPr>
          <w:rStyle w:val="13"/>
          <w:rFonts w:hint="eastAsia" w:ascii="仿宋" w:hAnsi="仿宋" w:cs="仿宋"/>
          <w:b w:val="0"/>
          <w:bCs/>
          <w:color w:val="000000"/>
          <w:spacing w:val="0"/>
          <w:sz w:val="32"/>
          <w:szCs w:val="32"/>
          <w:lang w:val="en-US" w:eastAsia="zh-CN"/>
        </w:rPr>
        <w:t>2</w:t>
      </w:r>
      <w:r>
        <w:rPr>
          <w:rStyle w:val="13"/>
          <w:rFonts w:hint="eastAsia" w:ascii="仿宋" w:hAnsi="仿宋" w:eastAsia="仿宋" w:cs="仿宋"/>
          <w:b w:val="0"/>
          <w:bCs/>
          <w:color w:val="000000"/>
          <w:spacing w:val="0"/>
          <w:sz w:val="32"/>
          <w:szCs w:val="32"/>
        </w:rPr>
        <w:t>个。根据工作完成情况、效益情况、满意度情况等确定评价结论。项目自评价得分</w:t>
      </w:r>
      <w:r>
        <w:rPr>
          <w:rStyle w:val="13"/>
          <w:rFonts w:hint="eastAsia" w:ascii="仿宋" w:hAnsi="仿宋" w:eastAsia="仿宋" w:cs="仿宋"/>
          <w:b w:val="0"/>
          <w:bCs/>
          <w:color w:val="000000"/>
          <w:spacing w:val="0"/>
          <w:sz w:val="32"/>
          <w:szCs w:val="32"/>
          <w:lang w:val="en-US" w:eastAsia="zh-CN"/>
        </w:rPr>
        <w:t>9</w:t>
      </w:r>
      <w:r>
        <w:rPr>
          <w:rStyle w:val="13"/>
          <w:rFonts w:hint="eastAsia" w:ascii="仿宋" w:hAnsi="仿宋" w:cs="仿宋"/>
          <w:b w:val="0"/>
          <w:bCs/>
          <w:color w:val="000000"/>
          <w:spacing w:val="0"/>
          <w:sz w:val="32"/>
          <w:szCs w:val="32"/>
          <w:lang w:val="en-US" w:eastAsia="zh-CN"/>
        </w:rPr>
        <w:t>7</w:t>
      </w:r>
      <w:r>
        <w:rPr>
          <w:rStyle w:val="13"/>
          <w:rFonts w:hint="eastAsia" w:ascii="仿宋" w:hAnsi="仿宋" w:eastAsia="仿宋" w:cs="仿宋"/>
          <w:b w:val="0"/>
          <w:bCs/>
          <w:color w:val="000000"/>
          <w:spacing w:val="0"/>
          <w:sz w:val="32"/>
          <w:szCs w:val="32"/>
          <w:lang w:val="en-US" w:eastAsia="zh-CN"/>
        </w:rPr>
        <w:t>.</w:t>
      </w:r>
      <w:r>
        <w:rPr>
          <w:rStyle w:val="13"/>
          <w:rFonts w:hint="eastAsia" w:ascii="仿宋" w:hAnsi="仿宋" w:cs="仿宋"/>
          <w:b w:val="0"/>
          <w:bCs/>
          <w:color w:val="000000"/>
          <w:spacing w:val="0"/>
          <w:sz w:val="32"/>
          <w:szCs w:val="32"/>
          <w:lang w:val="en-US" w:eastAsia="zh-CN"/>
        </w:rPr>
        <w:t>9</w:t>
      </w:r>
      <w:bookmarkStart w:id="0" w:name="_GoBack"/>
      <w:bookmarkEnd w:id="0"/>
      <w:r>
        <w:rPr>
          <w:rStyle w:val="13"/>
          <w:rFonts w:hint="eastAsia" w:ascii="仿宋" w:hAnsi="仿宋" w:eastAsia="仿宋" w:cs="仿宋"/>
          <w:b w:val="0"/>
          <w:bCs/>
          <w:color w:val="000000"/>
          <w:spacing w:val="0"/>
          <w:sz w:val="32"/>
          <w:szCs w:val="32"/>
        </w:rPr>
        <w:t>分，等级为</w:t>
      </w:r>
      <w:r>
        <w:rPr>
          <w:rStyle w:val="13"/>
          <w:rFonts w:hint="eastAsia" w:ascii="仿宋" w:hAnsi="仿宋" w:eastAsia="仿宋" w:cs="仿宋"/>
          <w:b w:val="0"/>
          <w:bCs/>
          <w:color w:val="000000"/>
          <w:spacing w:val="0"/>
          <w:sz w:val="32"/>
          <w:szCs w:val="32"/>
          <w:lang w:eastAsia="zh-CN"/>
        </w:rPr>
        <w:t>优</w:t>
      </w:r>
      <w:r>
        <w:rPr>
          <w:rStyle w:val="13"/>
          <w:rFonts w:hint="eastAsia" w:ascii="仿宋" w:hAnsi="仿宋" w:eastAsia="仿宋" w:cs="仿宋"/>
          <w:b w:val="0"/>
          <w:bCs/>
          <w:color w:val="000000"/>
          <w:spacing w:val="0"/>
          <w:sz w:val="32"/>
          <w:szCs w:val="32"/>
        </w:rPr>
        <w:t>。</w:t>
      </w:r>
    </w:p>
    <w:p>
      <w:pPr>
        <w:pStyle w:val="20"/>
        <w:widowControl w:val="0"/>
        <w:spacing w:before="0" w:after="0"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三、项目绩效。</w:t>
      </w:r>
    </w:p>
    <w:p>
      <w:pPr>
        <w:pStyle w:val="20"/>
        <w:widowControl w:val="0"/>
        <w:spacing w:before="0" w:after="0" w:line="560" w:lineRule="exact"/>
        <w:ind w:firstLine="612" w:firstLineChars="200"/>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⑴做法经验。</w:t>
      </w:r>
    </w:p>
    <w:p>
      <w:pPr>
        <w:pStyle w:val="20"/>
        <w:widowControl w:val="0"/>
        <w:spacing w:before="0" w:after="0" w:line="560" w:lineRule="exact"/>
        <w:ind w:firstLine="640" w:firstLineChars="200"/>
        <w:rPr>
          <w:rFonts w:hint="eastAsia" w:eastAsia="仿宋_GB2312"/>
          <w:sz w:val="32"/>
          <w:szCs w:val="32"/>
          <w:lang w:eastAsia="zh-CN"/>
        </w:rPr>
      </w:pPr>
      <w:r>
        <w:rPr>
          <w:rFonts w:hint="eastAsia" w:eastAsia="仿宋_GB2312"/>
          <w:sz w:val="32"/>
          <w:szCs w:val="32"/>
          <w:lang w:eastAsia="zh-CN"/>
        </w:rPr>
        <w:t>①组织推进。建立如皋市乡村建设行动联席会议制度，组建农村人居环境整治提升专项推进组，工作列入相关联席会议成员单位的个性化目标考评和镇（区、街道）的年度高质量综合考核体系。制定并印发了《如皋市2023年农村人居环境整治提升工作考核细则》和《如皋市农村公共空间环境整治提升实施方案》两份文件。考核采取月度考核、双月现场会推进、季度村（社区）大讲坛观摩等方式进行，建立“红黑榜”、“进位退步榜”制度。13家部门到挂钩镇开展不定期督查，并对督查情况进行通报，全面促进我市农村人居环境整体提升。②规划引领。</w:t>
      </w:r>
      <w:r>
        <w:rPr>
          <w:rFonts w:eastAsia="仿宋_GB2312"/>
          <w:sz w:val="32"/>
          <w:szCs w:val="32"/>
          <w:lang w:eastAsia="zh-CN"/>
        </w:rPr>
        <w:t>根据省、市相关要求，</w:t>
      </w:r>
      <w:r>
        <w:rPr>
          <w:rFonts w:hint="eastAsia" w:eastAsia="仿宋_GB2312"/>
          <w:sz w:val="32"/>
          <w:szCs w:val="32"/>
          <w:lang w:eastAsia="zh-CN"/>
        </w:rPr>
        <w:t>我市所有行政村的村庄规划已实现应编尽编，今年完成50%村庄规划的报批工作。在村庄规划编制中，我市加强村庄发展用地保障和分类整治引导，尊重传统村庄肌理和延续村庄原有风貌，提升农村生产生活环境，引领宜居宜业和美乡村建设。我市相关工作经验在全省村庄规划工作现场推进会上作交流发言。③农民参与。充分利用“有事好商量”协商议事平台全域推行“自己的河道自己管护、自己的道路自己清扫、自己的庭院自己整理”工作。全市332个村（社区）将村庄环境卫生等要求纳入村规民约，深入开展“村庄清洁日”“庭院评比”、“积分制管理”、志愿服务等多种形式活动，提高村民维护村庄环境卫生的主人翁意识。</w:t>
      </w:r>
    </w:p>
    <w:p>
      <w:pPr>
        <w:pStyle w:val="20"/>
        <w:widowControl w:val="0"/>
        <w:spacing w:before="0" w:after="0"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⑵取得绩效。</w:t>
      </w:r>
    </w:p>
    <w:p>
      <w:pPr>
        <w:pStyle w:val="5"/>
        <w:spacing w:line="560" w:lineRule="exact"/>
        <w:rPr>
          <w:rFonts w:hint="eastAsia" w:ascii="Times New Roman" w:hAnsi="Times New Roman" w:eastAsia="仿宋_GB2312"/>
          <w:sz w:val="32"/>
          <w:szCs w:val="32"/>
          <w:lang w:eastAsia="zh-CN"/>
        </w:rPr>
      </w:pPr>
      <w:r>
        <w:rPr>
          <w:rFonts w:hint="eastAsia" w:ascii="仿宋_GB2312" w:eastAsia="仿宋_GB2312"/>
          <w:b w:val="0"/>
          <w:color w:val="000000" w:themeColor="text1"/>
          <w:sz w:val="32"/>
          <w:szCs w:val="32"/>
        </w:rPr>
        <w:t>全市2023年新建改造农村户厕20494座</w:t>
      </w:r>
      <w:r>
        <w:rPr>
          <w:rFonts w:hint="eastAsia" w:hAnsi="仿宋_GB2312" w:cs="仿宋_GB2312"/>
          <w:sz w:val="32"/>
          <w:szCs w:val="32"/>
        </w:rPr>
        <w:t>，并通过南通市级验收</w:t>
      </w:r>
      <w:r>
        <w:rPr>
          <w:rFonts w:hint="eastAsia" w:hAnsi="仿宋_GB2312" w:cs="仿宋_GB2312"/>
          <w:sz w:val="32"/>
          <w:szCs w:val="32"/>
          <w:lang w:eastAsia="zh-CN"/>
        </w:rPr>
        <w:t>；</w:t>
      </w:r>
      <w:r>
        <w:rPr>
          <w:rFonts w:hint="eastAsia" w:ascii="仿宋_GB2312" w:eastAsia="仿宋_GB2312"/>
          <w:b w:val="0"/>
          <w:snapToGrid w:val="0"/>
          <w:kern w:val="32"/>
          <w:sz w:val="32"/>
          <w:szCs w:val="32"/>
        </w:rPr>
        <w:t>累计完成</w:t>
      </w:r>
      <w:r>
        <w:rPr>
          <w:rFonts w:hint="eastAsia" w:ascii="仿宋_GB2312" w:eastAsia="仿宋_GB2312"/>
          <w:b w:val="0"/>
          <w:sz w:val="32"/>
          <w:szCs w:val="32"/>
        </w:rPr>
        <w:t>215个行政村农村生</w:t>
      </w:r>
      <w:r>
        <w:rPr>
          <w:rFonts w:hint="eastAsia" w:ascii="仿宋_GB2312" w:hAnsi="仿宋_GB2312" w:eastAsia="仿宋_GB2312"/>
          <w:b w:val="0"/>
          <w:sz w:val="32"/>
          <w:szCs w:val="32"/>
        </w:rPr>
        <w:t>活污水“双60”治理，</w:t>
      </w:r>
      <w:r>
        <w:rPr>
          <w:rFonts w:hint="eastAsia" w:ascii="仿宋_GB2312" w:hAnsi="仿宋_GB2312" w:eastAsia="仿宋_GB2312"/>
          <w:b w:val="0"/>
          <w:snapToGrid w:val="0"/>
          <w:kern w:val="32"/>
          <w:sz w:val="32"/>
          <w:szCs w:val="32"/>
        </w:rPr>
        <w:t>治理率达到65%</w:t>
      </w:r>
      <w:r>
        <w:rPr>
          <w:rFonts w:hint="eastAsia" w:hAnsi="仿宋_GB2312"/>
          <w:b w:val="0"/>
          <w:snapToGrid w:val="0"/>
          <w:kern w:val="32"/>
          <w:sz w:val="32"/>
          <w:szCs w:val="32"/>
          <w:lang w:eastAsia="zh-CN"/>
        </w:rPr>
        <w:t>；</w:t>
      </w:r>
      <w:r>
        <w:rPr>
          <w:rFonts w:hint="eastAsia" w:hAnsi="仿宋_GB2312" w:cs="仿宋_GB2312"/>
          <w:sz w:val="32"/>
          <w:szCs w:val="32"/>
        </w:rPr>
        <w:t>全面狙击“黑臭”</w:t>
      </w:r>
      <w:r>
        <w:rPr>
          <w:rFonts w:hint="eastAsia" w:hAnsi="仿宋_GB2312" w:cs="仿宋_GB2312"/>
          <w:sz w:val="32"/>
          <w:szCs w:val="32"/>
          <w:lang w:eastAsia="zh-CN"/>
        </w:rPr>
        <w:t>水体，</w:t>
      </w:r>
      <w:r>
        <w:rPr>
          <w:rFonts w:hint="eastAsia" w:hAnsi="仿宋_GB2312" w:cs="仿宋_GB2312"/>
          <w:sz w:val="32"/>
          <w:szCs w:val="32"/>
        </w:rPr>
        <w:t>农村生态河道覆盖率超50%</w:t>
      </w:r>
      <w:r>
        <w:rPr>
          <w:rFonts w:hint="eastAsia" w:hAnsi="仿宋_GB2312" w:cs="仿宋_GB2312"/>
          <w:sz w:val="32"/>
          <w:szCs w:val="32"/>
          <w:lang w:eastAsia="zh-CN"/>
        </w:rPr>
        <w:t>；</w:t>
      </w:r>
      <w:r>
        <w:rPr>
          <w:rFonts w:hint="eastAsia" w:hAnsi="Times New Roman"/>
          <w:bCs/>
          <w:sz w:val="32"/>
          <w:szCs w:val="32"/>
        </w:rPr>
        <w:t>完成349个村级生活垃圾中转点改造工作，</w:t>
      </w:r>
      <w:r>
        <w:rPr>
          <w:rFonts w:hint="eastAsia" w:hAnsi="仿宋_GB2312" w:cs="仿宋_GB2312"/>
          <w:sz w:val="32"/>
          <w:szCs w:val="32"/>
        </w:rPr>
        <w:t>全市农药包装废弃物回收点467个</w:t>
      </w:r>
      <w:r>
        <w:rPr>
          <w:rFonts w:hint="eastAsia" w:hAnsi="仿宋_GB2312" w:cs="仿宋_GB2312"/>
          <w:sz w:val="32"/>
          <w:szCs w:val="32"/>
          <w:lang w:eastAsia="zh-CN"/>
        </w:rPr>
        <w:t>；</w:t>
      </w:r>
      <w:r>
        <w:rPr>
          <w:rFonts w:hint="eastAsia" w:hAnsi="仿宋_GB2312" w:cs="仿宋_GB2312"/>
          <w:sz w:val="32"/>
          <w:szCs w:val="32"/>
        </w:rPr>
        <w:t>开展村庄清洁行动22229场，垃圾清运约25万吨</w:t>
      </w:r>
      <w:r>
        <w:rPr>
          <w:rFonts w:hint="eastAsia" w:hAnsi="仿宋_GB2312" w:cs="仿宋_GB2312"/>
          <w:sz w:val="32"/>
          <w:szCs w:val="32"/>
          <w:lang w:eastAsia="zh-CN"/>
        </w:rPr>
        <w:t>；</w:t>
      </w:r>
      <w:r>
        <w:rPr>
          <w:rFonts w:hint="eastAsia" w:ascii="仿宋_GB2312" w:eastAsia="仿宋_GB2312"/>
          <w:b w:val="0"/>
          <w:sz w:val="32"/>
          <w:szCs w:val="32"/>
        </w:rPr>
        <w:t>推进农村公路与城镇道路和村内道路的衔接，建成约20公里通居路</w:t>
      </w:r>
      <w:r>
        <w:rPr>
          <w:rFonts w:hint="eastAsia"/>
          <w:b w:val="0"/>
          <w:sz w:val="32"/>
          <w:szCs w:val="32"/>
          <w:lang w:eastAsia="zh-CN"/>
        </w:rPr>
        <w:t>，</w:t>
      </w:r>
      <w:r>
        <w:rPr>
          <w:rFonts w:hint="eastAsia" w:ascii="仿宋_GB2312" w:eastAsia="仿宋_GB2312"/>
          <w:b w:val="0"/>
          <w:sz w:val="32"/>
          <w:szCs w:val="32"/>
        </w:rPr>
        <w:t>农村公路提档升级道路完工16公里</w:t>
      </w:r>
      <w:r>
        <w:rPr>
          <w:rFonts w:hint="eastAsia"/>
          <w:b w:val="0"/>
          <w:sz w:val="32"/>
          <w:szCs w:val="32"/>
          <w:lang w:eastAsia="zh-CN"/>
        </w:rPr>
        <w:t>，</w:t>
      </w:r>
      <w:r>
        <w:rPr>
          <w:rFonts w:hint="eastAsia" w:ascii="仿宋_GB2312" w:eastAsia="仿宋_GB2312"/>
          <w:b w:val="0"/>
          <w:sz w:val="32"/>
          <w:szCs w:val="32"/>
        </w:rPr>
        <w:t>危桥改造16座</w:t>
      </w:r>
      <w:r>
        <w:rPr>
          <w:rFonts w:hint="eastAsia"/>
          <w:b w:val="0"/>
          <w:sz w:val="32"/>
          <w:szCs w:val="32"/>
          <w:lang w:eastAsia="zh-CN"/>
        </w:rPr>
        <w:t>，</w:t>
      </w:r>
      <w:r>
        <w:rPr>
          <w:rFonts w:hint="eastAsia" w:ascii="仿宋_GB2312" w:eastAsia="仿宋_GB2312"/>
          <w:b w:val="0"/>
          <w:sz w:val="32"/>
          <w:szCs w:val="32"/>
        </w:rPr>
        <w:t>生命安全防护工程381公里</w:t>
      </w:r>
      <w:r>
        <w:rPr>
          <w:rFonts w:hint="eastAsia"/>
          <w:b w:val="0"/>
          <w:sz w:val="32"/>
          <w:szCs w:val="32"/>
          <w:lang w:eastAsia="zh-CN"/>
        </w:rPr>
        <w:t>；</w:t>
      </w:r>
      <w:r>
        <w:rPr>
          <w:rFonts w:hint="eastAsia" w:ascii="仿宋_GB2312" w:hAnsi="仿宋_GB2312" w:eastAsia="仿宋_GB2312"/>
          <w:b w:val="0"/>
          <w:sz w:val="32"/>
          <w:szCs w:val="32"/>
        </w:rPr>
        <w:t>建省级绿美村庄2个</w:t>
      </w:r>
      <w:r>
        <w:rPr>
          <w:rFonts w:hint="eastAsia" w:hAnsi="仿宋_GB2312"/>
          <w:b w:val="0"/>
          <w:sz w:val="32"/>
          <w:szCs w:val="32"/>
          <w:lang w:eastAsia="zh-CN"/>
        </w:rPr>
        <w:t>，</w:t>
      </w:r>
      <w:r>
        <w:rPr>
          <w:rFonts w:hint="eastAsia" w:ascii="仿宋_GB2312" w:hAnsi="仿宋_GB2312" w:eastAsia="仿宋_GB2312"/>
          <w:b w:val="0"/>
          <w:sz w:val="32"/>
          <w:szCs w:val="32"/>
        </w:rPr>
        <w:t>评选3批美丽庭院示范户350户</w:t>
      </w:r>
      <w:r>
        <w:rPr>
          <w:rFonts w:hint="eastAsia" w:hAnsi="仿宋_GB2312"/>
          <w:b w:val="0"/>
          <w:sz w:val="32"/>
          <w:szCs w:val="32"/>
          <w:lang w:eastAsia="zh-CN"/>
        </w:rPr>
        <w:t>；</w:t>
      </w:r>
      <w:r>
        <w:rPr>
          <w:rFonts w:hint="eastAsia" w:ascii="仿宋_GB2312" w:hAnsi="仿宋_GB2312" w:eastAsia="仿宋_GB2312"/>
          <w:b w:val="0"/>
          <w:sz w:val="32"/>
          <w:szCs w:val="32"/>
        </w:rPr>
        <w:t>危房改造53户</w:t>
      </w:r>
      <w:r>
        <w:rPr>
          <w:rFonts w:hint="eastAsia" w:hAnsi="仿宋_GB2312"/>
          <w:b w:val="0"/>
          <w:sz w:val="32"/>
          <w:szCs w:val="32"/>
          <w:lang w:eastAsia="zh-CN"/>
        </w:rPr>
        <w:t>；</w:t>
      </w:r>
      <w:r>
        <w:rPr>
          <w:rFonts w:hint="eastAsia" w:ascii="仿宋_GB2312" w:hAnsi="仿宋_GB2312" w:eastAsia="仿宋_GB2312"/>
          <w:b w:val="0"/>
          <w:sz w:val="32"/>
          <w:szCs w:val="32"/>
        </w:rPr>
        <w:t>10个村庄获得“江苏省特色田园乡村”称号</w:t>
      </w:r>
      <w:r>
        <w:rPr>
          <w:rFonts w:hint="eastAsia" w:hAnsi="仿宋_GB2312"/>
          <w:b w:val="0"/>
          <w:sz w:val="32"/>
          <w:szCs w:val="32"/>
          <w:lang w:eastAsia="zh-CN"/>
        </w:rPr>
        <w:t>；</w:t>
      </w:r>
      <w:r>
        <w:rPr>
          <w:rFonts w:hint="eastAsia" w:ascii="仿宋_GB2312" w:hAnsi="仿宋_GB2312" w:eastAsia="仿宋_GB2312"/>
          <w:b w:val="0"/>
          <w:sz w:val="32"/>
          <w:szCs w:val="32"/>
        </w:rPr>
        <w:t>省级人居环境整治提升示范县</w:t>
      </w:r>
      <w:r>
        <w:rPr>
          <w:rFonts w:hint="eastAsia" w:hAnsi="仿宋_GB2312"/>
          <w:b w:val="0"/>
          <w:sz w:val="32"/>
          <w:szCs w:val="32"/>
          <w:lang w:eastAsia="zh-CN"/>
        </w:rPr>
        <w:t>通过南通初评。</w:t>
      </w:r>
    </w:p>
    <w:p>
      <w:pPr>
        <w:pStyle w:val="20"/>
        <w:widowControl w:val="0"/>
        <w:spacing w:before="0" w:after="0"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四、存在问题。</w:t>
      </w:r>
    </w:p>
    <w:p>
      <w:pPr>
        <w:pStyle w:val="5"/>
        <w:spacing w:line="560" w:lineRule="exact"/>
        <w:rPr>
          <w:rFonts w:hint="default" w:ascii="仿宋_GB2312" w:hAnsi="仿宋_GB2312" w:eastAsia="仿宋_GB2312" w:cs="Times New Roman"/>
          <w:b w:val="0"/>
          <w:sz w:val="32"/>
          <w:szCs w:val="32"/>
          <w:lang w:val="en-US" w:eastAsia="zh-CN"/>
        </w:rPr>
      </w:pPr>
      <w:r>
        <w:rPr>
          <w:rFonts w:hint="eastAsia" w:ascii="仿宋_GB2312" w:hAnsi="仿宋_GB2312" w:eastAsia="仿宋_GB2312" w:cs="Times New Roman"/>
          <w:b w:val="0"/>
          <w:sz w:val="32"/>
          <w:szCs w:val="32"/>
          <w:lang w:val="en-US" w:eastAsia="zh-CN"/>
        </w:rPr>
        <w:t>一是资金预算不足，2023年兑付的是前一年的考核资金；二是</w:t>
      </w:r>
      <w:r>
        <w:rPr>
          <w:rFonts w:hint="eastAsia" w:hAnsi="仿宋_GB2312" w:cs="Times New Roman"/>
          <w:b w:val="0"/>
          <w:sz w:val="32"/>
          <w:szCs w:val="32"/>
          <w:lang w:val="en-US" w:eastAsia="zh-CN"/>
        </w:rPr>
        <w:t>绩效目标不够全面，量化指标较少</w:t>
      </w:r>
      <w:r>
        <w:rPr>
          <w:rFonts w:hint="eastAsia" w:ascii="仿宋_GB2312" w:hAnsi="仿宋_GB2312" w:eastAsia="仿宋_GB2312" w:cs="Times New Roman"/>
          <w:b w:val="0"/>
          <w:sz w:val="32"/>
          <w:szCs w:val="32"/>
          <w:lang w:val="en-US" w:eastAsia="zh-CN"/>
        </w:rPr>
        <w:t>。</w:t>
      </w:r>
    </w:p>
    <w:p>
      <w:pPr>
        <w:pStyle w:val="20"/>
        <w:widowControl w:val="0"/>
        <w:spacing w:before="0" w:after="0"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五、有关建议。</w:t>
      </w:r>
    </w:p>
    <w:p>
      <w:pPr>
        <w:pStyle w:val="5"/>
        <w:spacing w:line="560" w:lineRule="exact"/>
        <w:rPr>
          <w:rFonts w:hint="eastAsia" w:ascii="仿宋_GB2312" w:hAnsi="仿宋_GB2312" w:eastAsia="仿宋_GB2312" w:cs="Times New Roman"/>
          <w:b w:val="0"/>
          <w:sz w:val="32"/>
          <w:szCs w:val="32"/>
          <w:lang w:val="en-US" w:eastAsia="zh-CN"/>
        </w:rPr>
      </w:pPr>
      <w:r>
        <w:rPr>
          <w:rFonts w:hint="eastAsia" w:ascii="仿宋_GB2312" w:hAnsi="仿宋_GB2312" w:eastAsia="仿宋_GB2312" w:cs="Times New Roman"/>
          <w:b w:val="0"/>
          <w:sz w:val="32"/>
          <w:szCs w:val="32"/>
          <w:lang w:val="en-US" w:eastAsia="zh-CN"/>
        </w:rPr>
        <w:t>一是积极争取</w:t>
      </w:r>
      <w:r>
        <w:rPr>
          <w:rFonts w:hint="eastAsia" w:hAnsi="仿宋_GB2312" w:cs="Times New Roman"/>
          <w:b w:val="0"/>
          <w:sz w:val="32"/>
          <w:szCs w:val="32"/>
          <w:lang w:val="en-US" w:eastAsia="zh-CN"/>
        </w:rPr>
        <w:t>上级财政的支持，及时兑付考核资金</w:t>
      </w:r>
      <w:r>
        <w:rPr>
          <w:rFonts w:hint="eastAsia" w:ascii="仿宋_GB2312" w:hAnsi="仿宋_GB2312" w:eastAsia="仿宋_GB2312" w:cs="Times New Roman"/>
          <w:b w:val="0"/>
          <w:sz w:val="32"/>
          <w:szCs w:val="32"/>
          <w:lang w:val="en-US" w:eastAsia="zh-CN"/>
        </w:rPr>
        <w:t>；二是加强</w:t>
      </w:r>
      <w:r>
        <w:rPr>
          <w:rFonts w:hint="eastAsia" w:hAnsi="仿宋_GB2312" w:cs="Times New Roman"/>
          <w:b w:val="0"/>
          <w:sz w:val="32"/>
          <w:szCs w:val="32"/>
          <w:lang w:val="en-US" w:eastAsia="zh-CN"/>
        </w:rPr>
        <w:t>项目绩效管理，科学全面设置绩效目标。</w:t>
      </w:r>
    </w:p>
    <w:p>
      <w:pPr>
        <w:pStyle w:val="5"/>
        <w:spacing w:line="560" w:lineRule="exact"/>
        <w:rPr>
          <w:rFonts w:hint="eastAsia" w:ascii="仿宋_GB2312" w:hAnsi="仿宋_GB2312" w:eastAsia="仿宋_GB2312" w:cs="Times New Roman"/>
          <w:b w:val="0"/>
          <w:sz w:val="32"/>
          <w:szCs w:val="32"/>
          <w:lang w:val="en-US" w:eastAsia="zh-CN"/>
        </w:rPr>
      </w:pPr>
    </w:p>
    <w:p>
      <w:pPr>
        <w:pStyle w:val="20"/>
        <w:widowControl w:val="0"/>
        <w:spacing w:before="0" w:after="0" w:line="560" w:lineRule="exact"/>
        <w:rPr>
          <w:rFonts w:hint="eastAsia" w:ascii="仿宋_GB2312" w:hAnsi="仿宋_GB2312" w:eastAsia="仿宋_GB2312" w:cs="仿宋_GB2312"/>
          <w:b/>
          <w:bCs/>
          <w:sz w:val="32"/>
          <w:szCs w:val="32"/>
          <w:shd w:val="clear" w:color="auto" w:fill="FFFFFF"/>
          <w:lang w:eastAsia="zh-CN"/>
        </w:rPr>
      </w:pPr>
    </w:p>
    <w:sectPr>
      <w:footerReference r:id="rId3" w:type="default"/>
      <w:pgSz w:w="11900" w:h="16820"/>
      <w:pgMar w:top="1418" w:right="1588" w:bottom="1418" w:left="1588" w:header="720" w:footer="1247" w:gutter="0"/>
      <w:cols w:space="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UBAAU+FZFSK--GBK1-0">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8"/>
                  <w:rPr>
                    <w:rFonts w:ascii="Times New Roman" w:hAnsi="Times New Roman" w:cs="Times New Roman"/>
                    <w:b w:val="0"/>
                    <w:bCs/>
                    <w:sz w:val="28"/>
                  </w:rPr>
                </w:pPr>
                <w:r>
                  <w:rPr>
                    <w:rFonts w:ascii="Times New Roman" w:hAnsi="Times New Roman" w:cs="Times New Roman"/>
                    <w:b w:val="0"/>
                    <w:bCs/>
                    <w:sz w:val="28"/>
                  </w:rPr>
                  <w:t xml:space="preserve">— </w:t>
                </w:r>
                <w:r>
                  <w:rPr>
                    <w:rFonts w:ascii="Times New Roman" w:hAnsi="Times New Roman" w:cs="Times New Roman"/>
                    <w:b w:val="0"/>
                    <w:bCs/>
                    <w:sz w:val="28"/>
                  </w:rPr>
                  <w:fldChar w:fldCharType="begin"/>
                </w:r>
                <w:r>
                  <w:rPr>
                    <w:rFonts w:ascii="Times New Roman" w:hAnsi="Times New Roman" w:cs="Times New Roman"/>
                    <w:b w:val="0"/>
                    <w:bCs/>
                    <w:sz w:val="28"/>
                  </w:rPr>
                  <w:instrText xml:space="preserve"> PAGE  \* MERGEFORMAT </w:instrText>
                </w:r>
                <w:r>
                  <w:rPr>
                    <w:rFonts w:ascii="Times New Roman" w:hAnsi="Times New Roman" w:cs="Times New Roman"/>
                    <w:b w:val="0"/>
                    <w:bCs/>
                    <w:sz w:val="28"/>
                  </w:rPr>
                  <w:fldChar w:fldCharType="separate"/>
                </w:r>
                <w:r>
                  <w:rPr>
                    <w:rFonts w:ascii="Times New Roman" w:hAnsi="Times New Roman" w:cs="Times New Roman"/>
                    <w:b w:val="0"/>
                    <w:bCs/>
                    <w:sz w:val="28"/>
                  </w:rPr>
                  <w:t>4</w:t>
                </w:r>
                <w:r>
                  <w:rPr>
                    <w:rFonts w:ascii="Times New Roman" w:hAnsi="Times New Roman" w:cs="Times New Roman"/>
                    <w:b w:val="0"/>
                    <w:bCs/>
                    <w:sz w:val="28"/>
                  </w:rPr>
                  <w:fldChar w:fldCharType="end"/>
                </w:r>
                <w:r>
                  <w:rPr>
                    <w:rFonts w:ascii="Times New Roman" w:hAnsi="Times New Roman" w:cs="Times New Roman"/>
                    <w:b w:val="0"/>
                    <w:bCs/>
                    <w:sz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1F10A"/>
    <w:multiLevelType w:val="singleLevel"/>
    <w:tmpl w:val="C371F1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4OTFkMDZmZmJmOTlhOTc5ZTAzN2QwMzAyMGRmN2UifQ=="/>
  </w:docVars>
  <w:rsids>
    <w:rsidRoot w:val="00977B6A"/>
    <w:rsid w:val="000308AA"/>
    <w:rsid w:val="003A40BF"/>
    <w:rsid w:val="004542A5"/>
    <w:rsid w:val="00465697"/>
    <w:rsid w:val="00524D0D"/>
    <w:rsid w:val="00524F9C"/>
    <w:rsid w:val="006A2390"/>
    <w:rsid w:val="00977B6A"/>
    <w:rsid w:val="00A0365D"/>
    <w:rsid w:val="00A10951"/>
    <w:rsid w:val="00A2447F"/>
    <w:rsid w:val="00A24DBA"/>
    <w:rsid w:val="00A75506"/>
    <w:rsid w:val="00B966EA"/>
    <w:rsid w:val="00BD2D42"/>
    <w:rsid w:val="00C62A70"/>
    <w:rsid w:val="00CF4F70"/>
    <w:rsid w:val="00DC0199"/>
    <w:rsid w:val="00DF2476"/>
    <w:rsid w:val="00F63729"/>
    <w:rsid w:val="05AB0957"/>
    <w:rsid w:val="089266FC"/>
    <w:rsid w:val="094E7718"/>
    <w:rsid w:val="0B1D329D"/>
    <w:rsid w:val="14925032"/>
    <w:rsid w:val="1BF36283"/>
    <w:rsid w:val="203F5ADD"/>
    <w:rsid w:val="239E3AE2"/>
    <w:rsid w:val="28713F75"/>
    <w:rsid w:val="2D083D0C"/>
    <w:rsid w:val="330B2F05"/>
    <w:rsid w:val="3A0A2D0E"/>
    <w:rsid w:val="405B5917"/>
    <w:rsid w:val="43927A0F"/>
    <w:rsid w:val="47155045"/>
    <w:rsid w:val="4A4F0B31"/>
    <w:rsid w:val="4F8369DB"/>
    <w:rsid w:val="52F3242F"/>
    <w:rsid w:val="56927E72"/>
    <w:rsid w:val="5699538C"/>
    <w:rsid w:val="5AD8307A"/>
    <w:rsid w:val="63395EC6"/>
    <w:rsid w:val="684E157C"/>
    <w:rsid w:val="6CE2761A"/>
    <w:rsid w:val="6E872B8D"/>
    <w:rsid w:val="74543C5E"/>
    <w:rsid w:val="78B26EF8"/>
    <w:rsid w:val="7C351A2B"/>
    <w:rsid w:val="7E2F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sz w:val="28"/>
      <w:szCs w:val="28"/>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
    <w:qFormat/>
    <w:uiPriority w:val="0"/>
    <w:pPr>
      <w:ind w:firstLine="420" w:firstLineChars="200"/>
    </w:pPr>
  </w:style>
  <w:style w:type="paragraph" w:styleId="3">
    <w:name w:val="Body Text Indent"/>
    <w:basedOn w:val="1"/>
    <w:qFormat/>
    <w:uiPriority w:val="0"/>
    <w:pPr>
      <w:ind w:left="420" w:leftChars="200"/>
    </w:pPr>
  </w:style>
  <w:style w:type="paragraph" w:styleId="5">
    <w:name w:val="Normal Indent"/>
    <w:basedOn w:val="1"/>
    <w:qFormat/>
    <w:uiPriority w:val="99"/>
    <w:pPr>
      <w:widowControl w:val="0"/>
      <w:snapToGrid w:val="0"/>
      <w:spacing w:line="300" w:lineRule="auto"/>
      <w:ind w:firstLine="556"/>
    </w:pPr>
    <w:rPr>
      <w:rFonts w:ascii="仿宋_GB2312" w:hAnsi="宋体" w:eastAsia="仿宋_GB2312" w:cs="Times New Roman"/>
      <w:b w:val="0"/>
      <w:sz w:val="21"/>
      <w:szCs w:val="20"/>
    </w:rPr>
  </w:style>
  <w:style w:type="paragraph" w:styleId="6">
    <w:name w:val="Body Text"/>
    <w:basedOn w:val="1"/>
    <w:link w:val="21"/>
    <w:qFormat/>
    <w:uiPriority w:val="0"/>
    <w:pPr>
      <w:spacing w:after="12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sz w:val="24"/>
    </w:rPr>
  </w:style>
  <w:style w:type="paragraph" w:styleId="11">
    <w:name w:val="Body Text First Indent"/>
    <w:basedOn w:val="6"/>
    <w:link w:val="22"/>
    <w:qFormat/>
    <w:uiPriority w:val="0"/>
    <w:pPr>
      <w:ind w:firstLine="420" w:firstLineChars="100"/>
    </w:p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7">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9">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0">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21">
    <w:name w:val="正文文本 Char"/>
    <w:basedOn w:val="13"/>
    <w:link w:val="6"/>
    <w:qFormat/>
    <w:uiPriority w:val="0"/>
    <w:rPr>
      <w:rFonts w:eastAsia="仿宋" w:cs="仿宋_GB2312" w:asciiTheme="minorHAnsi" w:hAnsiTheme="minorHAnsi"/>
      <w:b/>
      <w:sz w:val="28"/>
      <w:szCs w:val="28"/>
    </w:rPr>
  </w:style>
  <w:style w:type="character" w:customStyle="1" w:styleId="22">
    <w:name w:val="正文首行缩进 Char"/>
    <w:basedOn w:val="21"/>
    <w:link w:val="11"/>
    <w:qFormat/>
    <w:uiPriority w:val="0"/>
  </w:style>
  <w:style w:type="character" w:customStyle="1" w:styleId="23">
    <w:name w:val="正文首行缩进 2 Char"/>
    <w:basedOn w:val="13"/>
    <w:link w:val="2"/>
    <w:qFormat/>
    <w:uiPriority w:val="0"/>
    <w:rPr>
      <w:rFonts w:eastAsia="仿宋" w:cs="仿宋_GB2312" w:asciiTheme="minorHAnsi" w:hAnsiTheme="minorHAnsi"/>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2152</Words>
  <Characters>12267</Characters>
  <Lines>102</Lines>
  <Paragraphs>28</Paragraphs>
  <TotalTime>2</TotalTime>
  <ScaleCrop>false</ScaleCrop>
  <LinksUpToDate>false</LinksUpToDate>
  <CharactersWithSpaces>14391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2023-03-14T06:20:00Z</dcterms:created>
  <dc:creator>Administrator</dc:creator>
  <cp:lastModifiedBy>cici</cp:lastModifiedBy>
  <cp:lastPrinted>2023-03-03T02:41:00Z</cp:lastPrinted>
  <dcterms:modified xsi:type="dcterms:W3CDTF">2024-04-08T07:52:23Z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A4A2F83C8519492AA7557C45BA735CF3</vt:lpwstr>
  </property>
</Properties>
</file>