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如皋市水产技术指导站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绩效评价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为积极推进绩效评价工作，衡量财政支出项目的执行情况和效率效果，增强预算部门绩效管理责任主体意识，根据《关于做好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2024年度预算绩效自评价工作的通知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》（皋财办〔202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号）文件精神，我局组织对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年农业保险项目进行绩效评价，经过自评材料审核、现场勘验评价、综合分析评价等评价程序，形成本绩效评价报告。</w:t>
      </w:r>
    </w:p>
    <w:p>
      <w:pPr>
        <w:pStyle w:val="10"/>
        <w:numPr>
          <w:ilvl w:val="0"/>
          <w:numId w:val="1"/>
        </w:numPr>
        <w:spacing w:line="600" w:lineRule="exact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基本情况</w:t>
      </w:r>
    </w:p>
    <w:p>
      <w:pPr>
        <w:pStyle w:val="10"/>
        <w:numPr>
          <w:ilvl w:val="0"/>
          <w:numId w:val="0"/>
        </w:numPr>
        <w:spacing w:line="600" w:lineRule="exact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1.主要职能：该单位负责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宣传、贯彻、执行党和国家发展渔业的方针、政策，并结合本市实际，制定具体的贯彻实施意见和办法；参与制定全市渔业生产发展和技术推广计划；开展水产新技术、新品种的引进、选育、试验、示范、普及、推广；组织开展渔业生产技术培训； 指导水产原（良）种体系建设；开展水产养殖病害的防治、测报；推进外来入侵水生动物普查如期进行；推动现代农业专项工作落实；配合上级部门做好水产品药残抽样工作，协助开展无公害水产品产地认定和产品认证；协助渔业生产灾害性天气预警信息的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2.机构设置：该单位是如皋市农业农村局下属的全额拨款事业单位，为股级建制，核定编制数7名，无附属机构。纳入2023年预算的在职在编人员为7人，退休人员7人。无政府购买服务岗位人员。</w:t>
      </w:r>
    </w:p>
    <w:p>
      <w:pPr>
        <w:pStyle w:val="1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（二）预算安排及使用情况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2023年全年预算数435.29万元，实际预算执行数296.79万元，整体预算执行率68.18%。其中：基本支出全年预算数279.07万元，实际预算执行数276.07万元（人员支出267.12万元，公用经费8.95万元），预算执行率98.93%；项目支出全年预算数156.2万元，预算执行数20.72万元，项目预算执行率13.27%。</w:t>
      </w:r>
    </w:p>
    <w:p>
      <w:pPr>
        <w:pStyle w:val="10"/>
        <w:numPr>
          <w:ilvl w:val="0"/>
          <w:numId w:val="2"/>
        </w:numPr>
        <w:ind w:left="0" w:leftChars="0" w:firstLine="640" w:firstLineChars="200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工作完成情况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/>
          <w:b w:val="0"/>
          <w:bCs/>
          <w:sz w:val="32"/>
          <w:szCs w:val="32"/>
        </w:rPr>
      </w:pPr>
      <w:r>
        <w:rPr>
          <w:rFonts w:ascii="华文仿宋" w:hAnsi="华文仿宋" w:eastAsia="华文仿宋"/>
          <w:b w:val="0"/>
          <w:bCs/>
          <w:sz w:val="32"/>
          <w:szCs w:val="32"/>
        </w:rPr>
        <w:t>1</w:t>
      </w:r>
      <w:r>
        <w:rPr>
          <w:rFonts w:hint="eastAsia" w:ascii="华文仿宋" w:hAnsi="华文仿宋" w:eastAsia="华文仿宋"/>
          <w:b w:val="0"/>
          <w:bCs/>
          <w:sz w:val="32"/>
          <w:szCs w:val="32"/>
        </w:rPr>
        <w:t>、</w:t>
      </w:r>
      <w:r>
        <w:rPr>
          <w:rFonts w:hint="eastAsia" w:ascii="华文仿宋" w:hAnsi="华文仿宋" w:eastAsia="华文仿宋"/>
          <w:b w:val="0"/>
          <w:bCs/>
          <w:sz w:val="32"/>
          <w:szCs w:val="32"/>
          <w:lang w:eastAsia="zh-CN"/>
        </w:rPr>
        <w:t>水产生产健康</w:t>
      </w:r>
      <w:r>
        <w:rPr>
          <w:rFonts w:hint="eastAsia" w:ascii="华文仿宋" w:hAnsi="华文仿宋" w:eastAsia="华文仿宋"/>
          <w:b w:val="0"/>
          <w:bCs/>
          <w:sz w:val="32"/>
          <w:szCs w:val="32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全市淡水养殖总面积稳定在6.31万亩，放养常规淡水鱼鱼种约280万公斤。全市特色水产健康养殖示范面积约10270亩，占比为70.3%。完成了我市“十四五”农业农村现代化指标。新增观赏鱼集约化养殖面积5000余平方米；新建陆基圆池养殖示范点2个，养殖水体约7500立方米；建设水蛭态设施养殖约25000多平方米；发展围田养蟹36家，总面积约4500亩。水产加工产销形势向好，累计生产销黑鱼专用饲料约5500吨，比去年同期增长约10%。产销黑鱼食品（鱼片、鱼丸等）近8000吨，比去年同期增长约18.5%。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、养殖技术推广工作创新推进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一是定期组织水产技术人员及有关养殖大户参加上级技术培训，并结合水产养殖季节生产管理要求，在重点养殖区开展现场技术培训。二是结合支部共建、志愿服务等活动的开展，开展季节性送科技下乡活动，现发放技术资料，举办技术讲座，现场答疑解惑。三是开展养殖技术示范，在全市建成池塘工业化生态养殖、池塘养殖尾水生态治理、水蛭立体生态养殖等水产养殖新技术推广示范点8个。四是积极与省内科研院所合作，寻求技术支撑，解决养殖技术难题，为生产者排忧解难。</w:t>
      </w:r>
    </w:p>
    <w:p>
      <w:pPr>
        <w:spacing w:line="560" w:lineRule="exact"/>
        <w:ind w:firstLine="640" w:firstLineChars="200"/>
        <w:rPr>
          <w:rFonts w:ascii="楷体_GB2312" w:hAnsi="宋体" w:eastAsia="楷体_GB2312"/>
          <w:b w:val="0"/>
          <w:bCs/>
          <w:sz w:val="32"/>
          <w:szCs w:val="32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、</w:t>
      </w:r>
      <w:r>
        <w:rPr>
          <w:rFonts w:hint="eastAsia" w:ascii="华文仿宋" w:hAnsi="华文仿宋" w:eastAsia="华文仿宋"/>
          <w:b w:val="0"/>
          <w:bCs/>
          <w:sz w:val="32"/>
          <w:szCs w:val="32"/>
        </w:rPr>
        <w:t>病害测报</w:t>
      </w:r>
      <w:r>
        <w:rPr>
          <w:rFonts w:hint="eastAsia" w:ascii="楷体_GB2312" w:hAnsi="宋体" w:eastAsia="楷体_GB2312"/>
          <w:b w:val="0"/>
          <w:bCs/>
          <w:sz w:val="32"/>
          <w:szCs w:val="32"/>
        </w:rPr>
        <w:t>与质量安全建设扎实推进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一是落实水生动物病害测报点3个，全年完成了水产病害测报8期，为养殖水产品生态防治发挥了应有的作用。二是通过指导发展生态养殖、放养优质苗种、加强生产管理等措施，推进水产养殖控药减药行动。2023年比上年用药量递减15-20%，助推水产品质量安全建设再上新台阶。三是配合省、市级、县级水产品质量安全专项风险监测抽样5批次，抽取水产样品95个（其中省级40个，市级25个，县级30个），覆盖了我市所有的水产养殖品种和镇（街道）。参加渔业生态环境监测抽检水环境样品2批次，共抽取水样和泥样18个，协助上级有关部门开展水产品中地西泮的溯源调查、走访调研和相关研究工作。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/>
          <w:b w:val="0"/>
          <w:bCs/>
          <w:sz w:val="32"/>
          <w:szCs w:val="32"/>
        </w:rPr>
      </w:pPr>
      <w:r>
        <w:rPr>
          <w:rFonts w:hint="eastAsia" w:ascii="华文仿宋" w:hAnsi="华文仿宋" w:eastAsia="华文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b w:val="0"/>
          <w:bCs/>
          <w:sz w:val="32"/>
          <w:szCs w:val="32"/>
        </w:rPr>
        <w:t>、池塘标准化改造与养殖尾水治理试点持续推进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对照省出台的《池塘养殖尾水排放标准》，通过技术指导支持、政策激励驱动、宣传督查推进、重点突破先行等多措并举，在如城街道、城北街道等地，高标准完成了养殖池塘标准化改造612亩，完成了南通市主管局下达的年度任务，建成养殖尾水生态处理示范点3个。</w:t>
      </w:r>
    </w:p>
    <w:p>
      <w:pPr>
        <w:pStyle w:val="10"/>
        <w:numPr>
          <w:ilvl w:val="0"/>
          <w:numId w:val="2"/>
        </w:numPr>
        <w:ind w:left="0" w:leftChars="0" w:firstLine="643" w:firstLineChars="200"/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年度目标：1、保障当年人员工资福利支出发放及时到位，单位办公正常运转；2、测报工作能正常开展，当年测报工作按时完成；3、保质保量完成本年度渔业项目评审，完成当年省市下达渔业项目的监督与指导。</w:t>
      </w:r>
    </w:p>
    <w:p>
      <w:pPr>
        <w:pStyle w:val="10"/>
        <w:spacing w:line="600" w:lineRule="exact"/>
        <w:ind w:left="0" w:leftChars="0"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评价工作情况</w:t>
      </w:r>
    </w:p>
    <w:p>
      <w:pPr>
        <w:pStyle w:val="10"/>
        <w:spacing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根据《如皋市市级部门整体绩效评价管理暂行办法》的要求，分析2023年度整体绩效目标实现情况，对整体绩效各指标进行评分。</w:t>
      </w:r>
    </w:p>
    <w:p>
      <w:pPr>
        <w:pStyle w:val="10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方式：评价采用定量与定性评价相结合的方法，总分由各项指标得分汇总形成。定量指标得分法:与年初指标值相比，完成指标值的，记该指标所赋全部分值；对完成值高于指标值较多的，分析原因，如果是由于年初指标值设定明显偏低造成的，按照偏离度适度调减分值；未完成指标值的，按照完成值与指标值的比例记分；定性指标得分方法：根据年初指标完成情况分为达成、部分达成、未达成三档，分别按照该指标对应分值区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80%（含）、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80%-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60%（含）、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60%-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0%合理确定分值。绩效评价得分在90分（含）以上的，评价结果为“优”；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80（含）分为“良；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60（含）分为“中”；低于60分为“差”。</w:t>
      </w:r>
    </w:p>
    <w:p>
      <w:pPr>
        <w:pStyle w:val="10"/>
        <w:spacing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评价做法：以财务会计、预决算、制度建设、年度工作总结等资料为依据，对单位预算执行、资金使用和单位职能履行与目标任务完成进行分析，如实反映单位财政资金使用的效益和效率。 </w:t>
      </w:r>
    </w:p>
    <w:p>
      <w:pPr>
        <w:pStyle w:val="10"/>
        <w:spacing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指标体系设置：将整体评价指标分为一级指标、二级指标及三级指标，逐级细分。将决策指标、过程指标、履职指标、效益指标、满意度指标确定为一级指标，将每个一级指标项再细分若干二级指标项，再将每个二级指标项细分三级指标，最终根据项目的完成值与年初预算值的对比及三级指标的权重打分。</w:t>
      </w:r>
    </w:p>
    <w:p>
      <w:pPr>
        <w:pStyle w:val="10"/>
        <w:spacing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评价结论：年度整体绩效评价得分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分，评价结果为优。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三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、绩效分析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整体情况来看，该单位严格按照年初预算进行部门整体支出。在支出过程中，能严格遵守各项规章制度。项目严格按方案批复组织实施，并加强监督指导。在专项经费支出上，专款专用，按项目实施计划的进度情况进行资金拨付，无截留、无挪用等现象。实行了先有预算、后有执行、“用钱必问效、无效必问责”的新常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具体绩效分析如下：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1、部门决策方面，设立计划制定、目标设定、预算编制3个二级指标，下设绩效目标合理性、绩效指标明确性等6个三级指标。共6分。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经过评价分析，该单位中长期规划目标设定明确，与政府中长期规划目标相适应，与部门职能相适应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；部门年度工作目标的设定明确合理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，预算编制合理、规范，绩效目标设定整体较为完整合理，但履职指标、效益指标方面不够细化；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得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宋体" w:hAnsi="宋体" w:eastAsia="仿宋_GB2312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过程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管理方面，设立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预算执行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预算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管理、资产管理、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项目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管理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、人员管理、机构建设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个二级指标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，下设预算执行率、资金使用合规性、项目管理制度健全性等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23个三级指标。共26分。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仿宋_GB2312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经过评价分析，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该单位预算调整率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0%、结转结余率0%、公用经费控制率82.94%、“三公”经费较上年压减、政府采购执行率100%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；资金使用符合相关的预算财务管理制度的规定，资金拨付有完整的审批程序和手续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，绩效管理覆盖率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100%，按要求及时公开预决算信息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固定资产利用率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100%；有明确的组织构架和职责分工，人员配备充足，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单位内控机制较完善，有明确的财务监控监督措施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。主要扣分点是：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预算执行率68.18%未达目标（渔业项目未完成），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按照主管部门的资产管理制度及项目管理制度执行，但未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制定单位制度，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得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宋体" w:hAnsi="宋体" w:eastAsia="仿宋_GB2312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3.部门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履职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方面，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根据水生动物病害测报、水产技术宣传、指导、推广等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5个职能，下设养殖水生动物病害的测报期数、建立水产养殖新技术推广示范点等5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级指标。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共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30分。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经过评价分析，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2023年单位养殖水生动物病害的测报期数8期、外来入侵水生动物普查报告1份、建立水产养殖新技术推广示范点8个、水产品药残抽样及时达标，但渔业项目未能如期完成，且两个主体中有一个主体放弃实施。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得2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部门效益及满意度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方面，设立社会效益、生态效益、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可持续发展效益、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对象满意度4个二级指标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，下设淡水养殖面积、池塘标准化改造面积、服务对象满意度等5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个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级指标。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共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38分。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经过评价分析，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2023年淡水养殖面积6.31万亩、特色水产健康养殖示范面积1.027万亩、池塘标准化改造面积612亩、水产养殖控药减药较上年递减15%-20%，服务对象满意度95%。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得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分。</w:t>
      </w:r>
    </w:p>
    <w:p>
      <w:pPr>
        <w:pStyle w:val="10"/>
        <w:spacing w:line="600" w:lineRule="exact"/>
        <w:ind w:left="0" w:leftChars="0" w:firstLine="640" w:firstLineChars="200"/>
        <w:jc w:val="left"/>
        <w:rPr>
          <w:rFonts w:hint="eastAsia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  <w:lang w:eastAsia="zh-CN"/>
        </w:rPr>
        <w:t>改进措施</w:t>
      </w:r>
      <w:r>
        <w:rPr>
          <w:rFonts w:eastAsia="黑体"/>
          <w:color w:val="auto"/>
          <w:sz w:val="32"/>
          <w:szCs w:val="32"/>
        </w:rPr>
        <w:t>和建议</w:t>
      </w:r>
    </w:p>
    <w:p>
      <w:pPr>
        <w:pStyle w:val="9"/>
        <w:spacing w:line="600" w:lineRule="exact"/>
        <w:ind w:left="0" w:leftChars="0" w:firstLine="620" w:firstLineChars="200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 xml:space="preserve"> 1.加强制度建设，根据单位实际制定完善资金管理制度、项目管理制度。</w:t>
      </w:r>
    </w:p>
    <w:p>
      <w:pPr>
        <w:pStyle w:val="9"/>
        <w:spacing w:line="600" w:lineRule="exact"/>
        <w:ind w:left="0" w:leftChars="0" w:firstLine="620" w:firstLineChars="200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2、提高绩效管理水平，科学合理设定绩效目标，对个性化指标进一步细化，制定实际、合理、可衡量的目标。</w:t>
      </w:r>
    </w:p>
    <w:p>
      <w:pPr>
        <w:pStyle w:val="9"/>
        <w:spacing w:line="600" w:lineRule="exact"/>
        <w:ind w:left="0" w:leftChars="0" w:firstLine="620" w:firstLineChars="200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3、加强</w:t>
      </w:r>
      <w:r>
        <w:rPr>
          <w:rFonts w:hint="eastAsia" w:ascii="仿宋_GB2312" w:hAnsi="宋体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渔业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>项目监督和指导，加快项目实施，提高资金执行率。</w:t>
      </w:r>
      <w:bookmarkStart w:id="0" w:name="_GoBack"/>
      <w:bookmarkEnd w:id="0"/>
    </w:p>
    <w:p>
      <w:pPr>
        <w:pStyle w:val="9"/>
        <w:spacing w:line="600" w:lineRule="exact"/>
        <w:ind w:left="0" w:leftChars="0" w:firstLine="620" w:firstLineChars="200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-SA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90790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A321F"/>
    <w:multiLevelType w:val="singleLevel"/>
    <w:tmpl w:val="E03A321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2FE88708"/>
    <w:multiLevelType w:val="singleLevel"/>
    <w:tmpl w:val="2FE8870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7B1910D"/>
    <w:multiLevelType w:val="singleLevel"/>
    <w:tmpl w:val="67B1910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0NTU4MDhkMjc1MGIyNzEyODViNzdjMzdhOGFlOWIifQ=="/>
  </w:docVars>
  <w:rsids>
    <w:rsidRoot w:val="31125890"/>
    <w:rsid w:val="00003301"/>
    <w:rsid w:val="00044E6A"/>
    <w:rsid w:val="0011344A"/>
    <w:rsid w:val="00133379"/>
    <w:rsid w:val="001D012B"/>
    <w:rsid w:val="00255D4C"/>
    <w:rsid w:val="00341FEF"/>
    <w:rsid w:val="00346BE7"/>
    <w:rsid w:val="00474E12"/>
    <w:rsid w:val="004F672A"/>
    <w:rsid w:val="00597D86"/>
    <w:rsid w:val="005A25A5"/>
    <w:rsid w:val="00613D93"/>
    <w:rsid w:val="00651A49"/>
    <w:rsid w:val="006729CB"/>
    <w:rsid w:val="00696523"/>
    <w:rsid w:val="0070797A"/>
    <w:rsid w:val="00710563"/>
    <w:rsid w:val="00756A3E"/>
    <w:rsid w:val="00855CFE"/>
    <w:rsid w:val="0088728A"/>
    <w:rsid w:val="00887CEA"/>
    <w:rsid w:val="008D406B"/>
    <w:rsid w:val="008E53FA"/>
    <w:rsid w:val="00A2241C"/>
    <w:rsid w:val="00BA1FED"/>
    <w:rsid w:val="00C00341"/>
    <w:rsid w:val="00C73B62"/>
    <w:rsid w:val="00CB465D"/>
    <w:rsid w:val="00CC2F29"/>
    <w:rsid w:val="00E074D5"/>
    <w:rsid w:val="00E14F35"/>
    <w:rsid w:val="00E468E2"/>
    <w:rsid w:val="00F0224E"/>
    <w:rsid w:val="00F07F2E"/>
    <w:rsid w:val="00F21EE7"/>
    <w:rsid w:val="00F53521"/>
    <w:rsid w:val="00FB63C1"/>
    <w:rsid w:val="014001AC"/>
    <w:rsid w:val="11184268"/>
    <w:rsid w:val="14223741"/>
    <w:rsid w:val="169D3553"/>
    <w:rsid w:val="18862194"/>
    <w:rsid w:val="1AC03D44"/>
    <w:rsid w:val="1AFC2F3E"/>
    <w:rsid w:val="1BDB0AC2"/>
    <w:rsid w:val="1D28001A"/>
    <w:rsid w:val="1DCD59E6"/>
    <w:rsid w:val="29A529F3"/>
    <w:rsid w:val="2C583D4C"/>
    <w:rsid w:val="2E76495E"/>
    <w:rsid w:val="2E960B5C"/>
    <w:rsid w:val="31125890"/>
    <w:rsid w:val="347E3A9F"/>
    <w:rsid w:val="3E587BDC"/>
    <w:rsid w:val="42C13FA2"/>
    <w:rsid w:val="45521829"/>
    <w:rsid w:val="471C5C4A"/>
    <w:rsid w:val="512A75CA"/>
    <w:rsid w:val="542919A7"/>
    <w:rsid w:val="551B7B95"/>
    <w:rsid w:val="5D1458EA"/>
    <w:rsid w:val="61B21D19"/>
    <w:rsid w:val="633F2F95"/>
    <w:rsid w:val="6429154F"/>
    <w:rsid w:val="651346D9"/>
    <w:rsid w:val="6C397A17"/>
    <w:rsid w:val="72500DC2"/>
    <w:rsid w:val="73104006"/>
    <w:rsid w:val="79EE0E19"/>
    <w:rsid w:val="7A644A2E"/>
    <w:rsid w:val="7AF249C8"/>
    <w:rsid w:val="7C2F7BF3"/>
    <w:rsid w:val="7C4B60AF"/>
    <w:rsid w:val="7D883FA8"/>
    <w:rsid w:val="7EF7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index 9"/>
    <w:next w:val="1"/>
    <w:qFormat/>
    <w:uiPriority w:val="0"/>
    <w:pPr>
      <w:widowControl w:val="0"/>
      <w:ind w:left="1600" w:leftChars="1600"/>
    </w:pPr>
    <w:rPr>
      <w:rFonts w:ascii="Calibri" w:hAnsi="Calibri" w:eastAsia="宋体" w:cs="Arial"/>
      <w:sz w:val="22"/>
      <w:szCs w:val="22"/>
      <w:lang w:val="en-US" w:eastAsia="zh-CN" w:bidi="ar-SA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0"/>
    <w:qFormat/>
    <w:uiPriority w:val="99"/>
    <w:pPr>
      <w:ind w:left="640" w:leftChars="200"/>
      <w:outlineLvl w:val="0"/>
    </w:pPr>
    <w:rPr>
      <w:rFonts w:ascii="Arial" w:hAnsi="Arial" w:eastAsia="仿宋_GB2312" w:cs="Arial"/>
      <w:b/>
      <w:bCs/>
      <w:sz w:val="32"/>
      <w:szCs w:val="32"/>
    </w:rPr>
  </w:style>
  <w:style w:type="paragraph" w:customStyle="1" w:styleId="10">
    <w:name w:val="Body Text Indent1"/>
    <w:basedOn w:val="1"/>
    <w:qFormat/>
    <w:uiPriority w:val="99"/>
    <w:pPr>
      <w:ind w:left="420" w:leftChars="200"/>
    </w:pPr>
  </w:style>
  <w:style w:type="character" w:customStyle="1" w:styleId="13">
    <w:name w:val="日期 Char"/>
    <w:basedOn w:val="12"/>
    <w:link w:val="5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">
    <w:name w:val="页眉 Char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1868</Words>
  <Characters>1903</Characters>
  <Lines>13</Lines>
  <Paragraphs>3</Paragraphs>
  <TotalTime>15</TotalTime>
  <ScaleCrop>false</ScaleCrop>
  <LinksUpToDate>false</LinksUpToDate>
  <CharactersWithSpaces>1904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2023-05-23T08:04:00Z</dcterms:created>
  <dc:creator>雾爱敏</dc:creator>
  <cp:lastModifiedBy>cici</cp:lastModifiedBy>
  <cp:lastPrinted>2023-05-30T07:10:00Z</cp:lastPrinted>
  <dcterms:modified xsi:type="dcterms:W3CDTF">2024-09-03T09:47:19Z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AD85891AD0444943AFDDDECCB54FF93A</vt:lpwstr>
  </property>
</Properties>
</file>