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2023年中央动物防疫项目支出绩效评价报告</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该项目为中央转移支付专项，实行“大专项+任务清单”模式，主要支持强制免疫补助、养殖环节无害化补助等。2023年</w:t>
      </w:r>
      <w:r>
        <w:rPr>
          <w:rFonts w:hint="eastAsia" w:ascii="仿宋_GB2312" w:hAnsi="仿宋_GB2312" w:eastAsia="仿宋_GB2312"/>
          <w:b w:val="0"/>
          <w:bCs/>
          <w:color w:val="000000"/>
          <w:sz w:val="32"/>
          <w:szCs w:val="32"/>
          <w:lang w:val="en-US" w:eastAsia="zh-CN"/>
        </w:rPr>
        <w:t>及上年结转</w:t>
      </w:r>
      <w:r>
        <w:rPr>
          <w:rFonts w:hint="eastAsia" w:ascii="仿宋_GB2312" w:hAnsi="仿宋_GB2312" w:eastAsia="仿宋_GB2312"/>
          <w:b w:val="0"/>
          <w:bCs/>
          <w:color w:val="000000"/>
          <w:sz w:val="32"/>
          <w:szCs w:val="32"/>
        </w:rPr>
        <w:t>共</w:t>
      </w:r>
      <w:r>
        <w:rPr>
          <w:rFonts w:hint="eastAsia" w:ascii="仿宋_GB2312" w:hAnsi="仿宋_GB2312" w:eastAsia="仿宋_GB2312"/>
          <w:b w:val="0"/>
          <w:bCs/>
          <w:color w:val="000000"/>
          <w:sz w:val="32"/>
          <w:szCs w:val="32"/>
          <w:lang w:val="en-US" w:eastAsia="zh-CN"/>
        </w:rPr>
        <w:t>773.15</w:t>
      </w:r>
      <w:r>
        <w:rPr>
          <w:rFonts w:hint="eastAsia" w:ascii="仿宋_GB2312" w:hAnsi="仿宋_GB2312" w:eastAsia="仿宋_GB2312"/>
          <w:b w:val="0"/>
          <w:bCs/>
          <w:color w:val="000000"/>
          <w:sz w:val="32"/>
          <w:szCs w:val="32"/>
        </w:rPr>
        <w:t>万元，截至23年12月底使用</w:t>
      </w:r>
      <w:r>
        <w:rPr>
          <w:rFonts w:hint="eastAsia" w:ascii="仿宋_GB2312" w:hAnsi="仿宋_GB2312" w:eastAsia="仿宋_GB2312"/>
          <w:b w:val="0"/>
          <w:bCs/>
          <w:color w:val="000000"/>
          <w:sz w:val="32"/>
          <w:szCs w:val="32"/>
          <w:lang w:val="en-US" w:eastAsia="zh-CN"/>
        </w:rPr>
        <w:t>773.15</w:t>
      </w:r>
      <w:r>
        <w:rPr>
          <w:rFonts w:hint="eastAsia" w:ascii="仿宋_GB2312" w:hAnsi="仿宋_GB2312" w:eastAsia="仿宋_GB2312"/>
          <w:b w:val="0"/>
          <w:bCs/>
          <w:color w:val="000000"/>
          <w:sz w:val="32"/>
          <w:szCs w:val="32"/>
        </w:rPr>
        <w:t>万元。</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项目总体目标是提升动物疫病防控能力，无重大动物疫情发生，促进农业生产健康有序发展。</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成本、产出指标、效益指标、满意度指标一级指标6个，项目立项、绩效目标、资金投入等二级指标15个，立项依据充分性、立项程序规范性、绩效目标合理性等三级指标22个。结合上级资金文件，对预算绩效目标做了部分调整，主要是产出指标、效益指标。根据工作完成情况、效益情况、满意度情况等确定评价结论。项目自评价得分97</w:t>
      </w:r>
      <w:r>
        <w:rPr>
          <w:rFonts w:hint="eastAsia" w:ascii="仿宋_GB2312" w:hAnsi="仿宋_GB2312" w:eastAsia="仿宋_GB2312" w:cs="仿宋_GB2312"/>
          <w:b w:val="0"/>
          <w:bCs/>
          <w:color w:val="000000"/>
          <w:sz w:val="32"/>
          <w:szCs w:val="32"/>
          <w:lang w:val="en-US" w:eastAsia="zh-CN"/>
        </w:rPr>
        <w:t>.5</w:t>
      </w:r>
      <w:bookmarkStart w:id="0" w:name="_GoBack"/>
      <w:bookmarkEnd w:id="0"/>
      <w:r>
        <w:rPr>
          <w:rFonts w:hint="eastAsia" w:ascii="仿宋_GB2312" w:hAnsi="仿宋_GB2312" w:eastAsia="仿宋_GB2312" w:cs="仿宋_GB2312"/>
          <w:b w:val="0"/>
          <w:bCs/>
          <w:color w:val="000000"/>
          <w:sz w:val="32"/>
          <w:szCs w:val="32"/>
        </w:rPr>
        <w:t>分，等级为优。</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上级资金下达后，由计财科牵头，根据下达的任务清单、绩效目标及各业务科室、下属单位申报情况，安排资金方案。该专项安排项目主要是：动物疫病免疫、养殖环节病死猪无害化处理补贴。</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动物疫病免疫：项目由市兽医站负责实施。按照上级有关文件要求，对高致病性禽流感、牲畜口蹄疫、高致病性猪蓝耳病、猪瘟、小反刍兽疫、猪链球菌和牛结节性皮肤病实施强制免疫以及强制免疫后牲畜加挂免疫耳标进行补助，免费提供给畜禽养殖户；对于参与“先打后补”试点工作的养殖场户，按规定给予疫苗补助；对鸡新城疫、羊痘、狂犬病等预防免疫实施补助，所采购疫苗、印制免疫证明等免费发给养殖户；开展家畜血吸虫病监测，开展非洲猪瘟专项检测；开展非洲猪瘟、高致病性禽流感等重大动物疫病防控相关工作；对实施重大动物疫病强制免疫工作通过政府购买服务方式给予村级防疫员劳务补助；如皋市畜牧兽医站负责组织申购，各镇畜牧兽医站按规定组织疫苗耳标的发放等，开展社会测评。</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养殖环节病死猪无害化处理：项目由市农林水利综合执法大队负责实施。全市养殖场（户）将病死猪（羊）送交无害化收集点，无害化处理中心负责收集、运输及无害化处理，各镇动物医院防疫员负责现场核查、监督处理。市农林水利综合执法大队对无害化处理工作情况开展监督检查与工作考核。</w:t>
      </w:r>
    </w:p>
    <w:p>
      <w:pPr>
        <w:pStyle w:val="5"/>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5"/>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强制免疫病种应免畜禽的免疫密度≥90%，免疫质量和免疫效果平均免疫抗体合格率达到70%以上，口蹄疫、高致病性禽流感、布病等优先防治病种防治工作疫情保持平稳，未发生重大动物疫情。全市病死猪收集处理率100%，未发生大规模乱抛乱弃病死猪事件，通过项目实施，有效防止了动物疫病传播，保障了畜牧业生产健康发展；防止病死猪产品流向市场，为人民的食肉安全提供基础性保障；保护了生态环境安全。</w:t>
      </w:r>
    </w:p>
    <w:p>
      <w:pPr>
        <w:pStyle w:val="5"/>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一是预算执行率不高，项目推进不快；二是资金计划下达后方案批复不及时或方案批复后未能在规定时间内实施结束；三是预算编制不准确，执行率目标值过高，上级转移支付资金当年不一定能形成100%兑付。</w:t>
      </w:r>
    </w:p>
    <w:p>
      <w:pPr>
        <w:pStyle w:val="5"/>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5"/>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E3A5E"/>
    <w:rsid w:val="00511D49"/>
    <w:rsid w:val="008D6792"/>
    <w:rsid w:val="009E3A5E"/>
    <w:rsid w:val="01AE12DD"/>
    <w:rsid w:val="0AAF4979"/>
    <w:rsid w:val="0B1D329D"/>
    <w:rsid w:val="0F9528D3"/>
    <w:rsid w:val="1BF36283"/>
    <w:rsid w:val="1C3D1B75"/>
    <w:rsid w:val="1F2107F3"/>
    <w:rsid w:val="203F5ADD"/>
    <w:rsid w:val="239E3AE2"/>
    <w:rsid w:val="24B651FD"/>
    <w:rsid w:val="2B9F40BF"/>
    <w:rsid w:val="30EE7BE9"/>
    <w:rsid w:val="3A5822D4"/>
    <w:rsid w:val="3B925F69"/>
    <w:rsid w:val="405B5917"/>
    <w:rsid w:val="42B95408"/>
    <w:rsid w:val="44632E62"/>
    <w:rsid w:val="476B0D34"/>
    <w:rsid w:val="52F3242F"/>
    <w:rsid w:val="54275B77"/>
    <w:rsid w:val="56927E72"/>
    <w:rsid w:val="5A997FCE"/>
    <w:rsid w:val="5CEC06B6"/>
    <w:rsid w:val="5DFE5280"/>
    <w:rsid w:val="62E13DA8"/>
    <w:rsid w:val="669055AA"/>
    <w:rsid w:val="680500C7"/>
    <w:rsid w:val="684E157C"/>
    <w:rsid w:val="6E872B8D"/>
    <w:rsid w:val="6F9F0A9E"/>
    <w:rsid w:val="701F1DFE"/>
    <w:rsid w:val="73A441CD"/>
    <w:rsid w:val="7792427E"/>
    <w:rsid w:val="78C46920"/>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仿宋" w:cs="仿宋_GB2312" w:asciiTheme="minorHAnsi" w:hAnsiTheme="minorHAnsi"/>
      <w:b/>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paragraph" w:customStyle="1" w:styleId="11">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2">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6">
    <w:name w:val="font71"/>
    <w:basedOn w:val="7"/>
    <w:qFormat/>
    <w:uiPriority w:val="0"/>
    <w:rPr>
      <w:rFonts w:hint="eastAsia" w:ascii="宋体" w:hAnsi="宋体" w:eastAsia="宋体" w:cs="宋体"/>
      <w:color w:val="000000"/>
      <w:sz w:val="22"/>
      <w:szCs w:val="22"/>
      <w:u w:val="single"/>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页眉 Char"/>
    <w:basedOn w:val="7"/>
    <w:link w:val="4"/>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215</Words>
  <Characters>1229</Characters>
  <Lines>10</Lines>
  <Paragraphs>2</Paragraphs>
  <TotalTime>12</TotalTime>
  <ScaleCrop>false</ScaleCrop>
  <LinksUpToDate>false</LinksUpToDate>
  <CharactersWithSpaces>1442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