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7"/>
          <w:rFonts w:hint="eastAsia" w:ascii="方正小标宋简体" w:hAnsi="方正小标宋简体" w:eastAsia="方正小标宋简体" w:cs="方正小标宋简体"/>
          <w:color w:val="000000"/>
          <w:spacing w:val="0"/>
          <w:sz w:val="36"/>
          <w:szCs w:val="36"/>
          <w:lang w:eastAsia="zh-CN"/>
        </w:rPr>
      </w:pPr>
      <w:r>
        <w:rPr>
          <w:rStyle w:val="7"/>
          <w:rFonts w:hint="eastAsia" w:ascii="方正小标宋简体" w:hAnsi="方正小标宋简体" w:eastAsia="方正小标宋简体" w:cs="方正小标宋简体"/>
          <w:color w:val="000000"/>
          <w:spacing w:val="0"/>
          <w:sz w:val="36"/>
          <w:szCs w:val="36"/>
          <w:lang w:val="en-US" w:eastAsia="zh-CN"/>
        </w:rPr>
        <w:t>2022年中央农业资源及生态保护</w:t>
      </w:r>
      <w:r>
        <w:rPr>
          <w:rStyle w:val="7"/>
          <w:rFonts w:hint="eastAsia" w:ascii="方正小标宋简体" w:hAnsi="方正小标宋简体" w:eastAsia="方正小标宋简体" w:cs="方正小标宋简体"/>
          <w:color w:val="000000"/>
          <w:spacing w:val="0"/>
          <w:sz w:val="36"/>
          <w:szCs w:val="36"/>
          <w:lang w:eastAsia="zh-CN"/>
        </w:rPr>
        <w:t>项目支出</w:t>
      </w:r>
    </w:p>
    <w:p>
      <w:pPr>
        <w:pStyle w:val="12"/>
        <w:keepNext w:val="0"/>
        <w:keepLines w:val="0"/>
        <w:pageBreakBefore w:val="0"/>
        <w:widowControl w:val="0"/>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7"/>
          <w:rFonts w:hint="eastAsia" w:ascii="方正小标宋简体" w:hAnsi="方正小标宋简体" w:eastAsia="方正小标宋简体" w:cs="方正小标宋简体"/>
          <w:color w:val="000000"/>
          <w:spacing w:val="0"/>
          <w:sz w:val="36"/>
          <w:szCs w:val="36"/>
          <w:lang w:eastAsia="zh-CN"/>
        </w:rPr>
      </w:pPr>
      <w:r>
        <w:rPr>
          <w:rStyle w:val="7"/>
          <w:rFonts w:hint="eastAsia" w:ascii="方正小标宋简体" w:hAnsi="方正小标宋简体" w:eastAsia="方正小标宋简体" w:cs="方正小标宋简体"/>
          <w:color w:val="000000"/>
          <w:spacing w:val="0"/>
          <w:sz w:val="36"/>
          <w:szCs w:val="36"/>
          <w:lang w:eastAsia="zh-CN"/>
        </w:rPr>
        <w:t>绩效评价报告</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rPr>
      </w:pPr>
      <w:r>
        <w:rPr>
          <w:rStyle w:val="7"/>
          <w:rFonts w:hint="eastAsia" w:ascii="仿宋_GB2312" w:hAnsi="仿宋_GB2312" w:eastAsia="仿宋_GB2312" w:cs="仿宋_GB2312"/>
          <w:b w:val="0"/>
          <w:bCs/>
          <w:color w:val="000000"/>
          <w:spacing w:val="0"/>
          <w:sz w:val="32"/>
          <w:szCs w:val="32"/>
        </w:rPr>
        <w:t>一、项目情况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rPr>
      </w:pPr>
      <w:r>
        <w:rPr>
          <w:rStyle w:val="7"/>
          <w:rFonts w:hint="eastAsia" w:ascii="仿宋_GB2312" w:hAnsi="仿宋_GB2312" w:eastAsia="仿宋_GB2312" w:cs="仿宋_GB2312"/>
          <w:b w:val="0"/>
          <w:bCs/>
          <w:color w:val="000000"/>
          <w:spacing w:val="0"/>
          <w:sz w:val="32"/>
          <w:szCs w:val="32"/>
        </w:rPr>
        <w:t>（一）项目概况。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7"/>
          <w:rFonts w:hint="default"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Style w:val="7"/>
          <w:rFonts w:hint="eastAsia" w:ascii="仿宋_GB2312" w:hAnsi="仿宋_GB2312" w:eastAsia="仿宋_GB2312" w:cs="仿宋_GB2312"/>
          <w:b w:val="0"/>
          <w:bCs/>
          <w:color w:val="000000"/>
          <w:spacing w:val="0"/>
          <w:sz w:val="32"/>
          <w:szCs w:val="32"/>
        </w:rPr>
        <w:t xml:space="preserve"> </w:t>
      </w:r>
      <w:r>
        <w:rPr>
          <w:rStyle w:val="7"/>
          <w:rFonts w:hint="eastAsia" w:ascii="仿宋_GB2312" w:hAnsi="仿宋_GB2312" w:eastAsia="仿宋_GB2312" w:cs="仿宋_GB2312"/>
          <w:b w:val="0"/>
          <w:bCs/>
          <w:color w:val="000000"/>
          <w:spacing w:val="0"/>
          <w:kern w:val="0"/>
          <w:sz w:val="32"/>
          <w:szCs w:val="32"/>
          <w:lang w:val="en-US" w:eastAsia="zh-CN" w:bidi="ar"/>
        </w:rPr>
        <w:t xml:space="preserve"> 该项目为中央转移支付专项，实行“大专项+任务清单”模式，主要支持耕地质量保护与提升、渔业资源保护、农业农村废弃物资源化利用、现代生态循环农业试点等。2022年共下达1431.3万元，截至22年12月底使用0万元，截至评价日使用493.8万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rPr>
      </w:pPr>
      <w:r>
        <w:rPr>
          <w:rStyle w:val="7"/>
          <w:rFonts w:hint="eastAsia" w:ascii="仿宋_GB2312" w:hAnsi="仿宋_GB2312" w:eastAsia="仿宋_GB2312" w:cs="仿宋_GB2312"/>
          <w:b w:val="0"/>
          <w:bCs/>
          <w:color w:val="000000"/>
          <w:spacing w:val="0"/>
          <w:sz w:val="32"/>
          <w:szCs w:val="32"/>
        </w:rPr>
        <w:t>（二）绩效目标。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lang w:eastAsia="zh-CN"/>
        </w:rPr>
      </w:pPr>
      <w:r>
        <w:rPr>
          <w:rStyle w:val="7"/>
          <w:rFonts w:hint="eastAsia" w:ascii="仿宋_GB2312" w:hAnsi="仿宋_GB2312" w:eastAsia="仿宋_GB2312" w:cs="仿宋_GB2312"/>
          <w:b w:val="0"/>
          <w:bCs/>
          <w:color w:val="000000"/>
          <w:spacing w:val="0"/>
          <w:sz w:val="32"/>
          <w:szCs w:val="32"/>
        </w:rPr>
        <w:t xml:space="preserve">  项目总体目标是加强农业农村生态环境保护，提高资源利用效率，保障农业农村生产生活环境绿色安全</w:t>
      </w:r>
      <w:r>
        <w:rPr>
          <w:rStyle w:val="7"/>
          <w:rFonts w:hint="eastAsia" w:ascii="仿宋_GB2312" w:hAnsi="仿宋_GB2312" w:eastAsia="仿宋_GB2312" w:cs="仿宋_GB2312"/>
          <w:b w:val="0"/>
          <w:bCs/>
          <w:color w:val="000000"/>
          <w:spacing w:val="0"/>
          <w:sz w:val="32"/>
          <w:szCs w:val="32"/>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rPr>
      </w:pPr>
      <w:r>
        <w:rPr>
          <w:rStyle w:val="7"/>
          <w:rFonts w:hint="eastAsia" w:ascii="仿宋_GB2312" w:hAnsi="仿宋_GB2312" w:eastAsia="仿宋_GB2312" w:cs="仿宋_GB2312"/>
          <w:b w:val="0"/>
          <w:bCs/>
          <w:color w:val="000000"/>
          <w:spacing w:val="0"/>
          <w:sz w:val="32"/>
          <w:szCs w:val="32"/>
        </w:rPr>
        <w:t>二、评价情况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rPr>
      </w:pPr>
      <w:r>
        <w:rPr>
          <w:rStyle w:val="7"/>
          <w:rFonts w:hint="eastAsia" w:ascii="仿宋_GB2312" w:hAnsi="仿宋_GB2312" w:eastAsia="仿宋_GB2312" w:cs="仿宋_GB2312"/>
          <w:b w:val="0"/>
          <w:bCs/>
          <w:color w:val="000000"/>
          <w:spacing w:val="0"/>
          <w:sz w:val="32"/>
          <w:szCs w:val="32"/>
        </w:rPr>
        <w:t xml:space="preserve"> 按照财政绩效评价相关要求，认真研究制定了项目评价的评价方式和评价指标体系，</w:t>
      </w:r>
      <w:r>
        <w:rPr>
          <w:rStyle w:val="7"/>
          <w:rFonts w:hint="eastAsia" w:ascii="仿宋_GB2312" w:hAnsi="仿宋_GB2312" w:eastAsia="仿宋_GB2312" w:cs="仿宋_GB2312"/>
          <w:b w:val="0"/>
          <w:bCs/>
          <w:color w:val="000000"/>
          <w:spacing w:val="0"/>
          <w:sz w:val="32"/>
          <w:szCs w:val="32"/>
          <w:lang w:eastAsia="zh-CN"/>
        </w:rPr>
        <w:t>确定了</w:t>
      </w:r>
      <w:r>
        <w:rPr>
          <w:rStyle w:val="7"/>
          <w:rFonts w:hint="eastAsia" w:ascii="仿宋_GB2312" w:hAnsi="仿宋_GB2312" w:eastAsia="仿宋_GB2312" w:cs="仿宋_GB2312"/>
          <w:b w:val="0"/>
          <w:bCs/>
          <w:color w:val="000000"/>
          <w:spacing w:val="0"/>
          <w:sz w:val="32"/>
          <w:szCs w:val="32"/>
        </w:rPr>
        <w:t>决策、过程、产出指标、效益指标、满意度指标一级指标5个，项目立项、绩效目标、资金投入等1</w:t>
      </w:r>
      <w:r>
        <w:rPr>
          <w:rStyle w:val="7"/>
          <w:rFonts w:hint="eastAsia" w:ascii="仿宋_GB2312" w:hAnsi="仿宋_GB2312" w:eastAsia="仿宋_GB2312" w:cs="仿宋_GB2312"/>
          <w:b w:val="0"/>
          <w:bCs/>
          <w:color w:val="000000"/>
          <w:spacing w:val="0"/>
          <w:sz w:val="32"/>
          <w:szCs w:val="32"/>
          <w:lang w:val="en-US" w:eastAsia="zh-CN"/>
        </w:rPr>
        <w:t>1</w:t>
      </w:r>
      <w:r>
        <w:rPr>
          <w:rStyle w:val="7"/>
          <w:rFonts w:hint="eastAsia" w:ascii="仿宋_GB2312" w:hAnsi="仿宋_GB2312" w:eastAsia="仿宋_GB2312" w:cs="仿宋_GB2312"/>
          <w:b w:val="0"/>
          <w:bCs/>
          <w:color w:val="000000"/>
          <w:spacing w:val="0"/>
          <w:sz w:val="32"/>
          <w:szCs w:val="32"/>
        </w:rPr>
        <w:t>个二级指标，立项依据充分性、立项程序规范性、绩效目标合理性等三级指标2</w:t>
      </w:r>
      <w:r>
        <w:rPr>
          <w:rStyle w:val="7"/>
          <w:rFonts w:hint="eastAsia" w:ascii="仿宋_GB2312" w:hAnsi="仿宋_GB2312" w:eastAsia="仿宋_GB2312" w:cs="仿宋_GB2312"/>
          <w:b w:val="0"/>
          <w:bCs/>
          <w:color w:val="000000"/>
          <w:spacing w:val="0"/>
          <w:sz w:val="32"/>
          <w:szCs w:val="32"/>
          <w:lang w:val="en-US" w:eastAsia="zh-CN"/>
        </w:rPr>
        <w:t>1</w:t>
      </w:r>
      <w:r>
        <w:rPr>
          <w:rStyle w:val="7"/>
          <w:rFonts w:hint="eastAsia" w:ascii="仿宋_GB2312" w:hAnsi="仿宋_GB2312" w:eastAsia="仿宋_GB2312" w:cs="仿宋_GB2312"/>
          <w:b w:val="0"/>
          <w:bCs/>
          <w:color w:val="000000"/>
          <w:spacing w:val="0"/>
          <w:sz w:val="32"/>
          <w:szCs w:val="32"/>
        </w:rPr>
        <w:t>个。</w:t>
      </w:r>
      <w:r>
        <w:rPr>
          <w:rStyle w:val="7"/>
          <w:rFonts w:hint="eastAsia" w:ascii="仿宋_GB2312" w:hAnsi="仿宋_GB2312" w:eastAsia="仿宋_GB2312" w:cs="仿宋_GB2312"/>
          <w:b w:val="0"/>
          <w:bCs/>
          <w:color w:val="000000"/>
          <w:spacing w:val="0"/>
          <w:sz w:val="32"/>
          <w:szCs w:val="32"/>
          <w:lang w:eastAsia="zh-CN"/>
        </w:rPr>
        <w:t>结合上级资金文件，对预算绩效目标做了部分调整，主要是产出指标、效益指标。</w:t>
      </w:r>
      <w:r>
        <w:rPr>
          <w:rStyle w:val="7"/>
          <w:rFonts w:hint="eastAsia" w:ascii="仿宋_GB2312" w:hAnsi="仿宋_GB2312" w:eastAsia="仿宋_GB2312" w:cs="仿宋_GB2312"/>
          <w:b w:val="0"/>
          <w:bCs/>
          <w:color w:val="000000"/>
          <w:spacing w:val="0"/>
          <w:sz w:val="32"/>
          <w:szCs w:val="32"/>
        </w:rPr>
        <w:t>根据工作完成情况、效益情况、满意度情况等确定评价结论。项目自评价得分9</w:t>
      </w:r>
      <w:r>
        <w:rPr>
          <w:rStyle w:val="7"/>
          <w:rFonts w:hint="eastAsia" w:ascii="仿宋_GB2312" w:hAnsi="仿宋_GB2312" w:eastAsia="仿宋_GB2312" w:cs="仿宋_GB2312"/>
          <w:b w:val="0"/>
          <w:bCs/>
          <w:color w:val="000000"/>
          <w:spacing w:val="0"/>
          <w:sz w:val="32"/>
          <w:szCs w:val="32"/>
          <w:lang w:val="en-US" w:eastAsia="zh-CN"/>
        </w:rPr>
        <w:t>6</w:t>
      </w:r>
      <w:r>
        <w:rPr>
          <w:rStyle w:val="7"/>
          <w:rFonts w:hint="eastAsia" w:ascii="仿宋_GB2312" w:hAnsi="仿宋_GB2312" w:eastAsia="仿宋_GB2312" w:cs="仿宋_GB2312"/>
          <w:b w:val="0"/>
          <w:bCs/>
          <w:color w:val="000000"/>
          <w:spacing w:val="0"/>
          <w:sz w:val="32"/>
          <w:szCs w:val="32"/>
        </w:rPr>
        <w:t>分，等级为优。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rPr>
      </w:pPr>
      <w:r>
        <w:rPr>
          <w:rStyle w:val="7"/>
          <w:rFonts w:hint="eastAsia" w:ascii="仿宋_GB2312" w:hAnsi="仿宋_GB2312" w:eastAsia="仿宋_GB2312" w:cs="仿宋_GB2312"/>
          <w:b w:val="0"/>
          <w:bCs/>
          <w:color w:val="000000"/>
          <w:spacing w:val="0"/>
          <w:sz w:val="32"/>
          <w:szCs w:val="32"/>
        </w:rPr>
        <w:t>三、项目绩效。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lang w:eastAsia="zh-CN"/>
        </w:rPr>
      </w:pPr>
      <w:r>
        <w:rPr>
          <w:rStyle w:val="7"/>
          <w:rFonts w:hint="eastAsia" w:ascii="仿宋_GB2312" w:hAnsi="仿宋_GB2312" w:eastAsia="仿宋_GB2312" w:cs="仿宋_GB2312"/>
          <w:b w:val="0"/>
          <w:bCs/>
          <w:color w:val="000000"/>
          <w:spacing w:val="0"/>
          <w:sz w:val="32"/>
          <w:szCs w:val="32"/>
          <w:lang w:eastAsia="zh-CN"/>
        </w:rPr>
        <w:t>（一）项目组织实施情况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lang w:val="en-US" w:eastAsia="zh-CN"/>
        </w:rPr>
      </w:pPr>
      <w:r>
        <w:rPr>
          <w:rStyle w:val="7"/>
          <w:rFonts w:hint="eastAsia" w:ascii="仿宋_GB2312" w:hAnsi="仿宋_GB2312" w:eastAsia="仿宋_GB2312" w:cs="仿宋_GB2312"/>
          <w:b w:val="0"/>
          <w:bCs/>
          <w:color w:val="000000"/>
          <w:spacing w:val="0"/>
          <w:sz w:val="32"/>
          <w:szCs w:val="32"/>
          <w:lang w:eastAsia="zh-CN"/>
        </w:rPr>
        <w:t>上级资金下达后，由计财科牵头，根据下达的任务清单、绩效目标及各业务科室、下属单位申报情况，安排资金方案。该专项共安排项目</w:t>
      </w:r>
      <w:r>
        <w:rPr>
          <w:rStyle w:val="7"/>
          <w:rFonts w:hint="eastAsia" w:ascii="仿宋_GB2312" w:hAnsi="仿宋_GB2312" w:eastAsia="仿宋_GB2312" w:cs="仿宋_GB2312"/>
          <w:b w:val="0"/>
          <w:bCs/>
          <w:color w:val="000000"/>
          <w:spacing w:val="0"/>
          <w:sz w:val="32"/>
          <w:szCs w:val="32"/>
          <w:lang w:val="en-US" w:eastAsia="zh-CN"/>
        </w:rPr>
        <w:t>4个，主要是：耕作试点、大豆玉米复合种植、绿色种养循环、化肥减量增效与耕地质量提升。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default" w:ascii="仿宋_GB2312" w:hAnsi="仿宋_GB2312" w:eastAsia="仿宋_GB2312" w:cs="仿宋_GB2312"/>
          <w:b w:val="0"/>
          <w:bCs/>
          <w:color w:val="000000"/>
          <w:spacing w:val="0"/>
          <w:sz w:val="32"/>
          <w:szCs w:val="32"/>
          <w:lang w:val="en-US" w:eastAsia="zh-CN"/>
        </w:rPr>
      </w:pPr>
      <w:r>
        <w:rPr>
          <w:rStyle w:val="7"/>
          <w:rFonts w:hint="eastAsia" w:ascii="仿宋_GB2312" w:hAnsi="仿宋_GB2312" w:eastAsia="仿宋_GB2312" w:cs="仿宋_GB2312"/>
          <w:b w:val="0"/>
          <w:bCs/>
          <w:color w:val="000000"/>
          <w:spacing w:val="0"/>
          <w:sz w:val="32"/>
          <w:szCs w:val="32"/>
          <w:lang w:val="en-US" w:eastAsia="zh-CN"/>
        </w:rPr>
        <w:t>耕作试点、大豆玉米复合种植：</w:t>
      </w:r>
      <w:r>
        <w:rPr>
          <w:rStyle w:val="7"/>
          <w:rFonts w:hint="default" w:ascii="仿宋_GB2312" w:hAnsi="仿宋_GB2312" w:eastAsia="仿宋_GB2312" w:cs="仿宋_GB2312"/>
          <w:b w:val="0"/>
          <w:bCs/>
          <w:color w:val="000000"/>
          <w:spacing w:val="0"/>
          <w:sz w:val="32"/>
          <w:szCs w:val="32"/>
          <w:lang w:val="en-US" w:eastAsia="zh-CN"/>
        </w:rPr>
        <w:t>一是积极组织申报。各镇（区、街道）按照自愿原则，组织符合申报条件的各类生产经营主体填写项目申报表，并对申报主体逐个审核，并签订协议。二是加强现场核查。在项目镇验收的基础上，市农业农村局组织相关人员对申报主体进行现场验收。验收人员依据“林调通”、GPS系统，逐个实地丈量面积，确保补贴面积真实性和准确性。三是做好公开公示。市农业农村局依据验收专家组的验收面积统计汇总，加盖镇（区、街道）、村（社区）公章，在补助对象所属村村务公示栏公示7天。四是强化项目验收。市农业农村局项目建设监督评价科组织相关专家</w:t>
      </w:r>
      <w:r>
        <w:rPr>
          <w:rStyle w:val="7"/>
          <w:rFonts w:hint="eastAsia" w:ascii="仿宋_GB2312" w:hAnsi="仿宋_GB2312" w:eastAsia="仿宋_GB2312" w:cs="仿宋_GB2312"/>
          <w:b w:val="0"/>
          <w:bCs/>
          <w:color w:val="000000"/>
          <w:spacing w:val="0"/>
          <w:sz w:val="32"/>
          <w:szCs w:val="32"/>
          <w:lang w:val="en-US" w:eastAsia="zh-CN"/>
        </w:rPr>
        <w:t>，</w:t>
      </w:r>
      <w:r>
        <w:rPr>
          <w:rStyle w:val="7"/>
          <w:rFonts w:hint="default" w:ascii="仿宋_GB2312" w:hAnsi="仿宋_GB2312" w:eastAsia="仿宋_GB2312" w:cs="仿宋_GB2312"/>
          <w:b w:val="0"/>
          <w:bCs/>
          <w:color w:val="000000"/>
          <w:spacing w:val="0"/>
          <w:sz w:val="32"/>
          <w:szCs w:val="32"/>
          <w:lang w:val="en-US" w:eastAsia="zh-CN"/>
        </w:rPr>
        <w:t>通过查阅相关资料和现场实地抽查种植面积和质量</w:t>
      </w:r>
      <w:r>
        <w:rPr>
          <w:rStyle w:val="7"/>
          <w:rFonts w:hint="eastAsia" w:ascii="仿宋_GB2312" w:hAnsi="仿宋_GB2312" w:eastAsia="仿宋_GB2312" w:cs="仿宋_GB2312"/>
          <w:b w:val="0"/>
          <w:bCs/>
          <w:color w:val="000000"/>
          <w:spacing w:val="0"/>
          <w:sz w:val="32"/>
          <w:szCs w:val="32"/>
          <w:lang w:val="en-US" w:eastAsia="zh-CN"/>
        </w:rPr>
        <w:t>，</w:t>
      </w:r>
      <w:r>
        <w:rPr>
          <w:rStyle w:val="7"/>
          <w:rFonts w:hint="default" w:ascii="仿宋_GB2312" w:hAnsi="仿宋_GB2312" w:eastAsia="仿宋_GB2312" w:cs="仿宋_GB2312"/>
          <w:b w:val="0"/>
          <w:bCs/>
          <w:color w:val="000000"/>
          <w:spacing w:val="0"/>
          <w:sz w:val="32"/>
          <w:szCs w:val="32"/>
          <w:lang w:val="en-US" w:eastAsia="zh-CN"/>
        </w:rPr>
        <w:t>项目的各项指标符合项目实施方案要求，出具项目验收报告。</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lang w:val="en-US" w:eastAsia="zh-CN"/>
        </w:rPr>
      </w:pPr>
      <w:r>
        <w:rPr>
          <w:rStyle w:val="7"/>
          <w:rFonts w:hint="eastAsia" w:ascii="仿宋_GB2312" w:hAnsi="仿宋_GB2312" w:eastAsia="仿宋_GB2312" w:cs="仿宋_GB2312"/>
          <w:b w:val="0"/>
          <w:bCs/>
          <w:color w:val="000000"/>
          <w:spacing w:val="0"/>
          <w:sz w:val="32"/>
          <w:szCs w:val="32"/>
          <w:lang w:val="en-US" w:eastAsia="zh-CN"/>
        </w:rPr>
        <w:t>绿色种养循环：一是制定实施方案，出台配套政策。制定了《如皋市2022年绿色种养循环农业试点工作实施方案》、《如皋市绿色种养循环农业试点项目验收办法（试行）》，与财政部门联合出台《关于做好 2022年绿色种养循环农业试点项目的通知》等文件，完善项目监管机制。二是规范采购程序，遴选实施主体。按照自愿申报、镇级遴选、市级评审的方式开展服务主体遴选，2022年共遴选社会化服务主体16个，在公示无异议后，农财两部门联合下达了批复文件，明确了每个主体的服务面积和奖补总额。通过政府采购确定技术支撑单位和第三方核查单位。三是建立试验示范区，发挥引领作用。全市建立5个有机肥替代化肥试验示范区，分布于搬经、白蒲镇、石庄和东陈等镇，主要内容是在黑塌菜、包菜等蔬菜和水稻上施用固体、液体等有机肥进行替代氮肥的试验。分别在搬经、东陈、石庄等3个镇布设效果监测点20个，通过监测试验前后土壤理化性状变化、产量及产投比分析，对甘蓝等经济作物，分析其品质变化。四是加强技术指导，增强实施效果。印发了《绿色种养循环农业试点技术指导意见》，市、镇两级每半年度开展技术培训会、现场观摩会，解读项目政策、明确实施要求、总结实施经验，培训400人次以上。五是自检抽检结合，控制粪肥质量。采取市抽检与服务组织自检相结合的方式，在施用前检测堆肥、液体粪肥是否腐熟完全，有毒有害限量指标是否符合相关要求。社会化服务组织定期开展粪肥质量自检，及时掌握粪肥质量，市工作组与第三方检测机构合作，每半年组织开展市级抽检，先后测定腐熟粪样40个，检测结果显示所有样品均符合国家质量标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lang w:val="en-US" w:eastAsia="zh-CN"/>
        </w:rPr>
      </w:pPr>
      <w:r>
        <w:rPr>
          <w:rStyle w:val="7"/>
          <w:rFonts w:hint="eastAsia" w:ascii="仿宋_GB2312" w:hAnsi="仿宋_GB2312" w:eastAsia="仿宋_GB2312" w:cs="仿宋_GB2312"/>
          <w:b w:val="0"/>
          <w:bCs/>
          <w:color w:val="000000"/>
          <w:spacing w:val="0"/>
          <w:sz w:val="32"/>
          <w:szCs w:val="32"/>
          <w:lang w:val="en-US" w:eastAsia="zh-CN"/>
        </w:rPr>
        <w:t>化肥减量增效与耕地质量提升：一是制定技术方案：小麦化肥减量增效技术方案、蔬菜化肥减量增效技术方案。二是遴选实施主体：在全市范围内遴选种开展化肥减量增效行动积极性较高的新型经营主体，由各镇、园区牵头，应用主体自愿申报，填写申报表，经镇、园区审核汇总后报送至市农业技术推广中心，市农业农村局对遴选申报情况进行公示。合计遴选缓混肥实施主体111个，商品有机肥实施主体221个。三是确定物化补贴产品。经农业技术推广中心项目实施专家组论证确定本项目实施物化补贴产品品种为商品有机肥和45%（27-6-12）小麦缓混配方肥，对商品有机肥进行全额补贴，对缓混肥进行差价补贴，补贴标准1000元/吨。四是加强宣传培训。充分利用现场会进行现场培训。结合5月12日在白蒲镇召开的2022年育秧现场会推进化肥减量增效技术宣传培训工作。结合市科教部门高素质职业农民技术培训工程，对种植大户开展小麦种肥同播等化肥减量增效新技术培训，面对面为农民培训科学施肥技术。在全市主要交通路口悬挂100条宣传横幅，结合育秧现场会，编印发放20000份稻麦施肥推荐卡、《如皋市稻麦轻简施肥技术要领》等技术资料，提升技术到位率。</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lang w:eastAsia="zh-CN"/>
        </w:rPr>
      </w:pPr>
      <w:r>
        <w:rPr>
          <w:rStyle w:val="7"/>
          <w:rFonts w:hint="eastAsia" w:ascii="仿宋_GB2312" w:hAnsi="仿宋_GB2312" w:eastAsia="仿宋_GB2312" w:cs="仿宋_GB2312"/>
          <w:b w:val="0"/>
          <w:bCs/>
          <w:color w:val="000000"/>
          <w:spacing w:val="0"/>
          <w:sz w:val="32"/>
          <w:szCs w:val="32"/>
          <w:lang w:eastAsia="zh-CN"/>
        </w:rPr>
        <w:t>资金管理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lang w:eastAsia="zh-CN"/>
        </w:rPr>
      </w:pPr>
      <w:r>
        <w:rPr>
          <w:rStyle w:val="7"/>
          <w:rFonts w:hint="eastAsia" w:ascii="仿宋_GB2312" w:hAnsi="仿宋_GB2312" w:eastAsia="仿宋_GB2312" w:cs="仿宋_GB2312"/>
          <w:b w:val="0"/>
          <w:bCs/>
          <w:color w:val="000000"/>
          <w:spacing w:val="0"/>
          <w:sz w:val="32"/>
          <w:szCs w:val="32"/>
          <w:lang w:eastAsia="zh-CN"/>
        </w:rPr>
        <w:t>资金分配方案由农业农村局和财政局商讨后确定并联合上报省厅，项目方案也由两局联合批复，项目拨付资料由局计财科、财政局审核后，通过国库集中支付系统拨付到主体。</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lang w:eastAsia="zh-CN"/>
        </w:rPr>
      </w:pPr>
      <w:r>
        <w:rPr>
          <w:rStyle w:val="7"/>
          <w:rFonts w:hint="eastAsia" w:ascii="仿宋_GB2312" w:hAnsi="仿宋_GB2312" w:eastAsia="仿宋_GB2312" w:cs="仿宋_GB2312"/>
          <w:b w:val="0"/>
          <w:bCs/>
          <w:color w:val="000000"/>
          <w:spacing w:val="0"/>
          <w:sz w:val="32"/>
          <w:szCs w:val="32"/>
          <w:lang w:eastAsia="zh-CN"/>
        </w:rPr>
        <w:t>项目绩效情况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Style w:val="7"/>
          <w:rFonts w:hint="default" w:ascii="仿宋_GB2312" w:hAnsi="仿宋_GB2312" w:eastAsia="仿宋_GB2312" w:cs="仿宋_GB2312"/>
          <w:b w:val="0"/>
          <w:bCs/>
          <w:color w:val="000000"/>
          <w:spacing w:val="0"/>
          <w:sz w:val="32"/>
          <w:szCs w:val="32"/>
          <w:lang w:val="en-US" w:eastAsia="zh-CN"/>
        </w:rPr>
      </w:pPr>
      <w:r>
        <w:rPr>
          <w:rStyle w:val="7"/>
          <w:rFonts w:hint="eastAsia" w:ascii="仿宋_GB2312" w:hAnsi="仿宋_GB2312" w:eastAsia="仿宋_GB2312" w:cs="仿宋_GB2312"/>
          <w:b w:val="0"/>
          <w:bCs/>
          <w:color w:val="000000"/>
          <w:spacing w:val="0"/>
          <w:sz w:val="32"/>
          <w:szCs w:val="32"/>
          <w:lang w:val="en-US" w:eastAsia="zh-CN"/>
        </w:rPr>
        <w:t>完成耕地轮作试点面积1.2万亩、测土配方施肥面积195.74万亩次、农户施肥调查335户、田间试验10个、种养循环试点面积11.33万亩，科学施肥促进降本增效效果明显，畜禽粪污综合利用率达98.95%。通过项目实施，完成上级下达的任务和绩效，促进农田生态环境改善，保护优质的水资源和良好的生态环境。</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rPr>
      </w:pPr>
      <w:r>
        <w:rPr>
          <w:rStyle w:val="7"/>
          <w:rFonts w:hint="eastAsia" w:ascii="仿宋_GB2312" w:hAnsi="仿宋_GB2312" w:eastAsia="仿宋_GB2312" w:cs="仿宋_GB2312"/>
          <w:b w:val="0"/>
          <w:bCs/>
          <w:color w:val="000000"/>
          <w:spacing w:val="0"/>
          <w:sz w:val="32"/>
          <w:szCs w:val="32"/>
        </w:rPr>
        <w:t>存在问题。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lang w:eastAsia="zh-CN"/>
        </w:rPr>
      </w:pPr>
      <w:r>
        <w:rPr>
          <w:rStyle w:val="7"/>
          <w:rFonts w:hint="eastAsia" w:ascii="仿宋_GB2312" w:hAnsi="仿宋_GB2312" w:eastAsia="仿宋_GB2312" w:cs="仿宋_GB2312"/>
          <w:b w:val="0"/>
          <w:bCs/>
          <w:color w:val="000000"/>
          <w:spacing w:val="0"/>
          <w:sz w:val="32"/>
          <w:szCs w:val="32"/>
          <w:lang w:eastAsia="zh-CN"/>
        </w:rPr>
        <w:t>截至评价日，项目均实施完成，部分项目已兑付。项目兑付率偏低。</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7"/>
          <w:rFonts w:hint="eastAsia" w:ascii="仿宋_GB2312" w:hAnsi="仿宋_GB2312" w:eastAsia="仿宋_GB2312" w:cs="仿宋_GB2312"/>
          <w:b w:val="0"/>
          <w:bCs/>
          <w:color w:val="000000"/>
          <w:spacing w:val="0"/>
          <w:sz w:val="32"/>
          <w:szCs w:val="32"/>
        </w:rPr>
      </w:pPr>
      <w:r>
        <w:rPr>
          <w:rStyle w:val="7"/>
          <w:rFonts w:hint="eastAsia" w:ascii="仿宋_GB2312" w:hAnsi="仿宋_GB2312" w:eastAsia="仿宋_GB2312" w:cs="仿宋_GB2312"/>
          <w:b w:val="0"/>
          <w:bCs/>
          <w:color w:val="000000"/>
          <w:spacing w:val="0"/>
          <w:sz w:val="32"/>
          <w:szCs w:val="32"/>
        </w:rPr>
        <w:t>有关建议。</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Style w:val="7"/>
          <w:rFonts w:hint="eastAsia" w:ascii="仿宋_GB2312" w:hAnsi="仿宋_GB2312" w:eastAsia="仿宋_GB2312" w:cs="仿宋_GB2312"/>
          <w:b w:val="0"/>
          <w:bCs/>
          <w:i w:val="0"/>
          <w:iCs w:val="0"/>
          <w:caps w:val="0"/>
          <w:color w:val="000000"/>
          <w:spacing w:val="0"/>
          <w:sz w:val="32"/>
          <w:szCs w:val="32"/>
          <w:shd w:val="clear" w:fill="FFFFFF"/>
          <w:lang w:eastAsia="zh-CN"/>
        </w:rPr>
      </w:pPr>
      <w:r>
        <w:rPr>
          <w:rStyle w:val="7"/>
          <w:rFonts w:hint="eastAsia" w:ascii="仿宋_GB2312" w:hAnsi="仿宋_GB2312" w:eastAsia="仿宋_GB2312" w:cs="仿宋_GB2312"/>
          <w:b w:val="0"/>
          <w:bCs/>
          <w:i w:val="0"/>
          <w:iCs w:val="0"/>
          <w:caps w:val="0"/>
          <w:color w:val="000000"/>
          <w:spacing w:val="0"/>
          <w:sz w:val="32"/>
          <w:szCs w:val="32"/>
          <w:shd w:val="clear" w:fill="FFFFFF"/>
          <w:lang w:eastAsia="zh-CN"/>
        </w:rPr>
        <w:t>加快项目进度，提高年度资金兑付率。</w:t>
      </w:r>
      <w:bookmarkStart w:id="0" w:name="_GoBack"/>
      <w:bookmarkEnd w:id="0"/>
    </w:p>
    <w:sectPr>
      <w:footerReference r:id="rId3" w:type="default"/>
      <w:pgSz w:w="11900" w:h="16820"/>
      <w:pgMar w:top="1701" w:right="1587" w:bottom="1587" w:left="1587" w:header="720" w:footer="720" w:gutter="0"/>
      <w:pgNumType w:fmt="numberInDash"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AFAAE"/>
    <w:multiLevelType w:val="singleLevel"/>
    <w:tmpl w:val="FFAAFAAE"/>
    <w:lvl w:ilvl="0" w:tentative="0">
      <w:start w:val="4"/>
      <w:numFmt w:val="chineseCounting"/>
      <w:suff w:val="nothing"/>
      <w:lvlText w:val="%1、"/>
      <w:lvlJc w:val="left"/>
      <w:rPr>
        <w:rFonts w:hint="eastAsia"/>
      </w:rPr>
    </w:lvl>
  </w:abstractNum>
  <w:abstractNum w:abstractNumId="1">
    <w:nsid w:val="66F43BDD"/>
    <w:multiLevelType w:val="singleLevel"/>
    <w:tmpl w:val="66F43BD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E12DD"/>
    <w:rsid w:val="0AAF4979"/>
    <w:rsid w:val="0B1D329D"/>
    <w:rsid w:val="0F9528D3"/>
    <w:rsid w:val="1BF36283"/>
    <w:rsid w:val="1C3D1B75"/>
    <w:rsid w:val="1F2107F3"/>
    <w:rsid w:val="203F5ADD"/>
    <w:rsid w:val="239E3AE2"/>
    <w:rsid w:val="24B651FD"/>
    <w:rsid w:val="30EE7BE9"/>
    <w:rsid w:val="36BA164F"/>
    <w:rsid w:val="392B113F"/>
    <w:rsid w:val="3A5822D4"/>
    <w:rsid w:val="3B925F69"/>
    <w:rsid w:val="405B5917"/>
    <w:rsid w:val="42B95408"/>
    <w:rsid w:val="476B0D34"/>
    <w:rsid w:val="52F3242F"/>
    <w:rsid w:val="54275B77"/>
    <w:rsid w:val="56927E72"/>
    <w:rsid w:val="5A997FCE"/>
    <w:rsid w:val="5DFE5280"/>
    <w:rsid w:val="62E13DA8"/>
    <w:rsid w:val="680500C7"/>
    <w:rsid w:val="684E157C"/>
    <w:rsid w:val="6E872B8D"/>
    <w:rsid w:val="6F9F0A9E"/>
    <w:rsid w:val="701F1DFE"/>
    <w:rsid w:val="7792427E"/>
    <w:rsid w:val="78C46920"/>
    <w:rsid w:val="7A7703D8"/>
    <w:rsid w:val="7F6F7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仿宋" w:cs="仿宋_GB2312" w:asciiTheme="minorHAnsi" w:hAnsiTheme="minorHAnsi"/>
      <w:b/>
      <w:kern w:val="0"/>
      <w:sz w:val="28"/>
      <w:szCs w:val="28"/>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签发人"/>
    <w:basedOn w:val="1"/>
    <w:qFormat/>
    <w:uiPriority w:val="0"/>
    <w:rPr>
      <w:rFonts w:eastAsia="楷体"/>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Emphasis"/>
    <w:basedOn w:val="7"/>
    <w:qFormat/>
    <w:uiPriority w:val="0"/>
    <w:rPr>
      <w:i/>
    </w:rPr>
  </w:style>
  <w:style w:type="paragraph" w:customStyle="1" w:styleId="11">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2">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3">
    <w:name w:val="Normal_1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4">
    <w:name w:val="Normal_1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5">
    <w:name w:val="Normal_18"/>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16">
    <w:name w:val="font71"/>
    <w:basedOn w:val="7"/>
    <w:qFormat/>
    <w:uiPriority w:val="0"/>
    <w:rPr>
      <w:rFonts w:hint="eastAsia" w:ascii="宋体" w:hAnsi="宋体" w:eastAsia="宋体" w:cs="宋体"/>
      <w:color w:val="000000"/>
      <w:sz w:val="22"/>
      <w:szCs w:val="22"/>
      <w:u w:val="single"/>
    </w:rPr>
  </w:style>
  <w:style w:type="character" w:customStyle="1" w:styleId="17">
    <w:name w:val="font01"/>
    <w:basedOn w:val="7"/>
    <w:qFormat/>
    <w:uiPriority w:val="0"/>
    <w:rPr>
      <w:rFonts w:hint="eastAsia" w:ascii="宋体" w:hAnsi="宋体" w:eastAsia="宋体" w:cs="宋体"/>
      <w:color w:val="000000"/>
      <w:sz w:val="22"/>
      <w:szCs w:val="22"/>
      <w:u w:val="none"/>
    </w:rPr>
  </w:style>
  <w:style w:type="paragraph" w:customStyle="1" w:styleId="18">
    <w:name w:val="A正文"/>
    <w:basedOn w:val="1"/>
    <w:qFormat/>
    <w:uiPriority w:val="0"/>
    <w:pPr>
      <w:ind w:firstLine="200" w:firstLineChars="200"/>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1785</Words>
  <Characters>1904</Characters>
  <Lines>0</Lines>
  <Paragraphs>0</Paragraphs>
  <TotalTime>1</TotalTime>
  <ScaleCrop>false</ScaleCrop>
  <LinksUpToDate>false</LinksUpToDate>
  <CharactersWithSpaces>1959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2020-12-08T07:17:00Z</dcterms:created>
  <dc:creator>Administrator</dc:creator>
  <cp:lastModifiedBy>cici</cp:lastModifiedBy>
  <cp:lastPrinted>2022-03-21T09:29:00Z</cp:lastPrinted>
  <dcterms:modified xsi:type="dcterms:W3CDTF">2023-03-16T08:40:04Z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DF147718EDB345F6A9DFE48857E565B9</vt:lpwstr>
  </property>
</Properties>
</file>