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202</w:t>
      </w:r>
      <w:r>
        <w:rPr>
          <w:rFonts w:hint="eastAsia" w:asciiTheme="majorEastAsia" w:hAnsiTheme="majorEastAsia" w:eastAsiaTheme="majorEastAsia"/>
          <w:sz w:val="44"/>
          <w:szCs w:val="44"/>
          <w:lang w:val="en-US" w:eastAsia="zh-CN"/>
        </w:rPr>
        <w:t>3</w:t>
      </w:r>
      <w:r>
        <w:rPr>
          <w:rFonts w:hint="eastAsia" w:asciiTheme="majorEastAsia" w:hAnsiTheme="majorEastAsia" w:eastAsiaTheme="majorEastAsia"/>
          <w:sz w:val="44"/>
          <w:szCs w:val="44"/>
        </w:rPr>
        <w:t>年秸秆禁烧禁抛与综合利用</w:t>
      </w:r>
    </w:p>
    <w:p>
      <w:pPr>
        <w:spacing w:line="700" w:lineRule="exact"/>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工作绩效评价报告</w:t>
      </w:r>
    </w:p>
    <w:p>
      <w:pPr>
        <w:spacing w:line="540" w:lineRule="exact"/>
        <w:jc w:val="center"/>
        <w:rPr>
          <w:rFonts w:asciiTheme="majorEastAsia" w:hAnsiTheme="majorEastAsia" w:eastAsiaTheme="majorEastAsia"/>
          <w:sz w:val="32"/>
          <w:szCs w:val="32"/>
        </w:rPr>
      </w:pPr>
    </w:p>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rPr>
      </w:pPr>
      <w:r>
        <w:rPr>
          <w:rFonts w:hint="eastAsia" w:ascii="仿宋" w:hAnsi="仿宋" w:eastAsia="仿宋" w:cs="仿宋"/>
          <w:b/>
          <w:bCs/>
          <w:sz w:val="32"/>
          <w:szCs w:val="32"/>
        </w:rPr>
        <w:t>项目情况</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为切实解决秸秆乱烧乱抛问题，着力保护和改善农业生态环境，奋力推进全市生态文明建设，根据《关于做好2023年秸秆禁烧禁抛与综合利用工作的通知》（皋指综【2023】8号）文件精神，在全市范围内持续开展秸秆禁烧禁抛与综合利用工作。主要内容为：一是在夏收、夏种和秋收、秋种的重要时点，各镇区（街道）及市督查组全面加强对秸秆禁烧禁抛工作巡查、督查；二是强化技术推广，提高秸秆机械化还田和机械化离田质量；三是推广收储模式，强化秸秆多途径利用。</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0"/>
          <w:szCs w:val="30"/>
          <w:lang w:val="en-US" w:eastAsia="zh-CN" w:bidi="ar-SA"/>
        </w:rPr>
        <w:t>2023年该项目安排资金560万元，使用552.14万元。</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评价情况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left"/>
        <w:textAlignment w:val="auto"/>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按照财政绩效评价相关要求，认真研究制定了项目评价的评价方式和评价指标体系，根据决策、过程、成本、产出指标、效益指标、满意度指标一级指标6个，项目立项、绩效目标、资金投入等二级指标14个，立项依据充分性、立项程序规范性、绩效目标合理性等三级指标20个。根据工作完成情况、效益情况、满意度情况等确定评价结论。项目自评价得分89.46分，等级为优。</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三、项目绩效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eastAsia="仿宋_GB2312"/>
          <w:sz w:val="30"/>
          <w:szCs w:val="30"/>
        </w:rPr>
      </w:pPr>
      <w:r>
        <w:rPr>
          <w:rFonts w:hint="eastAsia" w:ascii="仿宋_GB2312" w:eastAsia="仿宋_GB2312"/>
          <w:kern w:val="0"/>
          <w:sz w:val="30"/>
          <w:szCs w:val="30"/>
          <w:lang w:eastAsia="zh-CN"/>
        </w:rPr>
        <w:t>通过该项目的实施</w:t>
      </w:r>
      <w:r>
        <w:rPr>
          <w:rFonts w:hint="eastAsia" w:ascii="仿宋_GB2312" w:eastAsia="仿宋_GB2312"/>
          <w:kern w:val="0"/>
          <w:sz w:val="30"/>
          <w:szCs w:val="30"/>
        </w:rPr>
        <w:t>，不断拓宽秸秆能源化、基料化、饲料化、原料化等多种利用渠道，逐步形成布局合理、多元利用的秸秆综合利用产业化格局，农作物秸秆综合利用率达96%以上。实现全面禁烧禁抛，</w:t>
      </w:r>
      <w:r>
        <w:rPr>
          <w:rFonts w:hint="eastAsia" w:ascii="仿宋_GB2312" w:eastAsia="仿宋_GB2312"/>
          <w:kern w:val="0"/>
          <w:sz w:val="30"/>
          <w:szCs w:val="30"/>
          <w:lang w:eastAsia="zh-CN"/>
        </w:rPr>
        <w:t>未</w:t>
      </w:r>
      <w:r>
        <w:rPr>
          <w:rFonts w:hint="eastAsia" w:ascii="仿宋_GB2312" w:eastAsia="仿宋_GB2312"/>
          <w:kern w:val="0"/>
          <w:sz w:val="30"/>
          <w:szCs w:val="30"/>
        </w:rPr>
        <w:t>出现省、南通“第一把火”，</w:t>
      </w:r>
      <w:r>
        <w:rPr>
          <w:rFonts w:hint="eastAsia" w:ascii="仿宋_GB2312" w:eastAsia="仿宋_GB2312"/>
          <w:kern w:val="0"/>
          <w:sz w:val="30"/>
          <w:szCs w:val="30"/>
          <w:lang w:eastAsia="zh-CN"/>
        </w:rPr>
        <w:t>未</w:t>
      </w:r>
      <w:r>
        <w:rPr>
          <w:rFonts w:hint="eastAsia" w:ascii="仿宋_GB2312" w:eastAsia="仿宋_GB2312"/>
          <w:kern w:val="0"/>
          <w:sz w:val="30"/>
          <w:szCs w:val="30"/>
        </w:rPr>
        <w:t>发生大面积露天焚烧秸秆事件，</w:t>
      </w:r>
      <w:r>
        <w:rPr>
          <w:rFonts w:hint="eastAsia" w:ascii="仿宋_GB2312" w:eastAsia="仿宋_GB2312"/>
          <w:kern w:val="0"/>
          <w:sz w:val="30"/>
          <w:szCs w:val="30"/>
          <w:lang w:eastAsia="zh-CN"/>
        </w:rPr>
        <w:t>未</w:t>
      </w:r>
      <w:r>
        <w:rPr>
          <w:rFonts w:hint="eastAsia" w:ascii="仿宋_GB2312" w:eastAsia="仿宋_GB2312"/>
          <w:kern w:val="0"/>
          <w:sz w:val="30"/>
          <w:szCs w:val="30"/>
        </w:rPr>
        <w:t>发生因露天焚烧秸秆引起的大气污染和秸秆下河引发的水环境污染，持续改善全市空气环境质量。主要做法如下：</w:t>
      </w:r>
      <w:r>
        <w:rPr>
          <w:rFonts w:hint="eastAsia" w:ascii="仿宋_GB2312" w:eastAsia="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85" w:firstLineChars="195"/>
        <w:textAlignment w:val="auto"/>
        <w:rPr>
          <w:rFonts w:ascii="仿宋_GB2312" w:eastAsia="仿宋_GB2312"/>
          <w:kern w:val="0"/>
          <w:sz w:val="30"/>
          <w:szCs w:val="30"/>
        </w:rPr>
      </w:pPr>
      <w:r>
        <w:rPr>
          <w:rFonts w:hint="eastAsia" w:ascii="仿宋_GB2312" w:eastAsia="仿宋_GB2312"/>
          <w:kern w:val="0"/>
          <w:sz w:val="30"/>
          <w:szCs w:val="30"/>
        </w:rPr>
        <w:t>一是加强组织领导。</w:t>
      </w:r>
      <w:r>
        <w:rPr>
          <w:rFonts w:hint="eastAsia" w:ascii="仿宋_GB2312" w:eastAsia="仿宋_GB2312"/>
          <w:color w:val="000000"/>
          <w:spacing w:val="10"/>
          <w:sz w:val="30"/>
          <w:szCs w:val="30"/>
        </w:rPr>
        <w:t>各镇（区、街道）对</w:t>
      </w:r>
      <w:r>
        <w:rPr>
          <w:rFonts w:hint="eastAsia" w:ascii="仿宋_GB2312" w:eastAsia="仿宋_GB2312"/>
          <w:bCs/>
          <w:sz w:val="30"/>
          <w:szCs w:val="30"/>
        </w:rPr>
        <w:t>双禁工作极为重视，书记亲自挂帅，镇长为第一责任人，亲自抓、负总责，分管领导具体抓、抓细抓实。将双禁落实到每一个具体人员，为打赢双禁攻坚战打下了坚实的基础。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eastAsia="仿宋_GB2312"/>
          <w:color w:val="000000"/>
          <w:spacing w:val="10"/>
          <w:sz w:val="30"/>
          <w:szCs w:val="30"/>
        </w:rPr>
      </w:pPr>
      <w:r>
        <w:rPr>
          <w:rFonts w:hint="eastAsia" w:ascii="仿宋_GB2312" w:eastAsia="仿宋_GB2312"/>
          <w:sz w:val="30"/>
          <w:szCs w:val="30"/>
        </w:rPr>
        <w:t>二是加大宣传力度。</w:t>
      </w:r>
      <w:r>
        <w:rPr>
          <w:rFonts w:hint="eastAsia" w:ascii="仿宋_GB2312" w:eastAsia="仿宋_GB2312"/>
          <w:color w:val="000000"/>
          <w:spacing w:val="10"/>
          <w:sz w:val="30"/>
          <w:szCs w:val="30"/>
        </w:rPr>
        <w:t>各镇（区、街道）大力做好秸秆禁烧禁抛工作的宣传引导，充分利用“给农民朋友的一封信”、广播、电视、报纸、标语等多种形式，广泛宣传焚烧秸秆和乱抛秸秆的危害及法律后果，双禁工作宣传到村到户，做到家喻户晓，形成秸秆禁烧禁抛的强大舆论氛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eastAsia="仿宋_GB2312"/>
          <w:bCs/>
          <w:sz w:val="30"/>
          <w:szCs w:val="30"/>
        </w:rPr>
      </w:pPr>
      <w:r>
        <w:rPr>
          <w:rFonts w:hint="eastAsia" w:ascii="仿宋_GB2312" w:eastAsia="仿宋_GB2312"/>
          <w:sz w:val="30"/>
          <w:szCs w:val="30"/>
        </w:rPr>
        <w:t>三是强化督查巡查。</w:t>
      </w:r>
      <w:r>
        <w:rPr>
          <w:rFonts w:hint="eastAsia" w:ascii="仿宋_GB2312" w:eastAsia="仿宋_GB2312"/>
          <w:bCs/>
          <w:color w:val="000000"/>
          <w:spacing w:val="10"/>
          <w:sz w:val="30"/>
          <w:szCs w:val="30"/>
        </w:rPr>
        <w:t>全市坚持“明查”与“暗访”结合，采用</w:t>
      </w:r>
      <w:r>
        <w:rPr>
          <w:rFonts w:hint="eastAsia" w:ascii="仿宋_GB2312" w:eastAsia="仿宋_GB2312"/>
          <w:color w:val="000000"/>
          <w:spacing w:val="10"/>
          <w:kern w:val="0"/>
          <w:sz w:val="30"/>
          <w:szCs w:val="30"/>
        </w:rPr>
        <w:t>“村干部田间河边蹲守、镇领导田间河边巡查、市级督查组巡回督查、市领导抽样督查”的模式，开展全天候、全覆盖、多层次、高频</w:t>
      </w:r>
      <w:r>
        <w:rPr>
          <w:rFonts w:hint="eastAsia" w:ascii="仿宋_GB2312" w:eastAsia="仿宋_GB2312"/>
          <w:bCs/>
          <w:color w:val="000000"/>
          <w:spacing w:val="10"/>
          <w:sz w:val="30"/>
          <w:szCs w:val="30"/>
        </w:rPr>
        <w:t>率的巡查。各镇（区、街道）以交通主干道</w:t>
      </w:r>
      <w:r>
        <w:rPr>
          <w:rFonts w:hint="eastAsia" w:ascii="仿宋_GB2312" w:eastAsia="仿宋_GB2312"/>
          <w:color w:val="000000"/>
          <w:spacing w:val="10"/>
          <w:kern w:val="0"/>
          <w:sz w:val="30"/>
          <w:szCs w:val="30"/>
        </w:rPr>
        <w:t>沿线可视范围为重点，</w:t>
      </w:r>
      <w:r>
        <w:rPr>
          <w:rFonts w:hint="eastAsia" w:ascii="仿宋_GB2312" w:eastAsia="仿宋_GB2312"/>
          <w:bCs/>
          <w:color w:val="000000"/>
          <w:spacing w:val="10"/>
          <w:sz w:val="30"/>
          <w:szCs w:val="30"/>
        </w:rPr>
        <w:t>做到严防死守、盯紧看牢。</w:t>
      </w:r>
      <w:r>
        <w:rPr>
          <w:rFonts w:hint="eastAsia" w:ascii="仿宋_GB2312" w:eastAsia="仿宋_GB2312"/>
          <w:bCs/>
          <w:sz w:val="30"/>
          <w:szCs w:val="30"/>
        </w:rPr>
        <w:t>特别是夜间、雨前、收割高峰等重点时段的督查巡查，</w:t>
      </w:r>
      <w:r>
        <w:rPr>
          <w:rFonts w:hint="eastAsia" w:ascii="仿宋_GB2312" w:eastAsia="仿宋_GB2312"/>
          <w:bCs/>
          <w:color w:val="000000"/>
          <w:spacing w:val="10"/>
          <w:sz w:val="30"/>
          <w:szCs w:val="30"/>
        </w:rPr>
        <w:t>确保上足人力、有效掌控。加强对零星地块的盯防，科学设置临时堆放点，确保秸秆“搬离田、集中存、不焚烧、不乱抛”。对</w:t>
      </w:r>
      <w:r>
        <w:rPr>
          <w:rFonts w:hint="eastAsia" w:ascii="仿宋_GB2312" w:eastAsia="仿宋_GB2312"/>
          <w:bCs/>
          <w:sz w:val="30"/>
          <w:szCs w:val="30"/>
        </w:rPr>
        <w:t>督查巡查中发现的火点，能迅速联络所在区域秸秆综合利用和禁烧工作网络人员到现场采取有效措施扑灭火点，并做好现场取证工作，拍摄现场照片，填写《秸秆禁烧督查日报表》，及时上报给市禁烧办。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0"/>
          <w:szCs w:val="30"/>
        </w:rPr>
      </w:pPr>
      <w:r>
        <w:rPr>
          <w:rFonts w:hint="eastAsia" w:ascii="仿宋_GB2312" w:eastAsia="仿宋_GB2312"/>
          <w:sz w:val="30"/>
          <w:szCs w:val="30"/>
        </w:rPr>
        <w:t>　　四是加大考核奖惩。</w:t>
      </w:r>
      <w:r>
        <w:rPr>
          <w:rFonts w:hint="eastAsia" w:ascii="仿宋_GB2312" w:eastAsia="仿宋_GB2312"/>
          <w:bCs/>
          <w:color w:val="000000"/>
          <w:spacing w:val="10"/>
          <w:sz w:val="30"/>
          <w:szCs w:val="30"/>
        </w:rPr>
        <w:t>各镇（区、街道）将秸秆禁烧禁抛工作纳入政府考核体系，对禁烧时段被省、南通巡查发现秸秆焚烧火点的镇（区、街道），实行“一票否决”。对秸秆禁烧禁抛工作组织不力、发生露天焚烧秸秆和乱抛秸秆的，予以通报批评；对禁烧禁抛措施不到位、发生大面积焚烧秸秆和乱抛秸秆造成恶劣影响的，依法依纪追究镇（区、街道）领导和相关人员的责任。</w:t>
      </w:r>
      <w:r>
        <w:rPr>
          <w:rFonts w:hint="eastAsia" w:ascii="仿宋_GB2312" w:eastAsia="仿宋_GB2312"/>
          <w:sz w:val="30"/>
          <w:szCs w:val="30"/>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四、存在问题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Cs/>
          <w:color w:val="000000"/>
          <w:spacing w:val="10"/>
          <w:sz w:val="30"/>
          <w:szCs w:val="30"/>
          <w:lang w:val="en-US" w:eastAsia="zh-CN"/>
        </w:rPr>
      </w:pPr>
      <w:r>
        <w:rPr>
          <w:rFonts w:hint="eastAsia" w:ascii="仿宋_GB2312" w:hAnsi="Times New Roman" w:eastAsia="仿宋_GB2312" w:cs="Times New Roman"/>
          <w:bCs/>
          <w:color w:val="000000"/>
          <w:spacing w:val="10"/>
          <w:sz w:val="30"/>
          <w:szCs w:val="30"/>
          <w:lang w:val="en-US" w:eastAsia="zh-CN"/>
        </w:rPr>
        <w:t>一是资金预算不足，2023年兑付的是前一年的考核资金；二是考核资金未在规定时间内兑付。</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五、有关建议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Cs/>
          <w:color w:val="000000"/>
          <w:spacing w:val="10"/>
          <w:sz w:val="30"/>
          <w:szCs w:val="30"/>
          <w:lang w:val="en-US" w:eastAsia="zh-CN"/>
        </w:rPr>
      </w:pPr>
      <w:r>
        <w:rPr>
          <w:rFonts w:hint="eastAsia" w:ascii="仿宋_GB2312" w:hAnsi="Times New Roman" w:eastAsia="仿宋_GB2312" w:cs="Times New Roman"/>
          <w:bCs/>
          <w:color w:val="000000"/>
          <w:spacing w:val="10"/>
          <w:sz w:val="30"/>
          <w:szCs w:val="30"/>
          <w:lang w:val="en-US" w:eastAsia="zh-CN"/>
        </w:rPr>
        <w:t>一是积极与财政沟通，争取足额资金；二是加强职能科室人员的业务水平，着力推进项目实施，加快资金兑付流程。</w:t>
      </w:r>
    </w:p>
    <w:p>
      <w:pPr>
        <w:spacing w:line="540" w:lineRule="exact"/>
        <w:ind w:firstLine="640" w:firstLineChars="200"/>
        <w:rPr>
          <w:rFonts w:ascii="方正仿宋_GBK" w:eastAsia="方正仿宋_GBK"/>
          <w:sz w:val="32"/>
        </w:rPr>
      </w:pPr>
    </w:p>
    <w:p>
      <w:pPr>
        <w:spacing w:line="540" w:lineRule="exact"/>
        <w:ind w:firstLine="640" w:firstLineChars="200"/>
        <w:rPr>
          <w:rFonts w:ascii="方正仿宋_GBK" w:eastAsia="方正仿宋_GBK"/>
          <w:sz w:val="32"/>
        </w:rPr>
      </w:pPr>
    </w:p>
    <w:p>
      <w:bookmarkStart w:id="0" w:name="_GoBack"/>
      <w:bookmarkEnd w:id="0"/>
    </w:p>
    <w:sectPr>
      <w:headerReference r:id="rId3" w:type="default"/>
      <w:footerReference r:id="rId4" w:type="default"/>
      <w:footerReference r:id="rId5" w:type="even"/>
      <w:pgSz w:w="11906" w:h="16838"/>
      <w:pgMar w:top="1701" w:right="1644" w:bottom="1701" w:left="164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shelf Symbol 7">
    <w:panose1 w:val="05010101010101010101"/>
    <w:charset w:val="00"/>
    <w:family w:val="auto"/>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A661C"/>
    <w:multiLevelType w:val="singleLevel"/>
    <w:tmpl w:val="378A66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6C85"/>
    <w:rsid w:val="00030248"/>
    <w:rsid w:val="0008575A"/>
    <w:rsid w:val="000F60CD"/>
    <w:rsid w:val="001254B2"/>
    <w:rsid w:val="001C4CFF"/>
    <w:rsid w:val="001F7C28"/>
    <w:rsid w:val="002D06A3"/>
    <w:rsid w:val="002D0EC9"/>
    <w:rsid w:val="003A39C0"/>
    <w:rsid w:val="003A73AD"/>
    <w:rsid w:val="003B2D2A"/>
    <w:rsid w:val="003D273C"/>
    <w:rsid w:val="00436C85"/>
    <w:rsid w:val="0049640B"/>
    <w:rsid w:val="005528A0"/>
    <w:rsid w:val="00623155"/>
    <w:rsid w:val="008063C0"/>
    <w:rsid w:val="008559A1"/>
    <w:rsid w:val="009C51D6"/>
    <w:rsid w:val="00A12DF8"/>
    <w:rsid w:val="00A471F3"/>
    <w:rsid w:val="00A61F13"/>
    <w:rsid w:val="00AF0DA4"/>
    <w:rsid w:val="00AF6E7E"/>
    <w:rsid w:val="00B97142"/>
    <w:rsid w:val="00C11F1F"/>
    <w:rsid w:val="00D9008F"/>
    <w:rsid w:val="00E6126C"/>
    <w:rsid w:val="00E66583"/>
    <w:rsid w:val="01B574D5"/>
    <w:rsid w:val="20085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uiPriority w:val="0"/>
    <w:rPr>
      <w:szCs w:val="20"/>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143</Words>
  <Characters>820</Characters>
  <Lines>6</Lines>
  <Paragraphs>1</Paragraphs>
  <TotalTime>2</TotalTime>
  <ScaleCrop>false</ScaleCrop>
  <LinksUpToDate>false</LinksUpToDate>
  <CharactersWithSpaces>962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2023-03-20T01:15:00Z</dcterms:created>
  <dc:creator>Windows User</dc:creator>
  <cp:lastModifiedBy>cici</cp:lastModifiedBy>
  <dcterms:modified xsi:type="dcterms:W3CDTF">2024-03-27T08:59:00Z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2C0101E329EF4CBAB279755FFA9F366E</vt:lpwstr>
  </property>
</Properties>
</file>