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7136A" w14:textId="4AC311E0" w:rsidR="00CA7436" w:rsidRDefault="00BF1423" w:rsidP="00EC02A6">
      <w:pPr>
        <w:spacing w:afterLines="50" w:after="156" w:line="360" w:lineRule="auto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如皋市</w:t>
      </w:r>
      <w:r w:rsidR="008C596A" w:rsidRPr="008C596A">
        <w:rPr>
          <w:rFonts w:ascii="黑体" w:eastAsia="黑体" w:hAnsi="黑体" w:cs="Times New Roman"/>
          <w:b/>
          <w:sz w:val="30"/>
          <w:szCs w:val="30"/>
        </w:rPr>
        <w:t>水稻</w:t>
      </w:r>
      <w:r w:rsidR="00636BCB" w:rsidRPr="00636BCB">
        <w:rPr>
          <w:rFonts w:ascii="黑体" w:eastAsia="黑体" w:hAnsi="黑体" w:cs="Times New Roman" w:hint="eastAsia"/>
          <w:b/>
          <w:sz w:val="30"/>
          <w:szCs w:val="30"/>
        </w:rPr>
        <w:t>关键生育期</w:t>
      </w:r>
      <w:r w:rsidR="008C596A" w:rsidRPr="008C596A">
        <w:rPr>
          <w:rFonts w:ascii="黑体" w:eastAsia="黑体" w:hAnsi="黑体" w:cs="Times New Roman"/>
          <w:b/>
          <w:sz w:val="30"/>
          <w:szCs w:val="30"/>
        </w:rPr>
        <w:t>长势</w:t>
      </w:r>
      <w:r w:rsidR="008C596A" w:rsidRPr="008C596A">
        <w:rPr>
          <w:rFonts w:ascii="黑体" w:eastAsia="黑体" w:hAnsi="黑体" w:cs="Times New Roman" w:hint="eastAsia"/>
          <w:b/>
          <w:sz w:val="30"/>
          <w:szCs w:val="30"/>
        </w:rPr>
        <w:t>遥感</w:t>
      </w:r>
      <w:r w:rsidR="008C596A" w:rsidRPr="008C596A">
        <w:rPr>
          <w:rFonts w:ascii="黑体" w:eastAsia="黑体" w:hAnsi="黑体" w:cs="Times New Roman"/>
          <w:b/>
          <w:sz w:val="30"/>
          <w:szCs w:val="30"/>
        </w:rPr>
        <w:t>监测</w:t>
      </w:r>
      <w:r w:rsidR="008C596A" w:rsidRPr="008C596A">
        <w:rPr>
          <w:rFonts w:ascii="黑体" w:eastAsia="黑体" w:hAnsi="黑体" w:cs="Times New Roman" w:hint="eastAsia"/>
          <w:b/>
          <w:sz w:val="30"/>
          <w:szCs w:val="30"/>
        </w:rPr>
        <w:t>与定量诊断</w:t>
      </w:r>
      <w:r w:rsidR="001B6CC0">
        <w:rPr>
          <w:rFonts w:ascii="黑体" w:eastAsia="黑体" w:hAnsi="黑体" w:cs="Times New Roman" w:hint="eastAsia"/>
          <w:b/>
          <w:sz w:val="30"/>
          <w:szCs w:val="30"/>
        </w:rPr>
        <w:t>技术意见</w:t>
      </w:r>
    </w:p>
    <w:p w14:paraId="3891A3FB" w14:textId="464C9359" w:rsidR="0055400E" w:rsidRDefault="0055400E" w:rsidP="00EC02A6">
      <w:pPr>
        <w:spacing w:afterLines="50" w:after="156" w:line="360" w:lineRule="auto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如皋市农业技术推广中心</w:t>
      </w:r>
    </w:p>
    <w:p w14:paraId="078486E1" w14:textId="7A096C94" w:rsidR="00D213F3" w:rsidRPr="00E275FE" w:rsidRDefault="00D213F3" w:rsidP="00E275FE">
      <w:pPr>
        <w:spacing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为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全力打好疫情防控阻击战，保障全年农业丰产和农民增收，</w:t>
      </w:r>
      <w:r>
        <w:rPr>
          <w:rFonts w:ascii="Times New Roman" w:eastAsia="宋体" w:hAnsi="Times New Roman" w:cs="Times New Roman" w:hint="eastAsia"/>
          <w:sz w:val="24"/>
          <w:szCs w:val="24"/>
        </w:rPr>
        <w:t>南京农业大学</w:t>
      </w:r>
      <w:r w:rsidR="002C213E" w:rsidRPr="002C213E">
        <w:rPr>
          <w:rFonts w:ascii="Times New Roman" w:eastAsia="宋体" w:hAnsi="Times New Roman" w:cs="Times New Roman" w:hint="eastAsia"/>
          <w:sz w:val="24"/>
          <w:szCs w:val="24"/>
        </w:rPr>
        <w:t>国家信息农业工程技术中心</w:t>
      </w:r>
      <w:r>
        <w:rPr>
          <w:rFonts w:ascii="Times New Roman" w:eastAsia="宋体" w:hAnsi="Times New Roman" w:cs="Times New Roman" w:hint="eastAsia"/>
          <w:sz w:val="24"/>
          <w:szCs w:val="24"/>
        </w:rPr>
        <w:t>联合如皋市农业农村局、如皋市农技推广中心，利用遥感监测诊断技术，对如皋市和</w:t>
      </w:r>
      <w:r w:rsidR="002C213E">
        <w:rPr>
          <w:rFonts w:ascii="Times New Roman" w:eastAsia="宋体" w:hAnsi="Times New Roman" w:cs="Times New Roman"/>
          <w:sz w:val="24"/>
          <w:szCs w:val="24"/>
        </w:rPr>
        <w:t>如皋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稻麦综合</w:t>
      </w:r>
      <w:r w:rsidR="002C213E">
        <w:rPr>
          <w:rFonts w:ascii="Times New Roman" w:eastAsia="宋体" w:hAnsi="Times New Roman" w:cs="Times New Roman"/>
          <w:sz w:val="24"/>
          <w:szCs w:val="24"/>
        </w:rPr>
        <w:t>试验示范基地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（以下简称</w:t>
      </w:r>
      <w:r w:rsidR="00E275FE">
        <w:rPr>
          <w:rFonts w:ascii="Times New Roman" w:eastAsia="宋体" w:hAnsi="Times New Roman" w:cs="Times New Roman" w:hint="eastAsia"/>
          <w:sz w:val="24"/>
          <w:szCs w:val="24"/>
        </w:rPr>
        <w:t>如皋基地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2C213E">
        <w:rPr>
          <w:rFonts w:ascii="Times New Roman" w:eastAsia="宋体" w:hAnsi="Times New Roman" w:cs="Times New Roman"/>
          <w:sz w:val="24"/>
          <w:szCs w:val="24"/>
        </w:rPr>
        <w:t>水稻分蘖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盛</w:t>
      </w:r>
      <w:r w:rsidR="002C213E">
        <w:rPr>
          <w:rFonts w:ascii="Times New Roman" w:eastAsia="宋体" w:hAnsi="Times New Roman" w:cs="Times New Roman"/>
          <w:sz w:val="24"/>
          <w:szCs w:val="24"/>
        </w:rPr>
        <w:t>期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及拔节期</w:t>
      </w:r>
      <w:r>
        <w:rPr>
          <w:rFonts w:ascii="Times New Roman" w:eastAsia="宋体" w:hAnsi="Times New Roman" w:cs="Times New Roman" w:hint="eastAsia"/>
          <w:sz w:val="24"/>
          <w:szCs w:val="24"/>
        </w:rPr>
        <w:t>叶面积指数（</w:t>
      </w:r>
      <w:r>
        <w:rPr>
          <w:rFonts w:ascii="Times New Roman" w:eastAsia="宋体" w:hAnsi="Times New Roman" w:cs="Times New Roman"/>
          <w:sz w:val="24"/>
          <w:szCs w:val="24"/>
        </w:rPr>
        <w:t>LAI</w:t>
      </w:r>
      <w:r>
        <w:rPr>
          <w:rFonts w:ascii="Times New Roman" w:eastAsia="宋体" w:hAnsi="Times New Roman" w:cs="Times New Roman" w:hint="eastAsia"/>
          <w:sz w:val="24"/>
          <w:szCs w:val="24"/>
        </w:rPr>
        <w:t>）和叶片氮积累量（</w:t>
      </w:r>
      <w:r>
        <w:rPr>
          <w:rFonts w:ascii="Times New Roman" w:eastAsia="宋体" w:hAnsi="Times New Roman" w:cs="Times New Roman"/>
          <w:sz w:val="24"/>
          <w:szCs w:val="24"/>
        </w:rPr>
        <w:t>LNA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进行</w:t>
      </w:r>
      <w:r>
        <w:rPr>
          <w:rFonts w:ascii="Times New Roman" w:eastAsia="宋体" w:hAnsi="Times New Roman" w:cs="Times New Roman" w:hint="eastAsia"/>
          <w:sz w:val="24"/>
          <w:szCs w:val="24"/>
        </w:rPr>
        <w:t>监测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分析</w:t>
      </w:r>
      <w:r>
        <w:rPr>
          <w:rFonts w:ascii="Times New Roman" w:eastAsia="宋体" w:hAnsi="Times New Roman" w:cs="Times New Roman" w:hint="eastAsia"/>
          <w:sz w:val="24"/>
          <w:szCs w:val="24"/>
        </w:rPr>
        <w:t>，进而推荐</w:t>
      </w:r>
      <w:r w:rsidRPr="00D213F3">
        <w:rPr>
          <w:rFonts w:ascii="Times New Roman" w:eastAsia="宋体" w:hAnsi="Times New Roman" w:cs="Times New Roman" w:hint="eastAsia"/>
          <w:sz w:val="24"/>
          <w:szCs w:val="24"/>
        </w:rPr>
        <w:t>水稻穗肥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及保花肥</w:t>
      </w:r>
      <w:r w:rsidRPr="00D213F3">
        <w:rPr>
          <w:rFonts w:ascii="Times New Roman" w:eastAsia="宋体" w:hAnsi="Times New Roman" w:cs="Times New Roman" w:hint="eastAsia"/>
          <w:sz w:val="24"/>
          <w:szCs w:val="24"/>
        </w:rPr>
        <w:t>施用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量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4BE7F23E" w14:textId="28C604D9" w:rsidR="008C596A" w:rsidRPr="008C596A" w:rsidRDefault="008C596A" w:rsidP="00EC02A6">
      <w:pPr>
        <w:spacing w:line="360" w:lineRule="auto"/>
        <w:rPr>
          <w:rFonts w:ascii="黑体" w:eastAsia="黑体" w:hAnsi="黑体"/>
          <w:b/>
          <w:sz w:val="24"/>
        </w:rPr>
      </w:pPr>
      <w:r w:rsidRPr="008C596A">
        <w:rPr>
          <w:rFonts w:ascii="黑体" w:eastAsia="黑体" w:hAnsi="黑体" w:hint="eastAsia"/>
          <w:b/>
          <w:sz w:val="24"/>
        </w:rPr>
        <w:t>一、水稻分蘖期长势遥感监测与定量诊断</w:t>
      </w:r>
    </w:p>
    <w:p w14:paraId="3F0E3D14" w14:textId="25ABCF83" w:rsidR="00BF1423" w:rsidRDefault="00BF1423" w:rsidP="00BF1423">
      <w:pPr>
        <w:spacing w:line="360" w:lineRule="auto"/>
        <w:ind w:firstLine="52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如皋基地水稻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穗</w:t>
      </w:r>
      <w:r>
        <w:rPr>
          <w:rFonts w:ascii="Times New Roman" w:eastAsia="宋体" w:hAnsi="Times New Roman" w:cs="Times New Roman" w:hint="eastAsia"/>
          <w:sz w:val="24"/>
          <w:szCs w:val="24"/>
        </w:rPr>
        <w:t>肥施用方案图（图</w:t>
      </w:r>
      <w:r w:rsidR="00ED3179"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>）显示，</w:t>
      </w:r>
      <w:r w:rsidR="002C213E">
        <w:rPr>
          <w:rFonts w:ascii="Times New Roman" w:eastAsia="宋体" w:hAnsi="Times New Roman" w:cs="Times New Roman" w:hint="eastAsia"/>
          <w:sz w:val="24"/>
          <w:szCs w:val="24"/>
        </w:rPr>
        <w:t>穗肥</w:t>
      </w:r>
      <w:r>
        <w:rPr>
          <w:rFonts w:ascii="Times New Roman" w:eastAsia="宋体" w:hAnsi="Times New Roman" w:cs="Times New Roman" w:hint="eastAsia"/>
          <w:sz w:val="24"/>
          <w:szCs w:val="24"/>
        </w:rPr>
        <w:t>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&lt;</w:t>
      </w:r>
      <w:r>
        <w:rPr>
          <w:rFonts w:ascii="Times New Roman" w:eastAsia="宋体" w:hAnsi="Times New Roman" w:cs="Times New Roman"/>
          <w:sz w:val="24"/>
          <w:szCs w:val="24"/>
        </w:rPr>
        <w:t>75</w:t>
      </w:r>
      <w:r>
        <w:rPr>
          <w:rFonts w:ascii="Times New Roman" w:eastAsia="宋体" w:hAnsi="Times New Roman" w:cs="Times New Roman" w:hint="eastAsia"/>
          <w:sz w:val="24"/>
          <w:szCs w:val="24"/>
        </w:rPr>
        <w:t>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7.5%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，主要为基础肥力较高，长势较好的田块；施用量在</w:t>
      </w:r>
      <w:r>
        <w:rPr>
          <w:rFonts w:ascii="Times New Roman" w:eastAsia="宋体" w:hAnsi="Times New Roman" w:cs="Times New Roman" w:hint="eastAsia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>5-105</w:t>
      </w:r>
      <w:r>
        <w:rPr>
          <w:rFonts w:ascii="Times New Roman" w:eastAsia="宋体" w:hAnsi="Times New Roman" w:cs="Times New Roman" w:hint="eastAsia"/>
          <w:sz w:val="24"/>
          <w:szCs w:val="24"/>
        </w:rPr>
        <w:t>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 w:hint="eastAsia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2.5%</w:t>
      </w:r>
      <w:r>
        <w:rPr>
          <w:rFonts w:ascii="Times New Roman" w:eastAsia="宋体" w:hAnsi="Times New Roman" w:cs="Times New Roman" w:hint="eastAsia"/>
          <w:sz w:val="24"/>
          <w:szCs w:val="24"/>
        </w:rPr>
        <w:t>，说明大部分田块肥力一致；施用量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&gt;</w:t>
      </w:r>
      <w:r>
        <w:rPr>
          <w:rFonts w:ascii="Times New Roman" w:eastAsia="宋体" w:hAnsi="Times New Roman" w:cs="Times New Roman"/>
          <w:sz w:val="24"/>
          <w:szCs w:val="24"/>
        </w:rPr>
        <w:t>105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，主要集中在部分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低氮处理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的试验小区。与如皋市的</w:t>
      </w:r>
      <w:r w:rsidR="004D1C17">
        <w:rPr>
          <w:rFonts w:ascii="Times New Roman" w:eastAsia="宋体" w:hAnsi="Times New Roman" w:cs="Times New Roman" w:hint="eastAsia"/>
          <w:sz w:val="24"/>
          <w:szCs w:val="24"/>
        </w:rPr>
        <w:t>穗肥</w:t>
      </w:r>
      <w:r>
        <w:rPr>
          <w:rFonts w:ascii="Times New Roman" w:eastAsia="宋体" w:hAnsi="Times New Roman" w:cs="Times New Roman" w:hint="eastAsia"/>
          <w:sz w:val="24"/>
          <w:szCs w:val="24"/>
        </w:rPr>
        <w:t>施用方案</w:t>
      </w:r>
      <w:r w:rsidR="00ED3179">
        <w:rPr>
          <w:rFonts w:ascii="Times New Roman" w:eastAsia="宋体" w:hAnsi="Times New Roman" w:cs="Times New Roman" w:hint="eastAsia"/>
          <w:sz w:val="24"/>
          <w:szCs w:val="24"/>
        </w:rPr>
        <w:t>（图</w:t>
      </w:r>
      <w:r w:rsidR="00ED3179">
        <w:rPr>
          <w:rFonts w:ascii="Times New Roman" w:eastAsia="宋体" w:hAnsi="Times New Roman" w:cs="Times New Roman"/>
          <w:sz w:val="24"/>
          <w:szCs w:val="24"/>
        </w:rPr>
        <w:t>6</w:t>
      </w:r>
      <w:r w:rsidR="00ED3179">
        <w:rPr>
          <w:rFonts w:ascii="Times New Roman" w:eastAsia="宋体" w:hAnsi="Times New Roman" w:cs="Times New Roman" w:hint="eastAsia"/>
          <w:sz w:val="24"/>
          <w:szCs w:val="24"/>
        </w:rPr>
        <w:t>）</w:t>
      </w:r>
      <w:r>
        <w:rPr>
          <w:rFonts w:ascii="Times New Roman" w:eastAsia="宋体" w:hAnsi="Times New Roman" w:cs="Times New Roman" w:hint="eastAsia"/>
          <w:sz w:val="24"/>
          <w:szCs w:val="24"/>
        </w:rPr>
        <w:t>对比，如皋基地的变量施肥差异更明显，而如皋市的</w:t>
      </w:r>
      <w:r w:rsidR="004D1C17">
        <w:rPr>
          <w:rFonts w:ascii="Times New Roman" w:eastAsia="宋体" w:hAnsi="Times New Roman" w:cs="Times New Roman" w:hint="eastAsia"/>
          <w:sz w:val="24"/>
          <w:szCs w:val="24"/>
        </w:rPr>
        <w:t>穗肥</w:t>
      </w:r>
      <w:r>
        <w:rPr>
          <w:rFonts w:ascii="Times New Roman" w:eastAsia="宋体" w:hAnsi="Times New Roman" w:cs="Times New Roman" w:hint="eastAsia"/>
          <w:sz w:val="24"/>
          <w:szCs w:val="24"/>
        </w:rPr>
        <w:t>施用量基本集中在</w:t>
      </w:r>
      <w:r>
        <w:rPr>
          <w:rFonts w:ascii="Times New Roman" w:eastAsia="宋体" w:hAnsi="Times New Roman" w:cs="Times New Roman" w:hint="eastAsia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 xml:space="preserve">5-105 </w:t>
      </w:r>
      <w:r>
        <w:rPr>
          <w:rFonts w:ascii="Times New Roman" w:eastAsia="宋体" w:hAnsi="Times New Roman" w:cs="Times New Roman" w:hint="eastAsia"/>
          <w:sz w:val="24"/>
          <w:szCs w:val="24"/>
        </w:rPr>
        <w:t>kg/</w:t>
      </w:r>
      <w:r>
        <w:rPr>
          <w:rFonts w:ascii="Times New Roman" w:eastAsia="宋体" w:hAnsi="Times New Roman" w:cs="Times New Roman"/>
          <w:sz w:val="24"/>
          <w:szCs w:val="24"/>
        </w:rPr>
        <w:t>ha</w:t>
      </w:r>
      <w:r>
        <w:rPr>
          <w:rFonts w:ascii="Times New Roman" w:eastAsia="宋体" w:hAnsi="Times New Roman" w:cs="Times New Roman" w:hint="eastAsia"/>
          <w:sz w:val="24"/>
          <w:szCs w:val="24"/>
        </w:rPr>
        <w:t>纯氮。</w:t>
      </w:r>
    </w:p>
    <w:p w14:paraId="446CEFE1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653275CE" wp14:editId="5BDE5C97">
            <wp:extent cx="3720465" cy="2879725"/>
            <wp:effectExtent l="0" t="0" r="133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FA4A" w14:textId="4AFD8E56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1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</w:t>
      </w:r>
      <w:r w:rsidR="00040CA3">
        <w:rPr>
          <w:rFonts w:ascii="宋体" w:eastAsia="宋体" w:hAnsi="宋体" w:hint="eastAsia"/>
          <w:szCs w:val="21"/>
        </w:rPr>
        <w:t>分蘖期</w:t>
      </w:r>
      <w:r>
        <w:rPr>
          <w:rFonts w:ascii="宋体" w:eastAsia="宋体" w:hAnsi="宋体" w:hint="eastAsia"/>
          <w:szCs w:val="21"/>
        </w:rPr>
        <w:t>LAI监测图</w:t>
      </w:r>
    </w:p>
    <w:p w14:paraId="298FDCE0" w14:textId="3A21F84E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7C92F740" wp14:editId="2D244FC2">
            <wp:extent cx="3599815" cy="359981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37BF" w14:textId="52660344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2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年如皋市水稻</w:t>
      </w:r>
      <w:r w:rsidR="00040CA3">
        <w:rPr>
          <w:rFonts w:ascii="宋体" w:eastAsia="宋体" w:hAnsi="宋体" w:hint="eastAsia"/>
          <w:szCs w:val="21"/>
        </w:rPr>
        <w:t>分蘖期</w:t>
      </w:r>
      <w:r>
        <w:rPr>
          <w:rFonts w:ascii="宋体" w:eastAsia="宋体" w:hAnsi="宋体" w:hint="eastAsia"/>
          <w:szCs w:val="21"/>
        </w:rPr>
        <w:t>LAI监测图</w:t>
      </w:r>
    </w:p>
    <w:p w14:paraId="7AF05282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</w:p>
    <w:p w14:paraId="42D9BD2B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</w:p>
    <w:p w14:paraId="363B022C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75749A74" wp14:editId="15565253">
            <wp:extent cx="3721100" cy="2879725"/>
            <wp:effectExtent l="0" t="0" r="1270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2CE0" w14:textId="5A5FCAA8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3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</w:t>
      </w:r>
      <w:r w:rsidR="00040CA3">
        <w:rPr>
          <w:rFonts w:ascii="宋体" w:eastAsia="宋体" w:hAnsi="宋体" w:hint="eastAsia"/>
          <w:szCs w:val="21"/>
        </w:rPr>
        <w:t>分蘖期</w:t>
      </w:r>
      <w:r>
        <w:rPr>
          <w:rFonts w:ascii="宋体" w:eastAsia="宋体" w:hAnsi="宋体" w:hint="eastAsia"/>
          <w:szCs w:val="21"/>
        </w:rPr>
        <w:t>LNA监测</w:t>
      </w:r>
      <w:r w:rsidR="000F4B91">
        <w:rPr>
          <w:rFonts w:ascii="宋体" w:eastAsia="宋体" w:hAnsi="宋体" w:hint="eastAsia"/>
          <w:szCs w:val="21"/>
        </w:rPr>
        <w:t>分布</w:t>
      </w:r>
      <w:r>
        <w:rPr>
          <w:rFonts w:ascii="宋体" w:eastAsia="宋体" w:hAnsi="宋体" w:hint="eastAsia"/>
          <w:szCs w:val="21"/>
        </w:rPr>
        <w:t>图</w:t>
      </w:r>
    </w:p>
    <w:p w14:paraId="76F94D83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</w:p>
    <w:p w14:paraId="551F8703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2BA0E922" wp14:editId="571C92EB">
            <wp:extent cx="3599815" cy="3599815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A1FF" w14:textId="037E7F0E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4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年如皋市水稻</w:t>
      </w:r>
      <w:r w:rsidR="00040CA3">
        <w:rPr>
          <w:rFonts w:ascii="宋体" w:eastAsia="宋体" w:hAnsi="宋体" w:hint="eastAsia"/>
          <w:szCs w:val="21"/>
        </w:rPr>
        <w:t>分蘖期</w:t>
      </w:r>
      <w:r>
        <w:rPr>
          <w:rFonts w:ascii="宋体" w:eastAsia="宋体" w:hAnsi="宋体" w:hint="eastAsia"/>
          <w:szCs w:val="21"/>
        </w:rPr>
        <w:t>LNA监测</w:t>
      </w:r>
      <w:r w:rsidR="000F4B91">
        <w:rPr>
          <w:rFonts w:ascii="宋体" w:eastAsia="宋体" w:hAnsi="宋体" w:hint="eastAsia"/>
          <w:szCs w:val="21"/>
        </w:rPr>
        <w:t>分布</w:t>
      </w:r>
      <w:r>
        <w:rPr>
          <w:rFonts w:ascii="宋体" w:eastAsia="宋体" w:hAnsi="宋体" w:hint="eastAsia"/>
          <w:szCs w:val="21"/>
        </w:rPr>
        <w:t>图</w:t>
      </w:r>
    </w:p>
    <w:p w14:paraId="7F712F01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</w:p>
    <w:p w14:paraId="34253033" w14:textId="77777777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D3F9C01" wp14:editId="5C5080AB">
            <wp:extent cx="3720465" cy="2879725"/>
            <wp:effectExtent l="0" t="0" r="1333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F1AB" w14:textId="47650C01" w:rsidR="00BF1423" w:rsidRDefault="00BF1423" w:rsidP="00BF1423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5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</w:t>
      </w:r>
      <w:r w:rsidR="002C213E">
        <w:rPr>
          <w:rFonts w:ascii="宋体" w:eastAsia="宋体" w:hAnsi="宋体" w:hint="eastAsia"/>
          <w:szCs w:val="21"/>
        </w:rPr>
        <w:t>穗</w:t>
      </w:r>
      <w:r w:rsidR="00E60481">
        <w:rPr>
          <w:rFonts w:ascii="宋体" w:eastAsia="宋体" w:hAnsi="宋体" w:hint="eastAsia"/>
          <w:szCs w:val="21"/>
        </w:rPr>
        <w:t>肥</w:t>
      </w:r>
      <w:r>
        <w:rPr>
          <w:rFonts w:ascii="宋体" w:eastAsia="宋体" w:hAnsi="宋体" w:hint="eastAsia"/>
          <w:szCs w:val="21"/>
        </w:rPr>
        <w:t>施用</w:t>
      </w:r>
      <w:r w:rsidR="006E5CD4">
        <w:rPr>
          <w:rFonts w:ascii="宋体" w:eastAsia="宋体" w:hAnsi="宋体" w:hint="eastAsia"/>
          <w:szCs w:val="21"/>
        </w:rPr>
        <w:t>量处方</w:t>
      </w:r>
      <w:r>
        <w:rPr>
          <w:rFonts w:ascii="宋体" w:eastAsia="宋体" w:hAnsi="宋体" w:hint="eastAsia"/>
          <w:szCs w:val="21"/>
        </w:rPr>
        <w:t>图</w:t>
      </w:r>
    </w:p>
    <w:p w14:paraId="54EF944F" w14:textId="5A49567D" w:rsidR="001B6CC0" w:rsidRDefault="001B6CC0" w:rsidP="001B6CC0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4059345" wp14:editId="073D6B48">
            <wp:extent cx="3601720" cy="3601720"/>
            <wp:effectExtent l="0" t="0" r="0" b="0"/>
            <wp:docPr id="10" name="图片 10" descr="C:\Users\郭彩丽\AppData\Local\Temp\ksohtml8325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郭彩丽\AppData\Local\Temp\ksohtml83256\wps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772A" w14:textId="745098BD" w:rsidR="001B6CC0" w:rsidRDefault="001B6CC0" w:rsidP="001B6CC0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 w:rsidR="00ED3179">
        <w:rPr>
          <w:rFonts w:ascii="宋体" w:eastAsia="宋体" w:hAnsi="宋体"/>
        </w:rPr>
        <w:t>6</w:t>
      </w:r>
      <w:r w:rsidR="00ED3179"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2021年如皋市水稻穗肥施用方案图（分蘖期）</w:t>
      </w:r>
    </w:p>
    <w:p w14:paraId="0A333B48" w14:textId="77777777" w:rsidR="001B6CC0" w:rsidRPr="001B6CC0" w:rsidRDefault="001B6CC0" w:rsidP="00BF1423">
      <w:pPr>
        <w:jc w:val="center"/>
        <w:rPr>
          <w:rFonts w:ascii="宋体" w:eastAsia="宋体" w:hAnsi="宋体"/>
          <w:szCs w:val="21"/>
        </w:rPr>
      </w:pPr>
    </w:p>
    <w:p w14:paraId="3261D822" w14:textId="77777777" w:rsidR="00BF1423" w:rsidRDefault="00BF1423" w:rsidP="00BF1423">
      <w:pPr>
        <w:rPr>
          <w:rFonts w:ascii="宋体" w:eastAsia="宋体" w:hAnsi="宋体"/>
          <w:szCs w:val="21"/>
        </w:rPr>
      </w:pPr>
    </w:p>
    <w:p w14:paraId="5B7AB38D" w14:textId="75D4E300" w:rsidR="008C596A" w:rsidRPr="008C596A" w:rsidRDefault="00BF1423" w:rsidP="00EC02A6">
      <w:pPr>
        <w:spacing w:line="360" w:lineRule="auto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二</w:t>
      </w:r>
      <w:r w:rsidR="008C596A" w:rsidRPr="008C596A">
        <w:rPr>
          <w:rFonts w:ascii="黑体" w:eastAsia="黑体" w:hAnsi="黑体" w:hint="eastAsia"/>
          <w:b/>
          <w:sz w:val="24"/>
        </w:rPr>
        <w:t>、水稻拔节期长势遥感监测与定量诊断</w:t>
      </w:r>
    </w:p>
    <w:p w14:paraId="65D1A064" w14:textId="47EE9F22" w:rsidR="000D1057" w:rsidRDefault="000D1057" w:rsidP="000D1057">
      <w:pPr>
        <w:spacing w:line="360" w:lineRule="auto"/>
        <w:ind w:firstLine="52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基地水稻保花肥施用方案图（图</w:t>
      </w:r>
      <w:r w:rsidR="00ED3179">
        <w:rPr>
          <w:rFonts w:ascii="Times New Roman" w:eastAsia="宋体" w:hAnsi="Times New Roman" w:cs="Times New Roman"/>
          <w:sz w:val="24"/>
          <w:szCs w:val="24"/>
        </w:rPr>
        <w:t>11</w:t>
      </w:r>
      <w:r>
        <w:rPr>
          <w:rFonts w:ascii="Times New Roman" w:eastAsia="宋体" w:hAnsi="Times New Roman" w:cs="Times New Roman" w:hint="eastAsia"/>
          <w:sz w:val="24"/>
          <w:szCs w:val="24"/>
        </w:rPr>
        <w:t>）显示，保花肥施用量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&lt;</w:t>
      </w:r>
      <w:r>
        <w:rPr>
          <w:rFonts w:ascii="Times New Roman" w:eastAsia="宋体" w:hAnsi="Times New Roman" w:cs="Times New Roman"/>
          <w:sz w:val="24"/>
          <w:szCs w:val="24"/>
        </w:rPr>
        <w:t xml:space="preserve">30 </w:t>
      </w:r>
      <w:r>
        <w:rPr>
          <w:rFonts w:ascii="Times New Roman" w:eastAsia="宋体" w:hAnsi="Times New Roman" w:cs="Times New Roman" w:hint="eastAsia"/>
          <w:sz w:val="24"/>
          <w:szCs w:val="24"/>
        </w:rPr>
        <w:t>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2.7%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，主要为基础肥力较高，长势较好的田块和部分试验小区；保花肥施用量在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0-50</w:t>
      </w:r>
      <w:r>
        <w:rPr>
          <w:rFonts w:ascii="Times New Roman" w:eastAsia="宋体" w:hAnsi="Times New Roman" w:cs="Times New Roman" w:hint="eastAsia"/>
          <w:sz w:val="24"/>
          <w:szCs w:val="24"/>
        </w:rPr>
        <w:t>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/>
          <w:sz w:val="24"/>
          <w:szCs w:val="24"/>
        </w:rPr>
        <w:t>60.9%</w:t>
      </w:r>
      <w:r>
        <w:rPr>
          <w:rFonts w:ascii="Times New Roman" w:eastAsia="宋体" w:hAnsi="Times New Roman" w:cs="Times New Roman" w:hint="eastAsia"/>
          <w:sz w:val="24"/>
          <w:szCs w:val="24"/>
        </w:rPr>
        <w:t>，说明大部分田块肥力一致；保花肥施用量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&gt;</w:t>
      </w:r>
      <w:r>
        <w:rPr>
          <w:rFonts w:ascii="Times New Roman" w:eastAsia="宋体" w:hAnsi="Times New Roman" w:cs="Times New Roman"/>
          <w:sz w:val="24"/>
          <w:szCs w:val="24"/>
        </w:rPr>
        <w:t>50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kg</w:t>
      </w:r>
      <w:r>
        <w:rPr>
          <w:rFonts w:ascii="Times New Roman" w:eastAsia="宋体" w:hAnsi="Times New Roman" w:cs="Times New Roman"/>
          <w:sz w:val="24"/>
          <w:szCs w:val="24"/>
        </w:rPr>
        <w:t>/ha</w:t>
      </w:r>
      <w:r>
        <w:rPr>
          <w:rFonts w:ascii="Times New Roman" w:eastAsia="宋体" w:hAnsi="Times New Roman" w:cs="Times New Roman" w:hint="eastAsia"/>
          <w:sz w:val="24"/>
          <w:szCs w:val="24"/>
        </w:rPr>
        <w:t>纯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氮区域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占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6.4%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，主要集中在部分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低氮处理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的试验小区。与如皋市的保花肥施用方案（图</w:t>
      </w:r>
      <w:r w:rsidR="00ED3179">
        <w:rPr>
          <w:rFonts w:ascii="Times New Roman" w:eastAsia="宋体" w:hAnsi="Times New Roman" w:cs="Times New Roman"/>
          <w:sz w:val="24"/>
          <w:szCs w:val="24"/>
        </w:rPr>
        <w:t>12</w:t>
      </w:r>
      <w:r>
        <w:rPr>
          <w:rFonts w:ascii="Times New Roman" w:eastAsia="宋体" w:hAnsi="Times New Roman" w:cs="Times New Roman" w:hint="eastAsia"/>
          <w:sz w:val="24"/>
          <w:szCs w:val="24"/>
        </w:rPr>
        <w:t>）对比，如皋基地的变量施肥差异更明显。</w:t>
      </w:r>
    </w:p>
    <w:p w14:paraId="3602FD83" w14:textId="1E7B2FF0" w:rsidR="000D1057" w:rsidRDefault="000D1057" w:rsidP="000D1057">
      <w:pPr>
        <w:spacing w:line="360" w:lineRule="auto"/>
        <w:ind w:firstLine="528"/>
        <w:rPr>
          <w:rFonts w:ascii="Times New Roman" w:eastAsia="宋体" w:hAnsi="Times New Roman" w:cs="Times New Roman"/>
          <w:sz w:val="24"/>
          <w:szCs w:val="24"/>
        </w:rPr>
      </w:pPr>
      <w:r w:rsidRPr="008320E2">
        <w:rPr>
          <w:rFonts w:ascii="Times New Roman" w:eastAsia="宋体" w:hAnsi="Times New Roman" w:cs="Times New Roman" w:hint="eastAsia"/>
          <w:sz w:val="24"/>
          <w:szCs w:val="24"/>
        </w:rPr>
        <w:t>如皋市</w:t>
      </w:r>
      <w:r>
        <w:rPr>
          <w:rFonts w:ascii="Times New Roman" w:eastAsia="宋体" w:hAnsi="Times New Roman" w:cs="Times New Roman" w:hint="eastAsia"/>
          <w:sz w:val="24"/>
          <w:szCs w:val="24"/>
        </w:rPr>
        <w:t>西北</w:t>
      </w:r>
      <w:r w:rsidRPr="008320E2">
        <w:rPr>
          <w:rFonts w:ascii="Times New Roman" w:eastAsia="宋体" w:hAnsi="Times New Roman" w:cs="Times New Roman"/>
          <w:sz w:val="24"/>
          <w:szCs w:val="24"/>
        </w:rPr>
        <w:t>部乡镇</w:t>
      </w:r>
      <w:r w:rsidR="001B3D55" w:rsidRPr="008320E2">
        <w:rPr>
          <w:rFonts w:ascii="Times New Roman" w:eastAsia="宋体" w:hAnsi="Times New Roman" w:cs="Times New Roman" w:hint="eastAsia"/>
          <w:sz w:val="24"/>
          <w:szCs w:val="24"/>
        </w:rPr>
        <w:t>水稻</w:t>
      </w:r>
      <w:r w:rsidRPr="008320E2">
        <w:rPr>
          <w:rFonts w:ascii="Times New Roman" w:eastAsia="宋体" w:hAnsi="Times New Roman" w:cs="Times New Roman"/>
          <w:sz w:val="24"/>
          <w:szCs w:val="24"/>
        </w:rPr>
        <w:t>LAI</w:t>
      </w:r>
      <w:r w:rsidRPr="008320E2">
        <w:rPr>
          <w:rFonts w:ascii="Times New Roman" w:eastAsia="宋体" w:hAnsi="Times New Roman" w:cs="Times New Roman"/>
          <w:sz w:val="24"/>
          <w:szCs w:val="24"/>
        </w:rPr>
        <w:t>普遍处在较高水平</w:t>
      </w:r>
      <w:r>
        <w:rPr>
          <w:rFonts w:ascii="Times New Roman" w:eastAsia="宋体" w:hAnsi="Times New Roman" w:cs="Times New Roman" w:hint="eastAsia"/>
          <w:sz w:val="24"/>
          <w:szCs w:val="24"/>
        </w:rPr>
        <w:t>，中部部分乡镇部分地区长势较差，东部乡镇长势较为接近</w:t>
      </w:r>
      <w:r w:rsidR="001B3D55" w:rsidRPr="008320E2">
        <w:rPr>
          <w:rFonts w:ascii="Times New Roman" w:eastAsia="宋体" w:hAnsi="Times New Roman" w:cs="Times New Roman"/>
          <w:sz w:val="24"/>
          <w:szCs w:val="24"/>
        </w:rPr>
        <w:t>（图</w:t>
      </w:r>
      <w:r w:rsidR="001B3D55">
        <w:rPr>
          <w:rFonts w:ascii="Times New Roman" w:eastAsia="宋体" w:hAnsi="Times New Roman" w:cs="Times New Roman"/>
          <w:sz w:val="24"/>
          <w:szCs w:val="24"/>
        </w:rPr>
        <w:t>8</w:t>
      </w:r>
      <w:r w:rsidR="001B3D55" w:rsidRPr="008320E2">
        <w:rPr>
          <w:rFonts w:ascii="Times New Roman" w:eastAsia="宋体" w:hAnsi="Times New Roman" w:cs="Times New Roman"/>
          <w:sz w:val="24"/>
          <w:szCs w:val="24"/>
        </w:rPr>
        <w:t>）</w:t>
      </w:r>
      <w:r w:rsidRPr="008320E2">
        <w:rPr>
          <w:rFonts w:ascii="Times New Roman" w:eastAsia="宋体" w:hAnsi="Times New Roman" w:cs="Times New Roman"/>
          <w:sz w:val="24"/>
          <w:szCs w:val="24"/>
        </w:rPr>
        <w:t>。如皋市水稻</w:t>
      </w:r>
      <w:r w:rsidRPr="008320E2">
        <w:rPr>
          <w:rFonts w:ascii="Times New Roman" w:eastAsia="宋体" w:hAnsi="Times New Roman" w:cs="Times New Roman"/>
          <w:sz w:val="24"/>
          <w:szCs w:val="24"/>
        </w:rPr>
        <w:t>LNA</w:t>
      </w:r>
      <w:r w:rsidRPr="008320E2">
        <w:rPr>
          <w:rFonts w:ascii="Times New Roman" w:eastAsia="宋体" w:hAnsi="Times New Roman" w:cs="Times New Roman"/>
          <w:sz w:val="24"/>
          <w:szCs w:val="24"/>
        </w:rPr>
        <w:t>水平差异较显著，部</w:t>
      </w:r>
      <w:r>
        <w:rPr>
          <w:rFonts w:ascii="Times New Roman" w:eastAsia="宋体" w:hAnsi="Times New Roman" w:cs="Times New Roman" w:hint="eastAsia"/>
          <w:sz w:val="24"/>
          <w:szCs w:val="24"/>
        </w:rPr>
        <w:t>分</w:t>
      </w:r>
      <w:r w:rsidRPr="008320E2">
        <w:rPr>
          <w:rFonts w:ascii="Times New Roman" w:eastAsia="宋体" w:hAnsi="Times New Roman" w:cs="Times New Roman"/>
          <w:sz w:val="24"/>
          <w:szCs w:val="24"/>
        </w:rPr>
        <w:t>乡镇</w:t>
      </w:r>
      <w:r>
        <w:rPr>
          <w:rFonts w:ascii="Times New Roman" w:eastAsia="宋体" w:hAnsi="Times New Roman" w:cs="Times New Roman" w:hint="eastAsia"/>
          <w:sz w:val="24"/>
          <w:szCs w:val="24"/>
        </w:rPr>
        <w:t>内部差异也较明显</w:t>
      </w:r>
      <w:r w:rsidR="001B3D55" w:rsidRPr="008320E2">
        <w:rPr>
          <w:rFonts w:ascii="Times New Roman" w:eastAsia="宋体" w:hAnsi="Times New Roman" w:cs="Times New Roman"/>
          <w:sz w:val="24"/>
          <w:szCs w:val="24"/>
        </w:rPr>
        <w:t>（图</w:t>
      </w:r>
      <w:r w:rsidR="001B3D55">
        <w:rPr>
          <w:rFonts w:ascii="Times New Roman" w:eastAsia="宋体" w:hAnsi="Times New Roman" w:cs="Times New Roman"/>
          <w:sz w:val="24"/>
          <w:szCs w:val="24"/>
        </w:rPr>
        <w:t>10</w:t>
      </w:r>
      <w:r w:rsidR="001B3D55" w:rsidRPr="008320E2">
        <w:rPr>
          <w:rFonts w:ascii="Times New Roman" w:eastAsia="宋体" w:hAnsi="Times New Roman" w:cs="Times New Roman"/>
          <w:sz w:val="24"/>
          <w:szCs w:val="24"/>
        </w:rPr>
        <w:t>）</w:t>
      </w:r>
      <w:r w:rsidRPr="008320E2">
        <w:rPr>
          <w:rFonts w:ascii="Times New Roman" w:eastAsia="宋体" w:hAnsi="Times New Roman" w:cs="Times New Roman"/>
          <w:sz w:val="24"/>
          <w:szCs w:val="24"/>
        </w:rPr>
        <w:t>。</w:t>
      </w:r>
      <w:r w:rsidR="001B3D55" w:rsidRPr="00FB2A75">
        <w:rPr>
          <w:rFonts w:ascii="Times New Roman" w:eastAsia="宋体" w:hAnsi="Times New Roman" w:cs="Times New Roman" w:hint="eastAsia"/>
          <w:sz w:val="24"/>
          <w:szCs w:val="24"/>
        </w:rPr>
        <w:t>图</w:t>
      </w:r>
      <w:r w:rsidR="001B3D55">
        <w:rPr>
          <w:rFonts w:ascii="Times New Roman" w:eastAsia="宋体" w:hAnsi="Times New Roman" w:cs="Times New Roman"/>
          <w:sz w:val="24"/>
          <w:szCs w:val="24"/>
        </w:rPr>
        <w:t>12</w:t>
      </w:r>
      <w:r w:rsidR="001B3D55">
        <w:rPr>
          <w:rFonts w:ascii="Times New Roman" w:eastAsia="宋体" w:hAnsi="Times New Roman" w:cs="Times New Roman" w:hint="eastAsia"/>
          <w:sz w:val="24"/>
          <w:szCs w:val="24"/>
        </w:rPr>
        <w:t>显示，</w:t>
      </w:r>
      <w:r w:rsidRPr="00FB2A75">
        <w:rPr>
          <w:rFonts w:ascii="Times New Roman" w:eastAsia="宋体" w:hAnsi="Times New Roman" w:cs="Times New Roman" w:hint="eastAsia"/>
          <w:sz w:val="24"/>
          <w:szCs w:val="24"/>
        </w:rPr>
        <w:t>如皋市的</w:t>
      </w:r>
      <w:r>
        <w:rPr>
          <w:rFonts w:ascii="Times New Roman" w:eastAsia="宋体" w:hAnsi="Times New Roman" w:cs="Times New Roman"/>
          <w:sz w:val="24"/>
          <w:szCs w:val="24"/>
        </w:rPr>
        <w:t>保花肥</w:t>
      </w:r>
      <w:r>
        <w:rPr>
          <w:rFonts w:ascii="Times New Roman" w:eastAsia="宋体" w:hAnsi="Times New Roman" w:cs="Times New Roman" w:hint="eastAsia"/>
          <w:sz w:val="24"/>
          <w:szCs w:val="24"/>
        </w:rPr>
        <w:t>推荐</w:t>
      </w:r>
      <w:r w:rsidRPr="00FB2A75">
        <w:rPr>
          <w:rFonts w:ascii="Times New Roman" w:eastAsia="宋体" w:hAnsi="Times New Roman" w:cs="Times New Roman"/>
          <w:sz w:val="24"/>
          <w:szCs w:val="24"/>
        </w:rPr>
        <w:t>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主要集中</w:t>
      </w:r>
      <w:r w:rsidRPr="00FB2A75">
        <w:rPr>
          <w:rFonts w:ascii="Times New Roman" w:eastAsia="宋体" w:hAnsi="Times New Roman" w:cs="Times New Roman"/>
          <w:sz w:val="24"/>
          <w:szCs w:val="24"/>
        </w:rPr>
        <w:t>在</w:t>
      </w:r>
      <w:r w:rsidRPr="00FB2A75">
        <w:rPr>
          <w:rFonts w:ascii="Times New Roman" w:eastAsia="宋体" w:hAnsi="Times New Roman" w:cs="Times New Roman"/>
          <w:sz w:val="24"/>
          <w:szCs w:val="24"/>
        </w:rPr>
        <w:t>30-50kg/ha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1B3D55">
        <w:rPr>
          <w:rFonts w:ascii="Times New Roman" w:eastAsia="宋体" w:hAnsi="Times New Roman" w:cs="Times New Roman" w:hint="eastAsia"/>
          <w:sz w:val="24"/>
          <w:szCs w:val="24"/>
        </w:rPr>
        <w:t>占比</w:t>
      </w:r>
      <w:r>
        <w:rPr>
          <w:rFonts w:ascii="Times New Roman" w:eastAsia="宋体" w:hAnsi="Times New Roman" w:cs="Times New Roman"/>
          <w:sz w:val="24"/>
          <w:szCs w:val="24"/>
        </w:rPr>
        <w:t>61.5</w:t>
      </w:r>
      <w:r>
        <w:rPr>
          <w:rFonts w:ascii="Times New Roman" w:eastAsia="宋体" w:hAnsi="Times New Roman" w:cs="Times New Roman" w:hint="eastAsia"/>
          <w:sz w:val="24"/>
          <w:szCs w:val="24"/>
        </w:rPr>
        <w:t>%</w:t>
      </w:r>
      <w:r w:rsidR="001B3D55">
        <w:rPr>
          <w:rFonts w:ascii="Times New Roman" w:eastAsia="宋体" w:hAnsi="Times New Roman" w:cs="Times New Roman" w:hint="eastAsia"/>
          <w:sz w:val="24"/>
          <w:szCs w:val="24"/>
        </w:rPr>
        <w:t>；</w:t>
      </w:r>
      <w:r>
        <w:rPr>
          <w:rFonts w:ascii="Times New Roman" w:eastAsia="宋体" w:hAnsi="Times New Roman" w:cs="Times New Roman"/>
          <w:sz w:val="24"/>
          <w:szCs w:val="24"/>
        </w:rPr>
        <w:t>保花肥</w:t>
      </w:r>
      <w:r w:rsidRPr="00FB2A75">
        <w:rPr>
          <w:rFonts w:ascii="Times New Roman" w:eastAsia="宋体" w:hAnsi="Times New Roman" w:cs="Times New Roman"/>
          <w:sz w:val="24"/>
          <w:szCs w:val="24"/>
        </w:rPr>
        <w:t>施用量</w:t>
      </w:r>
      <w:r w:rsidRPr="00FB2A75">
        <w:rPr>
          <w:rFonts w:ascii="Times New Roman" w:eastAsia="宋体" w:hAnsi="Times New Roman" w:cs="Times New Roman"/>
          <w:sz w:val="24"/>
          <w:szCs w:val="24"/>
        </w:rPr>
        <w:t>&gt;50 kg/ha</w:t>
      </w:r>
      <w:r w:rsidR="001B3D55">
        <w:rPr>
          <w:rFonts w:ascii="Times New Roman" w:eastAsia="宋体" w:hAnsi="Times New Roman" w:cs="Times New Roman"/>
          <w:sz w:val="24"/>
          <w:szCs w:val="24"/>
        </w:rPr>
        <w:t>的</w:t>
      </w:r>
      <w:r w:rsidRPr="00FB2A75">
        <w:rPr>
          <w:rFonts w:ascii="Times New Roman" w:eastAsia="宋体" w:hAnsi="Times New Roman" w:cs="Times New Roman"/>
          <w:sz w:val="24"/>
          <w:szCs w:val="24"/>
        </w:rPr>
        <w:t>区域占</w:t>
      </w:r>
      <w:r>
        <w:rPr>
          <w:rFonts w:ascii="Times New Roman" w:eastAsia="宋体" w:hAnsi="Times New Roman" w:cs="Times New Roman"/>
          <w:sz w:val="24"/>
          <w:szCs w:val="24"/>
        </w:rPr>
        <w:t>29.1</w:t>
      </w:r>
      <w:r w:rsidRPr="00FB2A75">
        <w:rPr>
          <w:rFonts w:ascii="Times New Roman" w:eastAsia="宋体" w:hAnsi="Times New Roman" w:cs="Times New Roman"/>
          <w:sz w:val="24"/>
          <w:szCs w:val="24"/>
        </w:rPr>
        <w:t>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，主要集中在中部、东北、西北部分乡镇，需要施用保花肥以提高产量</w:t>
      </w:r>
      <w:r w:rsidR="001B3D55">
        <w:rPr>
          <w:rFonts w:ascii="Times New Roman" w:eastAsia="宋体" w:hAnsi="Times New Roman" w:cs="Times New Roman" w:hint="eastAsia"/>
          <w:sz w:val="24"/>
          <w:szCs w:val="24"/>
        </w:rPr>
        <w:t>；</w:t>
      </w:r>
      <w:r>
        <w:rPr>
          <w:rFonts w:ascii="Times New Roman" w:eastAsia="宋体" w:hAnsi="Times New Roman" w:cs="Times New Roman" w:hint="eastAsia"/>
          <w:sz w:val="24"/>
          <w:szCs w:val="24"/>
        </w:rPr>
        <w:t>保花肥施用量</w:t>
      </w:r>
      <w:r>
        <w:rPr>
          <w:rFonts w:ascii="Times New Roman" w:eastAsia="宋体" w:hAnsi="Times New Roman" w:cs="Times New Roman" w:hint="eastAsia"/>
          <w:sz w:val="24"/>
          <w:szCs w:val="24"/>
        </w:rPr>
        <w:t>&lt;</w:t>
      </w:r>
      <w:r>
        <w:rPr>
          <w:rFonts w:ascii="Times New Roman" w:eastAsia="宋体" w:hAnsi="Times New Roman" w:cs="Times New Roman"/>
          <w:sz w:val="24"/>
          <w:szCs w:val="24"/>
        </w:rPr>
        <w:t>30 kg/ha</w:t>
      </w:r>
      <w:r w:rsidR="001B3D55">
        <w:rPr>
          <w:rFonts w:ascii="Times New Roman" w:eastAsia="宋体" w:hAnsi="Times New Roman" w:cs="Times New Roman" w:hint="eastAsia"/>
          <w:sz w:val="24"/>
          <w:szCs w:val="24"/>
        </w:rPr>
        <w:t>的</w:t>
      </w:r>
      <w:r>
        <w:rPr>
          <w:rFonts w:ascii="Times New Roman" w:eastAsia="宋体" w:hAnsi="Times New Roman" w:cs="Times New Roman" w:hint="eastAsia"/>
          <w:sz w:val="24"/>
          <w:szCs w:val="24"/>
        </w:rPr>
        <w:t>域占</w:t>
      </w:r>
      <w:r>
        <w:rPr>
          <w:rFonts w:ascii="Times New Roman" w:eastAsia="宋体" w:hAnsi="Times New Roman" w:cs="Times New Roman"/>
          <w:sz w:val="24"/>
          <w:szCs w:val="24"/>
        </w:rPr>
        <w:t>9.7</w:t>
      </w:r>
      <w:r>
        <w:rPr>
          <w:rFonts w:ascii="Times New Roman" w:eastAsia="宋体" w:hAnsi="Times New Roman" w:cs="Times New Roman" w:hint="eastAsia"/>
          <w:sz w:val="24"/>
          <w:szCs w:val="24"/>
        </w:rPr>
        <w:t>%</w:t>
      </w:r>
      <w:r>
        <w:rPr>
          <w:rFonts w:ascii="Times New Roman" w:eastAsia="宋体" w:hAnsi="Times New Roman" w:cs="Times New Roman" w:hint="eastAsia"/>
          <w:sz w:val="24"/>
          <w:szCs w:val="24"/>
        </w:rPr>
        <w:t>，主要集中在中西部乡镇，说明前期肥料投入充足，后期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酌施保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花肥，防止贪青晚熟。</w:t>
      </w:r>
    </w:p>
    <w:p w14:paraId="599C0336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513410E3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3C9DD06F" wp14:editId="0D5201C0">
            <wp:extent cx="3720465" cy="2879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8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A397" w14:textId="369F6179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7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</w:t>
      </w:r>
      <w:r w:rsidR="00040CA3">
        <w:rPr>
          <w:rFonts w:ascii="宋体" w:eastAsia="宋体" w:hAnsi="宋体" w:hint="eastAsia"/>
          <w:szCs w:val="21"/>
        </w:rPr>
        <w:t>拔节期</w:t>
      </w:r>
      <w:r>
        <w:rPr>
          <w:rFonts w:ascii="宋体" w:eastAsia="宋体" w:hAnsi="宋体" w:hint="eastAsia"/>
          <w:szCs w:val="21"/>
        </w:rPr>
        <w:t>LAI监测图</w:t>
      </w:r>
    </w:p>
    <w:p w14:paraId="1028AA81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0321D7C1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1E19EAE9" wp14:editId="245FDBC2">
            <wp:extent cx="3599333" cy="3483373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8"/>
                    <a:stretch/>
                  </pic:blipFill>
                  <pic:spPr bwMode="auto">
                    <a:xfrm>
                      <a:off x="0" y="0"/>
                      <a:ext cx="3601274" cy="348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3B09E" w14:textId="7BD35740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8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年如皋市水稻</w:t>
      </w:r>
      <w:r w:rsidR="00040CA3">
        <w:rPr>
          <w:rFonts w:ascii="宋体" w:eastAsia="宋体" w:hAnsi="宋体" w:hint="eastAsia"/>
          <w:szCs w:val="21"/>
        </w:rPr>
        <w:t>拔节期</w:t>
      </w:r>
      <w:r>
        <w:rPr>
          <w:rFonts w:ascii="宋体" w:eastAsia="宋体" w:hAnsi="宋体" w:hint="eastAsia"/>
          <w:szCs w:val="21"/>
        </w:rPr>
        <w:t>LAI监测图</w:t>
      </w:r>
    </w:p>
    <w:p w14:paraId="73FB5298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0B9C9014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373377F5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4C8DB54A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1245BBE5" wp14:editId="184602F5">
            <wp:extent cx="3720465" cy="28790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28" cy="28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B611" w14:textId="3B054A13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9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</w:t>
      </w:r>
      <w:r w:rsidR="00040CA3">
        <w:rPr>
          <w:rFonts w:ascii="宋体" w:eastAsia="宋体" w:hAnsi="宋体" w:hint="eastAsia"/>
          <w:szCs w:val="21"/>
        </w:rPr>
        <w:t>拔节期</w:t>
      </w:r>
      <w:r>
        <w:rPr>
          <w:rFonts w:ascii="宋体" w:eastAsia="宋体" w:hAnsi="宋体" w:hint="eastAsia"/>
          <w:szCs w:val="21"/>
        </w:rPr>
        <w:t>LNA监测图</w:t>
      </w:r>
    </w:p>
    <w:p w14:paraId="46059061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5E80A9C9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50EC1E69" wp14:editId="0D577ED6">
            <wp:extent cx="3599815" cy="359981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67FA" w14:textId="3854573B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10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年如皋市水稻</w:t>
      </w:r>
      <w:r w:rsidR="00040CA3">
        <w:rPr>
          <w:rFonts w:ascii="宋体" w:eastAsia="宋体" w:hAnsi="宋体" w:hint="eastAsia"/>
          <w:szCs w:val="21"/>
        </w:rPr>
        <w:t>拔节期</w:t>
      </w:r>
      <w:r>
        <w:rPr>
          <w:rFonts w:ascii="宋体" w:eastAsia="宋体" w:hAnsi="宋体" w:hint="eastAsia"/>
          <w:szCs w:val="21"/>
        </w:rPr>
        <w:t>LNA监测图</w:t>
      </w:r>
    </w:p>
    <w:p w14:paraId="22E7A123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18140620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533BB20C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 wp14:anchorId="6FC76F4D" wp14:editId="5105C353">
            <wp:extent cx="3720463" cy="28796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3" cy="28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4795" w14:textId="1F083E5B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11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年如皋基地水稻保花肥施用</w:t>
      </w:r>
      <w:r w:rsidR="00BA12AA">
        <w:rPr>
          <w:rFonts w:ascii="宋体" w:eastAsia="宋体" w:hAnsi="宋体" w:hint="eastAsia"/>
          <w:szCs w:val="21"/>
        </w:rPr>
        <w:t>量处方</w:t>
      </w:r>
      <w:r>
        <w:rPr>
          <w:rFonts w:ascii="宋体" w:eastAsia="宋体" w:hAnsi="宋体" w:hint="eastAsia"/>
          <w:szCs w:val="21"/>
        </w:rPr>
        <w:t>图</w:t>
      </w:r>
    </w:p>
    <w:p w14:paraId="5508F512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</w:p>
    <w:p w14:paraId="53AE9A7D" w14:textId="77777777" w:rsidR="000D1057" w:rsidRDefault="000D1057" w:rsidP="000D1057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652325C9" wp14:editId="41AF596B">
            <wp:extent cx="3599502" cy="3643602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9"/>
                    <a:stretch/>
                  </pic:blipFill>
                  <pic:spPr bwMode="auto">
                    <a:xfrm>
                      <a:off x="0" y="0"/>
                      <a:ext cx="3599502" cy="364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85046" w14:textId="11258BE9" w:rsidR="000E0FEE" w:rsidRDefault="000D1057" w:rsidP="000E0FEE">
      <w:pPr>
        <w:jc w:val="center"/>
        <w:rPr>
          <w:rFonts w:ascii="黑体" w:eastAsia="黑体" w:hAnsi="黑体"/>
          <w:b/>
          <w:sz w:val="24"/>
        </w:rPr>
      </w:pPr>
      <w:r>
        <w:rPr>
          <w:rFonts w:ascii="宋体" w:eastAsia="宋体" w:hAnsi="宋体" w:hint="eastAsia"/>
          <w:szCs w:val="21"/>
        </w:rPr>
        <w:t>图</w:t>
      </w:r>
      <w:r w:rsidR="00ED3179">
        <w:rPr>
          <w:rFonts w:ascii="宋体" w:eastAsia="宋体" w:hAnsi="宋体"/>
          <w:szCs w:val="21"/>
        </w:rPr>
        <w:t xml:space="preserve">12 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021</w:t>
      </w:r>
      <w:r>
        <w:rPr>
          <w:rFonts w:ascii="宋体" w:eastAsia="宋体" w:hAnsi="宋体" w:hint="eastAsia"/>
          <w:szCs w:val="21"/>
        </w:rPr>
        <w:t>年如皋市水稻保花肥施用</w:t>
      </w:r>
      <w:r w:rsidR="00BA12AA">
        <w:rPr>
          <w:rFonts w:ascii="宋体" w:eastAsia="宋体" w:hAnsi="宋体" w:hint="eastAsia"/>
          <w:szCs w:val="21"/>
        </w:rPr>
        <w:t>量处方</w:t>
      </w:r>
      <w:r>
        <w:rPr>
          <w:rFonts w:ascii="宋体" w:eastAsia="宋体" w:hAnsi="宋体" w:hint="eastAsia"/>
          <w:szCs w:val="21"/>
        </w:rPr>
        <w:t>图</w:t>
      </w:r>
    </w:p>
    <w:p w14:paraId="5A1DE7B6" w14:textId="77777777" w:rsidR="000E0FEE" w:rsidRDefault="000E0FEE" w:rsidP="000E0FEE">
      <w:pPr>
        <w:jc w:val="left"/>
        <w:rPr>
          <w:rFonts w:ascii="黑体" w:eastAsia="黑体" w:hAnsi="黑体"/>
          <w:b/>
          <w:sz w:val="24"/>
        </w:rPr>
      </w:pPr>
    </w:p>
    <w:p w14:paraId="1B614ACF" w14:textId="77777777" w:rsidR="000E0FEE" w:rsidRDefault="000E0FEE" w:rsidP="000E0FEE">
      <w:pPr>
        <w:jc w:val="left"/>
        <w:rPr>
          <w:rFonts w:ascii="黑体" w:eastAsia="黑体" w:hAnsi="黑体"/>
          <w:b/>
          <w:sz w:val="24"/>
        </w:rPr>
      </w:pPr>
    </w:p>
    <w:p w14:paraId="00EA8A30" w14:textId="77777777" w:rsidR="000E0FEE" w:rsidRDefault="000E0FEE" w:rsidP="000E0FEE">
      <w:pPr>
        <w:jc w:val="left"/>
        <w:rPr>
          <w:rFonts w:ascii="黑体" w:eastAsia="黑体" w:hAnsi="黑体"/>
          <w:b/>
          <w:sz w:val="24"/>
        </w:rPr>
      </w:pPr>
    </w:p>
    <w:p w14:paraId="273BC0C9" w14:textId="7E7F9E58" w:rsidR="008C596A" w:rsidRPr="008C596A" w:rsidRDefault="008C596A" w:rsidP="000E0FEE">
      <w:pPr>
        <w:jc w:val="left"/>
        <w:rPr>
          <w:rFonts w:ascii="黑体" w:eastAsia="黑体" w:hAnsi="黑体"/>
          <w:b/>
          <w:sz w:val="24"/>
        </w:rPr>
      </w:pPr>
      <w:r w:rsidRPr="008C596A">
        <w:rPr>
          <w:rFonts w:ascii="黑体" w:eastAsia="黑体" w:hAnsi="黑体" w:hint="eastAsia"/>
          <w:b/>
          <w:sz w:val="24"/>
        </w:rPr>
        <w:t>技术支持：</w:t>
      </w:r>
    </w:p>
    <w:p w14:paraId="492B0CD8" w14:textId="2EA00BE5" w:rsidR="008C596A" w:rsidRPr="008C596A" w:rsidRDefault="008C596A" w:rsidP="00EC02A6">
      <w:pPr>
        <w:spacing w:line="360" w:lineRule="auto"/>
        <w:rPr>
          <w:rFonts w:ascii="黑体" w:eastAsia="黑体" w:hAnsi="黑体"/>
          <w:b/>
          <w:sz w:val="24"/>
        </w:rPr>
      </w:pPr>
      <w:r w:rsidRPr="008C596A">
        <w:rPr>
          <w:rFonts w:ascii="黑体" w:eastAsia="黑体" w:hAnsi="黑体" w:hint="eastAsia"/>
          <w:b/>
          <w:sz w:val="24"/>
        </w:rPr>
        <w:t>南京农业大学国家信息农业工程技术中心</w:t>
      </w:r>
    </w:p>
    <w:p w14:paraId="4CF51C18" w14:textId="2D99889B" w:rsidR="008C596A" w:rsidRDefault="008C596A" w:rsidP="00EC02A6">
      <w:pPr>
        <w:spacing w:line="360" w:lineRule="auto"/>
        <w:rPr>
          <w:rFonts w:ascii="黑体" w:eastAsia="黑体" w:hAnsi="黑体"/>
          <w:b/>
          <w:sz w:val="24"/>
        </w:rPr>
      </w:pPr>
      <w:r w:rsidRPr="008C596A">
        <w:rPr>
          <w:rFonts w:ascii="黑体" w:eastAsia="黑体" w:hAnsi="黑体" w:hint="eastAsia"/>
          <w:b/>
          <w:sz w:val="24"/>
        </w:rPr>
        <w:t>江苏现代农业（稻麦）产业技术体系智能生产创新团队</w:t>
      </w:r>
    </w:p>
    <w:p w14:paraId="761A6178" w14:textId="0C7E55A1" w:rsidR="00636BCB" w:rsidRDefault="00636BCB" w:rsidP="00EC02A6">
      <w:pPr>
        <w:spacing w:line="360" w:lineRule="auto"/>
        <w:rPr>
          <w:rFonts w:ascii="黑体" w:eastAsia="黑体" w:hAnsi="黑体"/>
          <w:b/>
          <w:sz w:val="24"/>
        </w:rPr>
      </w:pPr>
      <w:bookmarkStart w:id="0" w:name="_Hlk79940113"/>
      <w:r>
        <w:rPr>
          <w:rFonts w:ascii="黑体" w:eastAsia="黑体" w:hAnsi="黑体" w:hint="eastAsia"/>
          <w:b/>
          <w:sz w:val="24"/>
        </w:rPr>
        <w:lastRenderedPageBreak/>
        <w:t>江苏省农业重大技术协同推广计划智慧稻作团队</w:t>
      </w:r>
      <w:bookmarkEnd w:id="0"/>
    </w:p>
    <w:p w14:paraId="65A7C526" w14:textId="2E37D9E1" w:rsidR="00E60481" w:rsidRDefault="00E60481" w:rsidP="00EC02A6">
      <w:pPr>
        <w:spacing w:line="360" w:lineRule="auto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如皋市农业农村局</w:t>
      </w:r>
    </w:p>
    <w:p w14:paraId="2FAE5040" w14:textId="29DF8011" w:rsidR="004D1C17" w:rsidRPr="00636BCB" w:rsidRDefault="004D1C17" w:rsidP="00EC02A6">
      <w:pPr>
        <w:spacing w:line="360" w:lineRule="auto"/>
        <w:rPr>
          <w:rFonts w:ascii="黑体" w:eastAsia="黑体" w:hAnsi="黑体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如皋市农业技术推广中心</w:t>
      </w:r>
    </w:p>
    <w:sectPr w:rsidR="004D1C17" w:rsidRPr="00636BCB" w:rsidSect="008C596A">
      <w:pgSz w:w="11906" w:h="16838"/>
      <w:pgMar w:top="1440" w:right="1531" w:bottom="1440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AAF43" w14:textId="77777777" w:rsidR="00B254D6" w:rsidRDefault="00B254D6" w:rsidP="008C596A">
      <w:r>
        <w:separator/>
      </w:r>
    </w:p>
  </w:endnote>
  <w:endnote w:type="continuationSeparator" w:id="0">
    <w:p w14:paraId="087DC4BB" w14:textId="77777777" w:rsidR="00B254D6" w:rsidRDefault="00B254D6" w:rsidP="008C5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AABF1" w14:textId="77777777" w:rsidR="00B254D6" w:rsidRDefault="00B254D6" w:rsidP="008C596A">
      <w:r>
        <w:separator/>
      </w:r>
    </w:p>
  </w:footnote>
  <w:footnote w:type="continuationSeparator" w:id="0">
    <w:p w14:paraId="1E5BCB06" w14:textId="77777777" w:rsidR="00B254D6" w:rsidRDefault="00B254D6" w:rsidP="008C59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193"/>
    <w:rsid w:val="00040CA3"/>
    <w:rsid w:val="00060B98"/>
    <w:rsid w:val="000970B2"/>
    <w:rsid w:val="000B6293"/>
    <w:rsid w:val="000D1057"/>
    <w:rsid w:val="000E0FEE"/>
    <w:rsid w:val="000F4B91"/>
    <w:rsid w:val="00195CA5"/>
    <w:rsid w:val="001B3D55"/>
    <w:rsid w:val="001B6CC0"/>
    <w:rsid w:val="001C64A7"/>
    <w:rsid w:val="001D1C3D"/>
    <w:rsid w:val="00275203"/>
    <w:rsid w:val="002C213E"/>
    <w:rsid w:val="003206B5"/>
    <w:rsid w:val="00336DEC"/>
    <w:rsid w:val="003E1744"/>
    <w:rsid w:val="00413CC8"/>
    <w:rsid w:val="004D1C17"/>
    <w:rsid w:val="0055400E"/>
    <w:rsid w:val="00636BCB"/>
    <w:rsid w:val="006853A8"/>
    <w:rsid w:val="006E5CD4"/>
    <w:rsid w:val="00700193"/>
    <w:rsid w:val="007F3A04"/>
    <w:rsid w:val="008C596A"/>
    <w:rsid w:val="00B00B8E"/>
    <w:rsid w:val="00B254D6"/>
    <w:rsid w:val="00BA12AA"/>
    <w:rsid w:val="00BC2825"/>
    <w:rsid w:val="00BF1423"/>
    <w:rsid w:val="00C91C0C"/>
    <w:rsid w:val="00CA7436"/>
    <w:rsid w:val="00D0475C"/>
    <w:rsid w:val="00D213F3"/>
    <w:rsid w:val="00D87B2B"/>
    <w:rsid w:val="00DB0A82"/>
    <w:rsid w:val="00DB1195"/>
    <w:rsid w:val="00DD51B2"/>
    <w:rsid w:val="00E21F00"/>
    <w:rsid w:val="00E275FE"/>
    <w:rsid w:val="00E60481"/>
    <w:rsid w:val="00E714B9"/>
    <w:rsid w:val="00EC02A6"/>
    <w:rsid w:val="00ED3179"/>
    <w:rsid w:val="00EE1DF3"/>
    <w:rsid w:val="00F2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F0A5D"/>
  <w15:chartTrackingRefBased/>
  <w15:docId w15:val="{F310BF7C-A380-4D81-942E-E38CC5C4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9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59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59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596A"/>
    <w:rPr>
      <w:sz w:val="18"/>
      <w:szCs w:val="18"/>
    </w:rPr>
  </w:style>
  <w:style w:type="paragraph" w:styleId="a7">
    <w:name w:val="List Paragraph"/>
    <w:basedOn w:val="a"/>
    <w:uiPriority w:val="34"/>
    <w:qFormat/>
    <w:rsid w:val="008C596A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636BC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36B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6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su ping</cp:lastModifiedBy>
  <cp:revision>2</cp:revision>
  <dcterms:created xsi:type="dcterms:W3CDTF">2021-08-17T00:36:00Z</dcterms:created>
  <dcterms:modified xsi:type="dcterms:W3CDTF">2021-08-17T00:36:00Z</dcterms:modified>
</cp:coreProperties>
</file>