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 w:hAnsi="仿宋" w:eastAsia="仿宋" w:cs="仿宋"/>
          <w:sz w:val="30"/>
          <w:szCs w:val="30"/>
        </w:rPr>
      </w:pPr>
      <w:r>
        <w:rPr>
          <w:rFonts w:hint="eastAsia" w:ascii="仿宋" w:hAnsi="仿宋" w:eastAsia="仿宋" w:cs="仿宋"/>
          <w:sz w:val="30"/>
          <w:szCs w:val="30"/>
        </w:rPr>
        <w:t>附件3：</w:t>
      </w:r>
    </w:p>
    <w:p>
      <w:pPr>
        <w:spacing w:line="580" w:lineRule="exact"/>
        <w:jc w:val="center"/>
        <w:rPr>
          <w:rFonts w:ascii="宋体" w:hAnsi="宋体" w:cs="宋体"/>
          <w:b/>
          <w:bCs/>
          <w:sz w:val="44"/>
          <w:szCs w:val="44"/>
        </w:rPr>
      </w:pPr>
      <w:r>
        <w:rPr>
          <w:rFonts w:hint="eastAsia" w:ascii="宋体" w:hAnsi="宋体" w:cs="宋体"/>
          <w:b/>
          <w:bCs/>
          <w:sz w:val="44"/>
          <w:szCs w:val="44"/>
        </w:rPr>
        <w:t>关于部分检验项目的说明</w:t>
      </w:r>
    </w:p>
    <w:p>
      <w:pPr>
        <w:pStyle w:val="2"/>
        <w:numPr>
          <w:ilvl w:val="0"/>
          <w:numId w:val="1"/>
        </w:numPr>
        <w:spacing w:after="0" w:line="520" w:lineRule="exact"/>
        <w:ind w:left="0" w:leftChars="0" w:firstLine="0"/>
        <w:rPr>
          <w:rFonts w:ascii="黑体" w:hAnsi="黑体" w:eastAsia="黑体" w:cs="黑体"/>
          <w:kern w:val="2"/>
          <w:sz w:val="30"/>
          <w:szCs w:val="30"/>
        </w:rPr>
      </w:pPr>
      <w:r>
        <w:rPr>
          <w:rFonts w:hint="eastAsia" w:ascii="黑体" w:hAnsi="黑体" w:eastAsia="黑体" w:cs="黑体"/>
          <w:kern w:val="2"/>
          <w:sz w:val="30"/>
          <w:szCs w:val="30"/>
        </w:rPr>
        <w:t>倍硫磷项目</w:t>
      </w:r>
    </w:p>
    <w:p>
      <w:pPr>
        <w:spacing w:line="520" w:lineRule="exact"/>
        <w:ind w:firstLine="600"/>
        <w:rPr>
          <w:rFonts w:ascii="仿宋" w:hAnsi="仿宋" w:eastAsia="仿宋" w:cs="仿宋"/>
          <w:sz w:val="30"/>
          <w:szCs w:val="30"/>
        </w:rPr>
      </w:pPr>
      <w:r>
        <w:rPr>
          <w:rFonts w:hint="eastAsia" w:ascii="仿宋" w:hAnsi="仿宋" w:eastAsia="仿宋" w:cs="仿宋"/>
          <w:sz w:val="30"/>
          <w:szCs w:val="30"/>
        </w:rPr>
        <w:t>倍硫磷是一种具有触杀、胃毒和熏蒸作用的有机磷农药，对蚜虫等有较好防效。少量的残留不会引起人体急性中毒，但长期食用倍硫磷超标的食品，对人体健康可能有一定影响。《食品安全国家标准食品中农药最大残留限量》（GB 2763-2021）中规定，倍硫磷在豇豆中的最大残留限量值为0.05mg/kg。倍硫磷残留量超标的原因，可能是为快速控制虫害，加大用药量或未遵守采摘间隔期规定，致使上市销售的产品中残留量超标。</w:t>
      </w:r>
    </w:p>
    <w:p>
      <w:pPr>
        <w:pStyle w:val="2"/>
        <w:numPr>
          <w:ilvl w:val="0"/>
          <w:numId w:val="1"/>
        </w:numPr>
        <w:spacing w:after="0" w:line="520" w:lineRule="exact"/>
        <w:ind w:left="0" w:leftChars="0" w:firstLine="0"/>
        <w:rPr>
          <w:rFonts w:ascii="黑体" w:hAnsi="黑体" w:eastAsia="黑体" w:cs="黑体"/>
          <w:kern w:val="2"/>
          <w:sz w:val="30"/>
          <w:szCs w:val="30"/>
        </w:rPr>
      </w:pPr>
      <w:r>
        <w:rPr>
          <w:rFonts w:hint="eastAsia" w:ascii="黑体" w:hAnsi="黑体" w:eastAsia="黑体" w:cs="黑体"/>
          <w:kern w:val="2"/>
          <w:sz w:val="30"/>
          <w:szCs w:val="30"/>
        </w:rPr>
        <w:t>甲基异柳磷项目</w:t>
      </w:r>
    </w:p>
    <w:p>
      <w:pPr>
        <w:spacing w:line="520" w:lineRule="exact"/>
        <w:ind w:firstLine="600"/>
        <w:rPr>
          <w:rFonts w:ascii="仿宋" w:hAnsi="仿宋" w:eastAsia="仿宋" w:cs="仿宋"/>
          <w:sz w:val="30"/>
          <w:szCs w:val="30"/>
        </w:rPr>
      </w:pPr>
      <w:bookmarkStart w:id="0" w:name="_GoBack"/>
      <w:r>
        <w:rPr>
          <w:rFonts w:hint="eastAsia" w:ascii="仿宋" w:hAnsi="仿宋" w:eastAsia="仿宋" w:cs="仿宋"/>
          <w:sz w:val="30"/>
          <w:szCs w:val="30"/>
        </w:rPr>
        <w:t>甲基异柳磷</w:t>
      </w:r>
      <w:bookmarkEnd w:id="0"/>
      <w:r>
        <w:rPr>
          <w:rFonts w:hint="eastAsia" w:ascii="仿宋" w:hAnsi="仿宋" w:eastAsia="仿宋" w:cs="仿宋"/>
          <w:sz w:val="30"/>
          <w:szCs w:val="30"/>
        </w:rPr>
        <w:t>，属高毒性的硫代磷酸酯类有机磷农药，是高毒、高效、广谱的内吸性杀虫杀螨剂。少量的残留不会引起人体急性中毒，但长期食用甲基异柳磷超标的食品，对人体健康可能有一定影响。《食品安全国家标准食品中农药最大残留限量》（GB　2763-2</w:t>
      </w:r>
      <w:r>
        <w:rPr>
          <w:rFonts w:ascii="仿宋" w:hAnsi="仿宋" w:eastAsia="仿宋" w:cs="仿宋"/>
          <w:sz w:val="30"/>
          <w:szCs w:val="30"/>
        </w:rPr>
        <w:t>021</w:t>
      </w:r>
      <w:r>
        <w:rPr>
          <w:rFonts w:hint="eastAsia" w:ascii="仿宋" w:hAnsi="仿宋" w:eastAsia="仿宋" w:cs="仿宋"/>
          <w:sz w:val="30"/>
          <w:szCs w:val="30"/>
        </w:rPr>
        <w:t>）中规定，甲基异柳磷在豆类蔬菜中的最大残留限量值为0.01mg/kg。豇豆中甲基异柳磷残留量超标的原因，可能是为快速控制虫害而违规使用。</w:t>
      </w:r>
    </w:p>
    <w:p>
      <w:pPr>
        <w:pStyle w:val="2"/>
        <w:numPr>
          <w:ilvl w:val="0"/>
          <w:numId w:val="1"/>
        </w:numPr>
        <w:spacing w:after="0" w:line="520" w:lineRule="exact"/>
        <w:ind w:left="0" w:leftChars="0" w:firstLine="0"/>
        <w:rPr>
          <w:rFonts w:ascii="黑体" w:hAnsi="黑体" w:eastAsia="黑体" w:cs="黑体"/>
          <w:kern w:val="2"/>
          <w:sz w:val="30"/>
          <w:szCs w:val="30"/>
        </w:rPr>
      </w:pPr>
      <w:r>
        <w:rPr>
          <w:rFonts w:hint="eastAsia" w:ascii="黑体" w:hAnsi="黑体" w:eastAsia="黑体" w:cs="黑体"/>
          <w:kern w:val="2"/>
          <w:sz w:val="30"/>
          <w:szCs w:val="30"/>
        </w:rPr>
        <w:t>水胺硫磷项目</w:t>
      </w:r>
    </w:p>
    <w:p>
      <w:pPr>
        <w:spacing w:line="520" w:lineRule="exact"/>
        <w:ind w:firstLine="600"/>
        <w:rPr>
          <w:rFonts w:ascii="仿宋" w:hAnsi="仿宋" w:eastAsia="仿宋" w:cs="仿宋"/>
          <w:sz w:val="30"/>
          <w:szCs w:val="30"/>
        </w:rPr>
      </w:pPr>
      <w:r>
        <w:rPr>
          <w:rFonts w:hint="eastAsia" w:ascii="仿宋" w:hAnsi="仿宋" w:eastAsia="仿宋" w:cs="仿宋"/>
          <w:sz w:val="30"/>
          <w:szCs w:val="30"/>
        </w:rPr>
        <w:t>水胺硫磷是一种广谱、高效、高毒性、低残留的硫代磷酰胺类杀虫剂，兼具胃毒和杀卵作用，主要用于防治果树、水稻和棉花害虫。少量的残留不会引起人体急性中毒，但长期食用水胺硫磷超标的食品，可能对人体健康有一定影响。《食品安全国家标准 食品中农药最大残留限量》（GB 276</w:t>
      </w:r>
      <w:r>
        <w:rPr>
          <w:rFonts w:ascii="仿宋" w:hAnsi="仿宋" w:eastAsia="仿宋" w:cs="仿宋"/>
          <w:sz w:val="30"/>
          <w:szCs w:val="30"/>
        </w:rPr>
        <w:t>-2021</w:t>
      </w:r>
      <w:r>
        <w:rPr>
          <w:rFonts w:hint="eastAsia" w:ascii="仿宋" w:hAnsi="仿宋" w:eastAsia="仿宋" w:cs="仿宋"/>
          <w:sz w:val="30"/>
          <w:szCs w:val="30"/>
        </w:rPr>
        <w:t>）中规定，水胺硫磷在豆类蔬菜中的最大残留限量值为0.05mg/kg。豇豆中水胺硫磷超标的原因，可能是为快速控制病情加大用药量或未遵守采摘间隔期规定，致使上市销售时产品中的药物残留量未降解至标准限量值以下。</w:t>
      </w:r>
    </w:p>
    <w:p>
      <w:pPr>
        <w:pStyle w:val="2"/>
        <w:numPr>
          <w:ilvl w:val="0"/>
          <w:numId w:val="1"/>
        </w:numPr>
        <w:spacing w:after="0" w:line="520" w:lineRule="exact"/>
        <w:ind w:left="0" w:leftChars="0" w:firstLine="0"/>
        <w:rPr>
          <w:rFonts w:ascii="黑体" w:hAnsi="黑体" w:eastAsia="黑体" w:cs="黑体"/>
          <w:kern w:val="2"/>
          <w:sz w:val="30"/>
          <w:szCs w:val="30"/>
        </w:rPr>
      </w:pPr>
      <w:r>
        <w:rPr>
          <w:rFonts w:hint="eastAsia" w:ascii="黑体" w:hAnsi="黑体" w:eastAsia="黑体" w:cs="黑体"/>
          <w:kern w:val="2"/>
          <w:sz w:val="30"/>
          <w:szCs w:val="30"/>
        </w:rPr>
        <w:t>噻虫胺项目</w:t>
      </w:r>
    </w:p>
    <w:p>
      <w:pPr>
        <w:spacing w:line="520" w:lineRule="exact"/>
        <w:ind w:firstLine="600"/>
        <w:rPr>
          <w:rFonts w:ascii="仿宋" w:hAnsi="仿宋" w:eastAsia="仿宋" w:cs="仿宋"/>
          <w:sz w:val="30"/>
          <w:szCs w:val="30"/>
        </w:rPr>
      </w:pPr>
      <w:r>
        <w:rPr>
          <w:rFonts w:hint="eastAsia" w:ascii="仿宋" w:hAnsi="仿宋" w:eastAsia="仿宋" w:cs="仿宋"/>
          <w:sz w:val="30"/>
          <w:szCs w:val="30"/>
        </w:rPr>
        <w:t>噻虫胺属新烟碱类杀虫剂，具有内吸性、触杀和胃毒作用，对姜蛆、蚜虫、斑潜蝇等有较好防效。少量的残留不会引起人体急性中毒，但长期食用噻虫胺超标的食品，对人体健康可能有一定影响。《食品安全国家标准 食品中农药最大残留限量》（GB 2763—2021）中规定，噻虫胺在根茎类蔬菜中的最大残留限量值为0.2mg/kg。噻虫胺残留量超标的原因，可能是为快速控制虫害，加大用药量或未遵守采摘间隔期规定，致使上市销售的产品中残留量超标。</w:t>
      </w:r>
    </w:p>
    <w:p>
      <w:pPr>
        <w:pStyle w:val="2"/>
        <w:numPr>
          <w:ilvl w:val="0"/>
          <w:numId w:val="1"/>
        </w:numPr>
        <w:spacing w:after="0" w:line="520" w:lineRule="exact"/>
        <w:ind w:left="0" w:leftChars="0" w:firstLine="0"/>
        <w:rPr>
          <w:rFonts w:ascii="黑体" w:hAnsi="黑体" w:eastAsia="黑体" w:cs="黑体"/>
          <w:kern w:val="2"/>
          <w:sz w:val="30"/>
          <w:szCs w:val="30"/>
        </w:rPr>
      </w:pPr>
      <w:r>
        <w:rPr>
          <w:rFonts w:hint="eastAsia" w:ascii="黑体" w:hAnsi="黑体" w:eastAsia="黑体" w:cs="黑体"/>
          <w:kern w:val="2"/>
          <w:sz w:val="30"/>
          <w:szCs w:val="30"/>
        </w:rPr>
        <w:t>恩诺沙星</w:t>
      </w:r>
      <w:r>
        <w:rPr>
          <w:rFonts w:hint="eastAsia" w:ascii="黑体" w:hAnsi="黑体" w:eastAsia="黑体" w:cs="黑体"/>
          <w:kern w:val="2"/>
          <w:sz w:val="30"/>
          <w:szCs w:val="30"/>
          <w:lang w:val="en-US" w:eastAsia="zh-CN"/>
        </w:rPr>
        <w:t>项目</w:t>
      </w:r>
      <w:r>
        <w:rPr>
          <w:rFonts w:hint="eastAsia" w:ascii="黑体" w:hAnsi="黑体" w:eastAsia="黑体" w:cs="黑体"/>
          <w:kern w:val="2"/>
          <w:sz w:val="30"/>
          <w:szCs w:val="30"/>
        </w:rPr>
        <w:t>（以恩诺沙星与环丙沙星之和计）</w:t>
      </w:r>
    </w:p>
    <w:p>
      <w:pPr>
        <w:spacing w:line="520" w:lineRule="exact"/>
        <w:ind w:firstLine="600"/>
        <w:rPr>
          <w:rFonts w:ascii="仿宋" w:hAnsi="仿宋" w:eastAsia="仿宋" w:cs="仿宋"/>
          <w:sz w:val="30"/>
          <w:szCs w:val="30"/>
        </w:rPr>
      </w:pPr>
      <w:r>
        <w:rPr>
          <w:rFonts w:hint="eastAsia" w:ascii="仿宋" w:hAnsi="仿宋" w:eastAsia="仿宋" w:cs="仿宋"/>
          <w:sz w:val="30"/>
          <w:szCs w:val="30"/>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食品安全国家标准 食品中兽药最大残留限量》（GB 31650—2019）中规定，恩诺沙星在鱼的皮和肉中最大残留限量值为100μg/kg。淡水鱼中恩诺沙星超标的原因，可能是在养殖过程中为快速控制疫病，违规加大用药量或不遵守休药期规定，致使产品上市销售时的药物残留量超标。</w:t>
      </w:r>
    </w:p>
    <w:p>
      <w:pPr>
        <w:pStyle w:val="2"/>
        <w:numPr>
          <w:ilvl w:val="0"/>
          <w:numId w:val="1"/>
        </w:numPr>
        <w:spacing w:after="0" w:line="520" w:lineRule="exact"/>
        <w:ind w:left="0" w:leftChars="0" w:firstLine="0"/>
        <w:rPr>
          <w:rFonts w:ascii="黑体" w:hAnsi="黑体" w:eastAsia="黑体" w:cs="黑体"/>
          <w:kern w:val="2"/>
          <w:sz w:val="30"/>
          <w:szCs w:val="30"/>
        </w:rPr>
      </w:pPr>
      <w:r>
        <w:rPr>
          <w:rFonts w:hint="eastAsia" w:ascii="黑体" w:hAnsi="黑体" w:eastAsia="黑体" w:cs="黑体"/>
          <w:kern w:val="2"/>
          <w:sz w:val="30"/>
          <w:szCs w:val="30"/>
        </w:rPr>
        <w:t>镉（以Cd计）项目</w:t>
      </w:r>
    </w:p>
    <w:p>
      <w:pPr>
        <w:spacing w:line="520" w:lineRule="exact"/>
        <w:ind w:firstLine="600"/>
        <w:rPr>
          <w:rFonts w:ascii="仿宋" w:hAnsi="仿宋" w:eastAsia="仿宋" w:cs="仿宋"/>
          <w:sz w:val="30"/>
          <w:szCs w:val="30"/>
        </w:rPr>
      </w:pPr>
      <w:r>
        <w:rPr>
          <w:rFonts w:hint="eastAsia" w:ascii="仿宋" w:hAnsi="仿宋" w:eastAsia="仿宋" w:cs="仿宋"/>
          <w:sz w:val="30"/>
          <w:szCs w:val="30"/>
        </w:rPr>
        <w:t>镉属于重金属污染物指标，长期过量摄入将会给人体的健康带来危害。根据《食品安全国家标准 食品中污染物限量》（GB2762-201</w:t>
      </w:r>
      <w:r>
        <w:rPr>
          <w:rFonts w:ascii="仿宋" w:hAnsi="仿宋" w:eastAsia="仿宋" w:cs="仿宋"/>
          <w:sz w:val="30"/>
          <w:szCs w:val="30"/>
        </w:rPr>
        <w:t>7</w:t>
      </w:r>
      <w:r>
        <w:rPr>
          <w:rFonts w:hint="eastAsia" w:ascii="仿宋" w:hAnsi="仿宋" w:eastAsia="仿宋" w:cs="仿宋"/>
          <w:sz w:val="30"/>
          <w:szCs w:val="30"/>
        </w:rPr>
        <w:t>）中规定，水产动物及其制品（甲壳类）中镉的最大限量为0.5mg/kg。水产品中镉超标可能是水产品养殖过程中对环境中镉元素的富集。镉对人体的危害主要是慢性蓄积性，长期大量摄入镉含量超标的食品可能导致肾和骨骼损伤等。</w:t>
      </w:r>
    </w:p>
    <w:p>
      <w:pPr>
        <w:pStyle w:val="2"/>
        <w:numPr>
          <w:ilvl w:val="0"/>
          <w:numId w:val="1"/>
        </w:numPr>
        <w:spacing w:after="0" w:line="520" w:lineRule="exact"/>
        <w:ind w:left="0" w:leftChars="0" w:firstLine="0"/>
        <w:rPr>
          <w:rFonts w:ascii="黑体" w:hAnsi="黑体" w:eastAsia="黑体" w:cs="黑体"/>
          <w:kern w:val="2"/>
          <w:sz w:val="30"/>
          <w:szCs w:val="30"/>
        </w:rPr>
      </w:pPr>
      <w:r>
        <w:rPr>
          <w:rFonts w:hint="eastAsia" w:ascii="黑体" w:hAnsi="黑体" w:eastAsia="黑体" w:cs="黑体"/>
          <w:kern w:val="2"/>
          <w:sz w:val="30"/>
          <w:szCs w:val="30"/>
        </w:rPr>
        <w:t>铅(以Pb计)项目</w:t>
      </w:r>
    </w:p>
    <w:p>
      <w:pPr>
        <w:spacing w:line="520" w:lineRule="exact"/>
        <w:ind w:firstLine="600"/>
        <w:rPr>
          <w:rFonts w:ascii="仿宋" w:hAnsi="仿宋" w:eastAsia="仿宋" w:cs="仿宋"/>
          <w:sz w:val="30"/>
          <w:szCs w:val="30"/>
        </w:rPr>
      </w:pPr>
      <w:r>
        <w:rPr>
          <w:rFonts w:hint="eastAsia" w:ascii="仿宋" w:hAnsi="仿宋" w:eastAsia="仿宋" w:cs="仿宋"/>
          <w:sz w:val="30"/>
          <w:szCs w:val="30"/>
        </w:rPr>
        <w:t>铅是最常见的重金属元素污染物之一。产品执行标准《藻类干制品》（Q/TZQZ0002S-2020）中规定，藻类干制品中铅的最大限量值为</w:t>
      </w:r>
      <w:r>
        <w:rPr>
          <w:rFonts w:ascii="仿宋" w:hAnsi="仿宋" w:eastAsia="仿宋" w:cs="仿宋"/>
          <w:sz w:val="30"/>
          <w:szCs w:val="30"/>
        </w:rPr>
        <w:t>0.9</w:t>
      </w:r>
      <w:r>
        <w:rPr>
          <w:rFonts w:hint="eastAsia" w:ascii="仿宋" w:hAnsi="仿宋" w:eastAsia="仿宋" w:cs="仿宋"/>
          <w:sz w:val="30"/>
          <w:szCs w:val="30"/>
        </w:rPr>
        <w:t>mg/kg。干裙带菜中铅超标的原因，可能是生产企业使用铅含量超标的原料；也可能是食品生产加工过程中生产场所、加工设备中的铅迁移带入，使得终产品铅含量超标。铅对人体具有慢性蓄积性的危害，长期摄入铅超标的食品，可能对人体神经系统、造血系统、心血管系统和泌尿系统造成损害。</w:t>
      </w:r>
    </w:p>
    <w:p>
      <w:pPr>
        <w:pStyle w:val="2"/>
        <w:numPr>
          <w:ilvl w:val="0"/>
          <w:numId w:val="1"/>
        </w:numPr>
        <w:spacing w:after="0" w:line="520" w:lineRule="exact"/>
        <w:ind w:left="0" w:leftChars="0" w:firstLine="0"/>
        <w:rPr>
          <w:rFonts w:ascii="黑体" w:hAnsi="黑体" w:eastAsia="黑体" w:cs="黑体"/>
          <w:kern w:val="2"/>
          <w:sz w:val="30"/>
          <w:szCs w:val="30"/>
        </w:rPr>
      </w:pPr>
      <w:r>
        <w:rPr>
          <w:rFonts w:hint="eastAsia" w:ascii="黑体" w:hAnsi="黑体" w:eastAsia="黑体" w:cs="黑体"/>
          <w:kern w:val="2"/>
          <w:sz w:val="30"/>
          <w:szCs w:val="30"/>
        </w:rPr>
        <w:t>酵母项目</w:t>
      </w:r>
    </w:p>
    <w:p>
      <w:pPr>
        <w:spacing w:line="520" w:lineRule="exact"/>
        <w:ind w:firstLine="600"/>
        <w:rPr>
          <w:rFonts w:ascii="仿宋" w:hAnsi="仿宋" w:eastAsia="仿宋" w:cs="仿宋"/>
          <w:sz w:val="30"/>
          <w:szCs w:val="30"/>
        </w:rPr>
      </w:pPr>
      <w:r>
        <w:rPr>
          <w:rFonts w:hint="eastAsia" w:ascii="仿宋" w:hAnsi="仿宋" w:eastAsia="仿宋" w:cs="仿宋"/>
          <w:sz w:val="30"/>
          <w:szCs w:val="30"/>
        </w:rPr>
        <w:t>酵母是自然界中常见的真菌，是评价食品卫生质量的指示性指标。酵母虽然本身并非有害菌，但酵母超标会引起食物变质，食用酵母超标的食物可能引起腹泻，危害人体健康。《食品安全国家标准 饮料》（GB 7101-2015）中规定，酵母的最大限量值是20CFU/mL。酵母超标的主要原因，可能是加工用原料受污染，或者是产品存储、运输条件控制不当导致流通环节抽取的样品被污染。</w:t>
      </w:r>
    </w:p>
    <w:p>
      <w:pPr>
        <w:pStyle w:val="2"/>
        <w:numPr>
          <w:ilvl w:val="0"/>
          <w:numId w:val="1"/>
        </w:numPr>
        <w:spacing w:after="0" w:line="520" w:lineRule="exact"/>
        <w:ind w:left="0" w:leftChars="0" w:firstLine="0"/>
        <w:rPr>
          <w:rFonts w:ascii="黑体" w:hAnsi="黑体" w:eastAsia="黑体" w:cs="黑体"/>
          <w:kern w:val="2"/>
          <w:sz w:val="30"/>
          <w:szCs w:val="30"/>
        </w:rPr>
      </w:pPr>
      <w:r>
        <w:rPr>
          <w:rFonts w:hint="eastAsia" w:ascii="黑体" w:hAnsi="黑体" w:eastAsia="黑体" w:cs="黑体"/>
          <w:kern w:val="2"/>
          <w:sz w:val="30"/>
          <w:szCs w:val="30"/>
        </w:rPr>
        <w:t>菌落总数项目</w:t>
      </w:r>
    </w:p>
    <w:p>
      <w:pPr>
        <w:spacing w:line="520" w:lineRule="exact"/>
        <w:ind w:firstLine="600"/>
        <w:rPr>
          <w:rFonts w:ascii="仿宋" w:hAnsi="仿宋" w:eastAsia="仿宋" w:cs="仿宋"/>
          <w:sz w:val="30"/>
          <w:szCs w:val="30"/>
        </w:rPr>
      </w:pPr>
      <w:r>
        <w:rPr>
          <w:rFonts w:hint="eastAsia" w:ascii="仿宋" w:hAnsi="仿宋" w:eastAsia="仿宋" w:cs="仿宋"/>
          <w:sz w:val="30"/>
          <w:szCs w:val="30"/>
        </w:rPr>
        <w:t>菌落总数是指示性微生物指标，不是致病菌指标，反映食品在生产过程中的卫生状况。如果食品的菌落总数严重超标，将会破坏食品的营养成分，使食品失去食用价值；还会加速食品腐败变质，可能危害人体健康。《食品安全国家标准 饮料》（GB 7101-2015）中规定，饮料中菌落总数的最大限量是</w:t>
      </w:r>
      <w:r>
        <w:rPr>
          <w:rFonts w:ascii="仿宋" w:hAnsi="仿宋" w:eastAsia="仿宋" w:cs="仿宋"/>
          <w:sz w:val="30"/>
          <w:szCs w:val="30"/>
        </w:rPr>
        <w:t>n=5,c=2,m=100,M=10000</w:t>
      </w:r>
      <w:r>
        <w:rPr>
          <w:rFonts w:hint="eastAsia" w:ascii="仿宋" w:hAnsi="仿宋" w:eastAsia="仿宋" w:cs="仿宋"/>
          <w:sz w:val="30"/>
          <w:szCs w:val="30"/>
        </w:rPr>
        <w:t xml:space="preserve"> CFU/mL（即同一批次产品5个样品的菌落总数检测结果均不得超过1</w:t>
      </w:r>
      <w:r>
        <w:rPr>
          <w:rFonts w:ascii="仿宋" w:hAnsi="仿宋" w:eastAsia="仿宋" w:cs="仿宋"/>
          <w:sz w:val="30"/>
          <w:szCs w:val="30"/>
        </w:rPr>
        <w:t>0000</w:t>
      </w:r>
      <w:r>
        <w:rPr>
          <w:rFonts w:hint="eastAsia" w:ascii="仿宋" w:hAnsi="仿宋" w:eastAsia="仿宋" w:cs="仿宋"/>
          <w:sz w:val="30"/>
          <w:szCs w:val="30"/>
        </w:rPr>
        <w:t xml:space="preserve"> CFU/mL，且最多允许</w:t>
      </w:r>
      <w:r>
        <w:rPr>
          <w:rFonts w:ascii="仿宋" w:hAnsi="仿宋" w:eastAsia="仿宋" w:cs="仿宋"/>
          <w:sz w:val="30"/>
          <w:szCs w:val="30"/>
        </w:rPr>
        <w:t>2</w:t>
      </w:r>
      <w:r>
        <w:rPr>
          <w:rFonts w:hint="eastAsia" w:ascii="仿宋" w:hAnsi="仿宋" w:eastAsia="仿宋" w:cs="仿宋"/>
          <w:sz w:val="30"/>
          <w:szCs w:val="30"/>
        </w:rPr>
        <w:t>个样品的检测结果超过1</w:t>
      </w:r>
      <w:r>
        <w:rPr>
          <w:rFonts w:ascii="仿宋" w:hAnsi="仿宋" w:eastAsia="仿宋" w:cs="仿宋"/>
          <w:sz w:val="30"/>
          <w:szCs w:val="30"/>
        </w:rPr>
        <w:t>00</w:t>
      </w:r>
      <w:r>
        <w:rPr>
          <w:rFonts w:hint="eastAsia" w:ascii="仿宋" w:hAnsi="仿宋" w:eastAsia="仿宋" w:cs="仿宋"/>
          <w:sz w:val="30"/>
          <w:szCs w:val="30"/>
        </w:rPr>
        <w:t xml:space="preserve"> CFU/mL）。饮料中菌落总数超标的原因，可能是企业未按要求严格控制生产加工过程中的卫生条件，也可能与产品包装密封不严或储运条件不当等有关。</w:t>
      </w:r>
    </w:p>
    <w:p>
      <w:pPr>
        <w:pStyle w:val="2"/>
        <w:numPr>
          <w:ilvl w:val="0"/>
          <w:numId w:val="1"/>
        </w:numPr>
        <w:spacing w:after="0" w:line="520" w:lineRule="exact"/>
        <w:ind w:left="0" w:leftChars="0" w:firstLine="0"/>
        <w:rPr>
          <w:rFonts w:ascii="黑体" w:hAnsi="黑体" w:eastAsia="黑体" w:cs="黑体"/>
          <w:kern w:val="2"/>
          <w:sz w:val="30"/>
          <w:szCs w:val="30"/>
        </w:rPr>
      </w:pPr>
      <w:r>
        <w:rPr>
          <w:rFonts w:hint="eastAsia" w:ascii="黑体" w:hAnsi="黑体" w:eastAsia="黑体" w:cs="黑体"/>
          <w:kern w:val="2"/>
          <w:sz w:val="30"/>
          <w:szCs w:val="30"/>
        </w:rPr>
        <w:t>大肠菌群项目</w:t>
      </w:r>
    </w:p>
    <w:p>
      <w:pPr>
        <w:spacing w:line="520" w:lineRule="exact"/>
        <w:ind w:firstLine="600"/>
        <w:rPr>
          <w:rFonts w:ascii="仿宋" w:hAnsi="仿宋" w:eastAsia="仿宋" w:cs="仿宋"/>
          <w:sz w:val="30"/>
          <w:szCs w:val="30"/>
        </w:rPr>
      </w:pPr>
      <w:r>
        <w:rPr>
          <w:rFonts w:hint="eastAsia" w:ascii="仿宋" w:hAnsi="仿宋" w:eastAsia="仿宋" w:cs="仿宋"/>
          <w:sz w:val="30"/>
          <w:szCs w:val="30"/>
        </w:rPr>
        <w:t>大肠菌群是指示性微生物指标，并非致病菌指标，主要用来评价食品清洁度。《食品安全国家标准 消毒餐（饮）具》（GB 14934</w:t>
      </w:r>
      <w:r>
        <w:rPr>
          <w:rFonts w:ascii="仿宋" w:hAnsi="仿宋" w:eastAsia="仿宋" w:cs="仿宋"/>
          <w:sz w:val="30"/>
          <w:szCs w:val="30"/>
        </w:rPr>
        <w:t>-</w:t>
      </w:r>
      <w:r>
        <w:rPr>
          <w:rFonts w:hint="eastAsia" w:ascii="仿宋" w:hAnsi="仿宋" w:eastAsia="仿宋" w:cs="仿宋"/>
          <w:sz w:val="30"/>
          <w:szCs w:val="30"/>
        </w:rPr>
        <w:t>2016）中规定，复用餐饮具中不得检出大肠菌群。复用餐饮具检出大肠菌群超标的原因可能有以下几点：（1）餐具清洗不彻底；（2）消毒餐具用消毒液未达到规定浓度，或者餐具干热消毒时未达到规定温度，或者是消毒时间未达到规定要求；（3）可能在搬运过程中，不干净的手触碰到碗筷形成污染。使用大肠菌群超标的餐具，容易使人腹泻。</w:t>
      </w:r>
    </w:p>
    <w:p>
      <w:pPr>
        <w:pStyle w:val="2"/>
        <w:numPr>
          <w:ilvl w:val="0"/>
          <w:numId w:val="1"/>
        </w:numPr>
        <w:spacing w:after="0" w:line="520" w:lineRule="exact"/>
        <w:ind w:left="0" w:leftChars="0" w:firstLine="0"/>
        <w:rPr>
          <w:rFonts w:ascii="黑体" w:hAnsi="黑体" w:eastAsia="黑体" w:cs="黑体"/>
          <w:kern w:val="2"/>
          <w:sz w:val="30"/>
          <w:szCs w:val="30"/>
        </w:rPr>
      </w:pPr>
      <w:r>
        <w:rPr>
          <w:rFonts w:hint="eastAsia" w:ascii="黑体" w:hAnsi="黑体" w:eastAsia="黑体" w:cs="黑体"/>
          <w:kern w:val="2"/>
          <w:sz w:val="30"/>
          <w:szCs w:val="30"/>
        </w:rPr>
        <w:t>阴离子合成洗涤剂(以十二烷基苯磺酸钠计)项目</w:t>
      </w:r>
    </w:p>
    <w:p>
      <w:pPr>
        <w:spacing w:line="520" w:lineRule="exact"/>
        <w:ind w:firstLine="600"/>
        <w:rPr>
          <w:rFonts w:ascii="仿宋" w:hAnsi="仿宋" w:eastAsia="仿宋" w:cs="仿宋"/>
          <w:sz w:val="30"/>
          <w:szCs w:val="30"/>
        </w:rPr>
      </w:pPr>
      <w:r>
        <w:rPr>
          <w:rFonts w:hint="eastAsia" w:ascii="仿宋" w:hAnsi="仿宋" w:eastAsia="仿宋" w:cs="仿宋"/>
          <w:sz w:val="30"/>
          <w:szCs w:val="30"/>
        </w:rPr>
        <w:t>阴离子合成洗涤剂，即我们日常生活中经常用到的洗衣粉、洗洁精、洗衣液、肥皂等洗涤剂的主要成分，其主要成分十二烷基磺酸钠，是一种低毒物质，在消毒企业中广泛使用。GB 14934</w:t>
      </w:r>
      <w:r>
        <w:rPr>
          <w:rFonts w:ascii="仿宋" w:hAnsi="仿宋" w:eastAsia="仿宋" w:cs="仿宋"/>
          <w:sz w:val="30"/>
          <w:szCs w:val="30"/>
        </w:rPr>
        <w:t>-</w:t>
      </w:r>
      <w:r>
        <w:rPr>
          <w:rFonts w:hint="eastAsia" w:ascii="仿宋" w:hAnsi="仿宋" w:eastAsia="仿宋" w:cs="仿宋"/>
          <w:sz w:val="30"/>
          <w:szCs w:val="30"/>
        </w:rPr>
        <w:t>2016《食品安全国家标准消毒餐（饮）具》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070435"/>
    <w:multiLevelType w:val="singleLevel"/>
    <w:tmpl w:val="D40704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OGNiMjNhYjUzMGI1OWQzNjU3NGYzZTUyOGIyYmUifQ=="/>
  </w:docVars>
  <w:rsids>
    <w:rsidRoot w:val="03775D78"/>
    <w:rsid w:val="00001E99"/>
    <w:rsid w:val="0014065F"/>
    <w:rsid w:val="002151F1"/>
    <w:rsid w:val="003326FE"/>
    <w:rsid w:val="00427F12"/>
    <w:rsid w:val="007D1F7D"/>
    <w:rsid w:val="007E7642"/>
    <w:rsid w:val="00803BF8"/>
    <w:rsid w:val="008A2FA8"/>
    <w:rsid w:val="00994D5B"/>
    <w:rsid w:val="00A966B6"/>
    <w:rsid w:val="00D35F14"/>
    <w:rsid w:val="00E938A0"/>
    <w:rsid w:val="00FC61BC"/>
    <w:rsid w:val="01225B42"/>
    <w:rsid w:val="02844AF0"/>
    <w:rsid w:val="03775D78"/>
    <w:rsid w:val="041D11AC"/>
    <w:rsid w:val="060133D3"/>
    <w:rsid w:val="06962EAB"/>
    <w:rsid w:val="072B6FA0"/>
    <w:rsid w:val="078136AE"/>
    <w:rsid w:val="09A25F34"/>
    <w:rsid w:val="0DA94A49"/>
    <w:rsid w:val="0F351648"/>
    <w:rsid w:val="0FD61EF0"/>
    <w:rsid w:val="1453401D"/>
    <w:rsid w:val="159C3123"/>
    <w:rsid w:val="1BF908C5"/>
    <w:rsid w:val="1D172A53"/>
    <w:rsid w:val="1F577AC0"/>
    <w:rsid w:val="21AE3430"/>
    <w:rsid w:val="22777F2E"/>
    <w:rsid w:val="23DF38D8"/>
    <w:rsid w:val="2476385E"/>
    <w:rsid w:val="247E326F"/>
    <w:rsid w:val="2930423F"/>
    <w:rsid w:val="2ABA09BF"/>
    <w:rsid w:val="2B750F53"/>
    <w:rsid w:val="2D571FF4"/>
    <w:rsid w:val="2DBB4FBB"/>
    <w:rsid w:val="2FE52F10"/>
    <w:rsid w:val="30B57659"/>
    <w:rsid w:val="343D3FC5"/>
    <w:rsid w:val="35A437DF"/>
    <w:rsid w:val="364F1B1E"/>
    <w:rsid w:val="368E522C"/>
    <w:rsid w:val="391500AC"/>
    <w:rsid w:val="394E4A82"/>
    <w:rsid w:val="3A1572F4"/>
    <w:rsid w:val="3AA04A42"/>
    <w:rsid w:val="3B7270A8"/>
    <w:rsid w:val="3C425ED1"/>
    <w:rsid w:val="3D6B2CD0"/>
    <w:rsid w:val="3F88527A"/>
    <w:rsid w:val="407254BB"/>
    <w:rsid w:val="427E2B16"/>
    <w:rsid w:val="442031E6"/>
    <w:rsid w:val="44B74CFA"/>
    <w:rsid w:val="44C87B76"/>
    <w:rsid w:val="46C20D67"/>
    <w:rsid w:val="48591E93"/>
    <w:rsid w:val="4B3D2AA5"/>
    <w:rsid w:val="4B46696D"/>
    <w:rsid w:val="4CCF2953"/>
    <w:rsid w:val="4E453910"/>
    <w:rsid w:val="4E496C38"/>
    <w:rsid w:val="4FD67BD0"/>
    <w:rsid w:val="4FEF12A5"/>
    <w:rsid w:val="5065103B"/>
    <w:rsid w:val="517B7B34"/>
    <w:rsid w:val="528F777F"/>
    <w:rsid w:val="533B00F5"/>
    <w:rsid w:val="554847A0"/>
    <w:rsid w:val="575E7C06"/>
    <w:rsid w:val="57F35D4F"/>
    <w:rsid w:val="5C3053DD"/>
    <w:rsid w:val="5C652FDF"/>
    <w:rsid w:val="62A54285"/>
    <w:rsid w:val="660378E9"/>
    <w:rsid w:val="66E106A6"/>
    <w:rsid w:val="679C1D85"/>
    <w:rsid w:val="6839583B"/>
    <w:rsid w:val="68F35EF6"/>
    <w:rsid w:val="6950626B"/>
    <w:rsid w:val="6BC87041"/>
    <w:rsid w:val="6FD460B5"/>
    <w:rsid w:val="70223837"/>
    <w:rsid w:val="70566EFF"/>
    <w:rsid w:val="707A31F4"/>
    <w:rsid w:val="70AF0B25"/>
    <w:rsid w:val="71B94674"/>
    <w:rsid w:val="72141EF3"/>
    <w:rsid w:val="7391478B"/>
    <w:rsid w:val="74186C2C"/>
    <w:rsid w:val="74B12E75"/>
    <w:rsid w:val="74D020A3"/>
    <w:rsid w:val="768E06BD"/>
    <w:rsid w:val="79C93982"/>
    <w:rsid w:val="7BE76548"/>
    <w:rsid w:val="7C5877A9"/>
    <w:rsid w:val="7C9D113A"/>
    <w:rsid w:val="7D4C305F"/>
    <w:rsid w:val="7D6A3301"/>
    <w:rsid w:val="7EF5300B"/>
    <w:rsid w:val="7FA37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unhideWhenUsed/>
    <w:qFormat/>
    <w:uiPriority w:val="99"/>
    <w:pPr>
      <w:spacing w:after="120"/>
      <w:ind w:left="420" w:leftChars="200"/>
    </w:pPr>
    <w:rPr>
      <w:kern w:val="0"/>
      <w:szCs w:val="20"/>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customStyle="1" w:styleId="9">
    <w:name w:val="正文1"/>
    <w:basedOn w:val="1"/>
    <w:next w:val="1"/>
    <w:qFormat/>
    <w:uiPriority w:val="99"/>
    <w:pPr>
      <w:spacing w:before="156" w:line="360" w:lineRule="auto"/>
      <w:ind w:left="426"/>
    </w:pPr>
    <w:rPr>
      <w:rFonts w:ascii="Times New Roman" w:hAnsi="Times New Roman"/>
      <w:sz w:val="24"/>
      <w:szCs w:val="20"/>
    </w:rPr>
  </w:style>
  <w:style w:type="character" w:customStyle="1" w:styleId="10">
    <w:name w:val="页眉 字符"/>
    <w:basedOn w:val="8"/>
    <w:link w:val="5"/>
    <w:uiPriority w:val="0"/>
    <w:rPr>
      <w:rFonts w:ascii="Calibri" w:hAnsi="Calibri"/>
      <w:kern w:val="2"/>
      <w:sz w:val="18"/>
      <w:szCs w:val="18"/>
    </w:rPr>
  </w:style>
  <w:style w:type="character" w:customStyle="1" w:styleId="11">
    <w:name w:val="页脚 字符"/>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2259</Words>
  <Characters>2465</Characters>
  <Lines>17</Lines>
  <Paragraphs>5</Paragraphs>
  <TotalTime>59</TotalTime>
  <ScaleCrop>false</ScaleCrop>
  <LinksUpToDate>false</LinksUpToDate>
  <CharactersWithSpaces>2484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2022-09-12T02:53:00Z</dcterms:created>
  <dc:creator>ly</dc:creator>
  <cp:lastModifiedBy>user</cp:lastModifiedBy>
  <dcterms:modified xsi:type="dcterms:W3CDTF">2023-02-20T09:29:23Z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AD6771CC6FB4451CBCF2CC7697DE5F8D</vt:lpwstr>
  </property>
</Properties>
</file>