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widowControl w:val="0"/>
        <w:spacing w:beforeLines="100" w:afterLines="100" w:line="560" w:lineRule="exact"/>
        <w:jc w:val="center"/>
        <w:rPr>
          <w:rFonts w:hint="eastAsia"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2022年江苏省市场监管及技术能力建设</w:t>
      </w:r>
    </w:p>
    <w:p>
      <w:pPr>
        <w:pStyle w:val="9"/>
        <w:widowControl w:val="0"/>
        <w:spacing w:beforeLines="100" w:afterLines="100" w:line="560" w:lineRule="exact"/>
        <w:jc w:val="center"/>
        <w:rPr>
          <w:rFonts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专项资金（</w:t>
      </w:r>
      <w:r>
        <w:rPr>
          <w:rFonts w:hint="eastAsia" w:ascii="方正小标宋简体" w:hAnsi="方正小标宋简体" w:eastAsia="方正小标宋简体" w:cs="方正小标宋简体"/>
          <w:color w:val="000000"/>
          <w:sz w:val="44"/>
          <w:lang w:val="en-US" w:eastAsia="zh-CN"/>
        </w:rPr>
        <w:t>市场监管部分</w:t>
      </w:r>
      <w:bookmarkStart w:id="0" w:name="_GoBack"/>
      <w:bookmarkEnd w:id="0"/>
      <w:r>
        <w:rPr>
          <w:rFonts w:hint="eastAsia" w:ascii="方正小标宋简体" w:hAnsi="方正小标宋简体" w:eastAsia="方正小标宋简体" w:cs="方正小标宋简体"/>
          <w:color w:val="000000"/>
          <w:sz w:val="44"/>
          <w:lang w:eastAsia="zh-CN"/>
        </w:rPr>
        <w:t>）绩效评价报告</w:t>
      </w:r>
    </w:p>
    <w:p>
      <w:pPr>
        <w:pStyle w:val="10"/>
        <w:widowControl w:val="0"/>
        <w:spacing w:before="0" w:after="0" w:line="380" w:lineRule="exact"/>
        <w:ind w:firstLine="643" w:firstLineChars="200"/>
        <w:rPr>
          <w:rFonts w:ascii="仿宋_GB2312" w:hAnsi="仿宋_GB2312" w:eastAsia="仿宋_GB2312" w:cs="仿宋_GB2312"/>
          <w:b/>
          <w:color w:val="000000"/>
          <w:sz w:val="32"/>
          <w:szCs w:val="32"/>
          <w:lang w:eastAsia="zh-CN"/>
        </w:rPr>
      </w:pPr>
    </w:p>
    <w:p>
      <w:pPr>
        <w:pStyle w:val="10"/>
        <w:widowControl w:val="0"/>
        <w:spacing w:before="0" w:after="0"/>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一、项目情况</w:t>
      </w:r>
    </w:p>
    <w:p>
      <w:pPr>
        <w:pStyle w:val="10"/>
        <w:widowControl w:val="0"/>
        <w:spacing w:before="0" w:after="0"/>
        <w:ind w:firstLine="627" w:firstLineChars="200"/>
        <w:rPr>
          <w:rFonts w:ascii="仿宋_GB2312" w:hAnsi="仿宋_GB2312" w:eastAsia="仿宋_GB2312" w:cs="仿宋_GB2312"/>
          <w:b/>
          <w:color w:val="000000"/>
          <w:spacing w:val="-4"/>
          <w:sz w:val="32"/>
          <w:szCs w:val="32"/>
          <w:lang w:eastAsia="zh-CN"/>
        </w:rPr>
      </w:pPr>
      <w:r>
        <w:rPr>
          <w:rFonts w:hint="eastAsia" w:ascii="仿宋_GB2312" w:hAnsi="仿宋_GB2312" w:eastAsia="仿宋_GB2312" w:cs="仿宋_GB2312"/>
          <w:b/>
          <w:color w:val="000000"/>
          <w:spacing w:val="-4"/>
          <w:sz w:val="32"/>
          <w:szCs w:val="32"/>
          <w:lang w:eastAsia="zh-CN"/>
        </w:rPr>
        <w:t>（一）项目概况。</w:t>
      </w:r>
    </w:p>
    <w:p>
      <w:pPr>
        <w:pStyle w:val="12"/>
        <w:spacing w:before="103" w:line="235" w:lineRule="auto"/>
        <w:ind w:left="31" w:leftChars="11" w:right="54" w:firstLine="640" w:firstLineChars="200"/>
        <w:rPr>
          <w:rFonts w:ascii="仿宋" w:hAnsi="仿宋" w:eastAsia="仿宋" w:cs="仿宋"/>
          <w:sz w:val="32"/>
          <w:szCs w:val="32"/>
        </w:rPr>
      </w:pPr>
      <w:r>
        <w:rPr>
          <w:rFonts w:ascii="仿宋" w:hAnsi="仿宋" w:eastAsia="仿宋" w:cs="仿宋"/>
          <w:sz w:val="32"/>
          <w:szCs w:val="32"/>
        </w:rPr>
        <w:t>认真贯彻省、市和市委市政府的决策部署，紧扣“弘扬治沙精神”工作主线，加强食品安全、特种设备安全、产品质量安全等专项职能监管，深入开展反垄断、反不正当竞争、市场秩序执法和专项整治行动，严守食品、特种设备两个安全底线，切实优化营商环境，构建良好的市场竞争秩序，促进全市经济高质量发展。</w:t>
      </w:r>
    </w:p>
    <w:p>
      <w:pPr>
        <w:spacing w:line="400" w:lineRule="exact"/>
        <w:ind w:firstLine="643" w:firstLineChars="200"/>
        <w:rPr>
          <w:rFonts w:ascii="仿宋_GB2312" w:hAnsi="仿宋_GB2312" w:eastAsia="仿宋_GB2312"/>
          <w:b w:val="0"/>
          <w:color w:val="000000"/>
          <w:sz w:val="32"/>
          <w:szCs w:val="32"/>
        </w:rPr>
      </w:pPr>
      <w:r>
        <w:rPr>
          <w:rFonts w:hint="eastAsia" w:ascii="仿宋_GB2312" w:hAnsi="仿宋_GB2312" w:eastAsia="仿宋_GB2312"/>
          <w:color w:val="000000"/>
          <w:sz w:val="32"/>
          <w:szCs w:val="32"/>
        </w:rPr>
        <w:t>（二）绩效目标。</w:t>
      </w:r>
    </w:p>
    <w:p>
      <w:pPr>
        <w:spacing w:line="400" w:lineRule="exact"/>
        <w:ind w:firstLine="640" w:firstLineChars="200"/>
        <w:rPr>
          <w:rFonts w:ascii="仿宋" w:hAnsi="仿宋" w:cs="仿宋"/>
          <w:b w:val="0"/>
          <w:sz w:val="32"/>
          <w:szCs w:val="32"/>
          <w:lang w:val="zh-CN" w:bidi="zh-CN"/>
        </w:rPr>
      </w:pPr>
      <w:r>
        <w:rPr>
          <w:rFonts w:hint="eastAsia" w:ascii="仿宋_GB2312" w:hAnsi="仿宋_GB2312" w:eastAsia="仿宋_GB2312"/>
          <w:b w:val="0"/>
          <w:color w:val="000000"/>
          <w:sz w:val="32"/>
          <w:szCs w:val="32"/>
        </w:rPr>
        <w:t xml:space="preserve"> </w:t>
      </w:r>
      <w:r>
        <w:rPr>
          <w:rFonts w:hint="eastAsia" w:ascii="仿宋" w:hAnsi="仿宋" w:cs="仿宋"/>
          <w:b w:val="0"/>
          <w:sz w:val="32"/>
          <w:szCs w:val="32"/>
          <w:lang w:val="zh-CN" w:bidi="zh-CN"/>
        </w:rPr>
        <w:t>2022年12月31日前，食品生产经营主体完成监督检查；创成5家省级示范小作坊；完成示范街道和餐饮示范店的创建；后处置按时完成、处置率100%；问题食品主体整改率100%；监管水平提升度有效提高。开展特种设备领域“四化”建设，提升本质安全水平，预防和减少特种设备安全事故，保障人民生命和财产安全。动真碰硬，放大执法效应，做到查处一个案、织密一张网、兜住一条线。</w:t>
      </w:r>
    </w:p>
    <w:p>
      <w:pPr>
        <w:ind w:firstLine="643" w:firstLineChars="200"/>
        <w:jc w:val="left"/>
        <w:rPr>
          <w:rFonts w:ascii="仿宋_GB2312" w:hAnsi="仿宋_GB2312" w:eastAsia="仿宋_GB2312"/>
          <w:b w:val="0"/>
          <w:color w:val="000000"/>
          <w:sz w:val="32"/>
          <w:szCs w:val="32"/>
        </w:rPr>
      </w:pPr>
      <w:r>
        <w:rPr>
          <w:rFonts w:hint="eastAsia" w:ascii="仿宋_GB2312" w:hAnsi="仿宋_GB2312" w:eastAsia="仿宋_GB2312"/>
          <w:color w:val="000000"/>
          <w:sz w:val="32"/>
          <w:szCs w:val="32"/>
        </w:rPr>
        <w:t>二、评价情况</w:t>
      </w:r>
    </w:p>
    <w:p>
      <w:pPr>
        <w:spacing w:line="400" w:lineRule="exact"/>
        <w:ind w:firstLine="640" w:firstLineChars="200"/>
        <w:rPr>
          <w:rFonts w:ascii="仿宋" w:hAnsi="仿宋" w:cs="仿宋"/>
          <w:b w:val="0"/>
          <w:sz w:val="32"/>
          <w:szCs w:val="32"/>
          <w:lang w:val="zh-CN" w:bidi="zh-CN"/>
        </w:rPr>
      </w:pPr>
      <w:r>
        <w:rPr>
          <w:rFonts w:hint="eastAsia" w:ascii="仿宋_GB2312" w:hAnsi="仿宋_GB2312" w:eastAsia="仿宋_GB2312"/>
          <w:b w:val="0"/>
          <w:color w:val="000000"/>
          <w:sz w:val="32"/>
          <w:szCs w:val="32"/>
        </w:rPr>
        <w:t>（一）项目特点分析。</w:t>
      </w:r>
      <w:r>
        <w:rPr>
          <w:rFonts w:hint="eastAsia" w:ascii="仿宋" w:hAnsi="仿宋" w:cs="仿宋"/>
          <w:b w:val="0"/>
          <w:sz w:val="32"/>
          <w:szCs w:val="32"/>
          <w:lang w:val="zh-CN" w:bidi="zh-CN"/>
        </w:rPr>
        <w:t>依据市场监管职能、《南通市2022年度综合考核实施办法》以及相关法律法规要求，进一步树牢安全发展理念，强化红线意识和底线思维。</w:t>
      </w:r>
    </w:p>
    <w:p>
      <w:pPr>
        <w:pStyle w:val="10"/>
        <w:widowControl w:val="0"/>
        <w:spacing w:before="0" w:after="0"/>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（二）评价思路方法。</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本次评价项目主要围绕项目决策、过程管理、产出效果和社会效益等方面开展，综合评价资金使用绩效。主要采取比较法，通过对绩效目标和实施效果比较，指标制定上定量与定性相结合，优先定量，综合分析绩效目标实现程度。</w:t>
      </w:r>
    </w:p>
    <w:p>
      <w:pPr>
        <w:pStyle w:val="10"/>
        <w:widowControl w:val="0"/>
        <w:spacing w:before="0" w:after="0"/>
        <w:ind w:firstLine="624" w:firstLineChars="200"/>
        <w:rPr>
          <w:rFonts w:ascii="仿宋_GB2312" w:hAnsi="仿宋_GB2312" w:eastAsia="仿宋_GB2312" w:cs="仿宋_GB2312"/>
          <w:color w:val="000000"/>
          <w:spacing w:val="-4"/>
          <w:sz w:val="32"/>
          <w:szCs w:val="32"/>
          <w:lang w:eastAsia="zh-CN"/>
        </w:rPr>
      </w:pPr>
      <w:r>
        <w:rPr>
          <w:rFonts w:hint="eastAsia" w:ascii="仿宋_GB2312" w:hAnsi="仿宋_GB2312" w:eastAsia="仿宋_GB2312" w:cs="仿宋_GB2312"/>
          <w:color w:val="000000"/>
          <w:spacing w:val="-4"/>
          <w:sz w:val="32"/>
          <w:szCs w:val="32"/>
          <w:lang w:eastAsia="zh-CN"/>
        </w:rPr>
        <w:t>（三）评价工作情况。</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智慧监管，守牢四大安全。高效推进食品生产安全“守底线查隐患保安全”、“赋能强企”、特殊食品监管等专项整治，扎实开展“一老一小”守护行动，核查处置不合格食品226批次。推进特种设备智慧监察系统和企业云平台应用，率先开展气瓶云平台执法检查，持续深化安全专项整治三年行动。特种设备云平台、电梯统一性问题处理等工作被省市局评为亮点工作进行推广。开展10类重点产品风险隐患集中治理，开展各级产品质量抽检160批次。动真碰硬，放大执法效应。开展长江水生生物、防疫物资、打击假冒侵权、安全生产、食品药品专项整治等执法行动31个，查办一般程序案件1062件，罚没入库1492.55万元，不断加大执法办案力度，严查各类违法行为，做到查处一个案、织密一张网、兜住一条线。</w:t>
      </w:r>
    </w:p>
    <w:p>
      <w:pPr>
        <w:pStyle w:val="10"/>
        <w:widowControl w:val="0"/>
        <w:spacing w:before="0" w:after="0"/>
        <w:ind w:firstLine="624"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pacing w:val="-4"/>
          <w:sz w:val="32"/>
          <w:szCs w:val="32"/>
          <w:lang w:eastAsia="zh-CN"/>
        </w:rPr>
        <w:t>（四）绩效</w:t>
      </w:r>
      <w:r>
        <w:rPr>
          <w:rFonts w:hint="eastAsia" w:ascii="仿宋_GB2312" w:hAnsi="仿宋_GB2312" w:eastAsia="仿宋_GB2312" w:cs="仿宋_GB2312"/>
          <w:color w:val="000000"/>
          <w:sz w:val="32"/>
          <w:szCs w:val="32"/>
          <w:lang w:eastAsia="zh-CN"/>
        </w:rPr>
        <w:t>评价结论。</w:t>
      </w:r>
    </w:p>
    <w:p>
      <w:pPr>
        <w:widowControl w:val="0"/>
        <w:ind w:firstLine="640" w:firstLineChars="200"/>
        <w:rPr>
          <w:rFonts w:ascii="仿宋" w:hAnsi="仿宋" w:cs="仿宋"/>
          <w:b w:val="0"/>
          <w:sz w:val="32"/>
          <w:szCs w:val="32"/>
          <w:lang w:val="zh-CN" w:bidi="zh-CN"/>
        </w:rPr>
      </w:pPr>
      <w:r>
        <w:rPr>
          <w:rFonts w:ascii="仿宋" w:hAnsi="仿宋" w:cs="仿宋"/>
          <w:b w:val="0"/>
          <w:sz w:val="32"/>
          <w:szCs w:val="32"/>
          <w:lang w:val="zh-CN" w:bidi="zh-CN"/>
        </w:rPr>
        <w:t>从资产管理、配置、效果等方面，对</w:t>
      </w:r>
      <w:r>
        <w:rPr>
          <w:rFonts w:hint="eastAsia" w:ascii="仿宋" w:hAnsi="仿宋" w:cs="仿宋"/>
          <w:b w:val="0"/>
          <w:sz w:val="32"/>
          <w:szCs w:val="32"/>
          <w:lang w:val="zh-CN" w:bidi="zh-CN"/>
        </w:rPr>
        <w:t>检验检测工作、特种设备作业人员考试工作进</w:t>
      </w:r>
      <w:r>
        <w:rPr>
          <w:rFonts w:ascii="仿宋" w:hAnsi="仿宋" w:cs="仿宋"/>
          <w:b w:val="0"/>
          <w:sz w:val="32"/>
          <w:szCs w:val="32"/>
          <w:lang w:val="zh-CN" w:bidi="zh-CN"/>
        </w:rPr>
        <w:t>行绩效评价，综合评价得分</w:t>
      </w:r>
      <w:r>
        <w:rPr>
          <w:rFonts w:hint="eastAsia" w:ascii="仿宋" w:hAnsi="仿宋" w:cs="仿宋"/>
          <w:b w:val="0"/>
          <w:sz w:val="32"/>
          <w:szCs w:val="32"/>
          <w:lang w:val="zh-CN" w:bidi="zh-CN"/>
        </w:rPr>
        <w:t>98</w:t>
      </w:r>
      <w:r>
        <w:rPr>
          <w:rFonts w:ascii="仿宋" w:hAnsi="仿宋" w:cs="仿宋"/>
          <w:b w:val="0"/>
          <w:sz w:val="32"/>
          <w:szCs w:val="32"/>
          <w:lang w:val="zh-CN" w:bidi="zh-CN"/>
        </w:rPr>
        <w:t>分，评价结论“优秀”，</w:t>
      </w:r>
      <w:r>
        <w:rPr>
          <w:rFonts w:hint="eastAsia" w:ascii="仿宋" w:hAnsi="仿宋" w:cs="仿宋"/>
          <w:b w:val="0"/>
          <w:sz w:val="32"/>
          <w:szCs w:val="32"/>
          <w:lang w:val="zh-CN" w:bidi="zh-CN"/>
        </w:rPr>
        <w:t>群众</w:t>
      </w:r>
      <w:r>
        <w:rPr>
          <w:rFonts w:ascii="仿宋" w:hAnsi="仿宋" w:cs="仿宋"/>
          <w:b w:val="0"/>
          <w:sz w:val="32"/>
          <w:szCs w:val="32"/>
          <w:lang w:val="zh-CN" w:bidi="zh-CN"/>
        </w:rPr>
        <w:t>满意度≥9</w:t>
      </w:r>
      <w:r>
        <w:rPr>
          <w:rFonts w:hint="eastAsia" w:ascii="仿宋" w:hAnsi="仿宋" w:cs="仿宋"/>
          <w:b w:val="0"/>
          <w:sz w:val="32"/>
          <w:szCs w:val="32"/>
          <w:lang w:val="zh-CN" w:bidi="zh-CN"/>
        </w:rPr>
        <w:t>5</w:t>
      </w:r>
      <w:r>
        <w:rPr>
          <w:rFonts w:ascii="仿宋" w:hAnsi="仿宋" w:cs="仿宋"/>
          <w:b w:val="0"/>
          <w:sz w:val="32"/>
          <w:szCs w:val="32"/>
          <w:lang w:val="zh-CN" w:bidi="zh-CN"/>
        </w:rPr>
        <w:t>%</w:t>
      </w:r>
      <w:r>
        <w:rPr>
          <w:rFonts w:hint="eastAsia" w:ascii="仿宋" w:hAnsi="仿宋" w:cs="仿宋"/>
          <w:b w:val="0"/>
          <w:sz w:val="32"/>
          <w:szCs w:val="32"/>
          <w:lang w:val="zh-CN" w:bidi="zh-CN"/>
        </w:rPr>
        <w:t>。</w:t>
      </w:r>
    </w:p>
    <w:p>
      <w:pPr>
        <w:pStyle w:val="10"/>
        <w:widowControl w:val="0"/>
        <w:spacing w:before="0" w:after="0"/>
        <w:ind w:firstLine="567" w:firstLineChars="200"/>
        <w:rPr>
          <w:rFonts w:ascii="仿宋_GB2312" w:hAnsi="仿宋_GB2312" w:eastAsia="仿宋_GB2312" w:cs="仿宋_GB2312"/>
          <w:b/>
          <w:color w:val="000000"/>
          <w:spacing w:val="-19"/>
          <w:sz w:val="32"/>
          <w:szCs w:val="32"/>
          <w:lang w:eastAsia="zh-CN"/>
        </w:rPr>
      </w:pPr>
      <w:r>
        <w:rPr>
          <w:rFonts w:hint="eastAsia" w:ascii="仿宋_GB2312" w:hAnsi="仿宋_GB2312" w:eastAsia="仿宋_GB2312" w:cs="仿宋_GB2312"/>
          <w:b/>
          <w:color w:val="000000"/>
          <w:spacing w:val="-19"/>
          <w:sz w:val="32"/>
          <w:szCs w:val="32"/>
          <w:lang w:eastAsia="zh-CN"/>
        </w:rPr>
        <w:t>三、项目绩效。</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（一）项目过程情况</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1、资金到位率。省局项目补助160万元，实际到位160万元，资金到位率100%。</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2、预算执行率。省局项目补助经费预算160万元，实际使用160万元，预算执行率为100%。</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3、资金使用合规性。该项资金在使用过程中符合国家财经法规和财务管理制度以及有关专项资金管理办法的规定，资金的拨付有完整的审批程序和手续，符合项目预算批复或合同规定的用途，不存在截留、挤占、挪用、虚列支出等情况。</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4、管理制度健全性。该项目已建立基本的业务管理制度，业务管理制度合法、合规。执行中按照局财务管理制度要求，财务管理制度合法、合规、完整。</w:t>
      </w:r>
    </w:p>
    <w:p>
      <w:pPr>
        <w:widowControl w:val="0"/>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5、制度执行有效性。该项目遵守相关法律法规和相关管理规定，项目调整及支出调整手续完备，发明专利授权证书、奖励文件等资料齐全、归档到位，组织调度、协同推进等相关机制落实到位。</w:t>
      </w:r>
    </w:p>
    <w:p>
      <w:pPr>
        <w:pStyle w:val="10"/>
        <w:widowControl w:val="0"/>
        <w:spacing w:before="0" w:after="0"/>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（二）项目产出情况</w:t>
      </w:r>
    </w:p>
    <w:p>
      <w:pPr>
        <w:spacing w:line="400" w:lineRule="exact"/>
        <w:ind w:firstLine="640" w:firstLineChars="200"/>
        <w:rPr>
          <w:rFonts w:ascii="仿宋" w:hAnsi="仿宋" w:cs="仿宋"/>
          <w:sz w:val="32"/>
          <w:szCs w:val="32"/>
          <w:lang w:val="zh-CN" w:bidi="zh-CN"/>
        </w:rPr>
      </w:pPr>
      <w:r>
        <w:rPr>
          <w:rFonts w:hint="eastAsia" w:ascii="仿宋" w:hAnsi="仿宋" w:cs="仿宋"/>
          <w:b w:val="0"/>
          <w:sz w:val="32"/>
          <w:szCs w:val="32"/>
          <w:lang w:val="zh-CN" w:bidi="zh-CN"/>
        </w:rPr>
        <w:t>1、数量指标。监管各类特种设备数量（不含气瓶和压力管道）2.9万台（套）；</w:t>
      </w:r>
      <w:r>
        <w:rPr>
          <w:rFonts w:ascii="仿宋" w:hAnsi="仿宋" w:cs="仿宋"/>
          <w:b w:val="0"/>
          <w:sz w:val="32"/>
          <w:szCs w:val="32"/>
          <w:lang w:val="zh-CN" w:bidi="zh-CN"/>
        </w:rPr>
        <w:t>食品安全检查频次达标率</w:t>
      </w:r>
      <w:r>
        <w:rPr>
          <w:rFonts w:hint="eastAsia" w:ascii="仿宋" w:hAnsi="仿宋" w:cs="仿宋"/>
          <w:b w:val="0"/>
          <w:sz w:val="32"/>
          <w:szCs w:val="32"/>
          <w:lang w:val="zh-CN" w:bidi="zh-CN"/>
        </w:rPr>
        <w:t>100%；办理一般程序案件数861件。</w:t>
      </w:r>
    </w:p>
    <w:p>
      <w:pPr>
        <w:widowControl w:val="0"/>
        <w:ind w:firstLine="640" w:firstLineChars="200"/>
        <w:rPr>
          <w:rFonts w:hint="eastAsia" w:ascii="仿宋" w:hAnsi="仿宋" w:cs="仿宋"/>
          <w:b w:val="0"/>
          <w:sz w:val="32"/>
          <w:szCs w:val="32"/>
          <w:lang w:val="zh-CN" w:bidi="zh-CN"/>
        </w:rPr>
      </w:pPr>
      <w:r>
        <w:rPr>
          <w:rFonts w:hint="eastAsia" w:ascii="仿宋" w:hAnsi="仿宋" w:cs="仿宋"/>
          <w:b w:val="0"/>
          <w:sz w:val="32"/>
          <w:szCs w:val="32"/>
          <w:lang w:val="zh-CN" w:bidi="zh-CN"/>
        </w:rPr>
        <w:t>2、质量指标。日常巡查完成率100%；特种设备安全隐患整改率100%；错案率、复议撤销率、诉讼败诉率0%。</w:t>
      </w:r>
    </w:p>
    <w:p>
      <w:pPr>
        <w:spacing w:line="400" w:lineRule="exact"/>
        <w:ind w:firstLine="640" w:firstLineChars="200"/>
        <w:rPr>
          <w:rFonts w:ascii="仿宋" w:hAnsi="仿宋" w:cs="仿宋"/>
          <w:b w:val="0"/>
          <w:sz w:val="32"/>
          <w:szCs w:val="32"/>
          <w:lang w:val="zh-CN" w:bidi="zh-CN"/>
        </w:rPr>
      </w:pPr>
      <w:r>
        <w:rPr>
          <w:rFonts w:hint="eastAsia" w:ascii="仿宋" w:hAnsi="仿宋" w:cs="仿宋"/>
          <w:b w:val="0"/>
          <w:sz w:val="32"/>
          <w:szCs w:val="32"/>
          <w:lang w:val="zh-CN" w:bidi="zh-CN"/>
        </w:rPr>
        <w:t>3、时效指标。食品安全专项整治逾期率0；超期未闭环隐患0；案件办理时限超期率0%。</w:t>
      </w:r>
    </w:p>
    <w:p>
      <w:pPr>
        <w:pStyle w:val="10"/>
        <w:widowControl w:val="0"/>
        <w:spacing w:before="0" w:after="0"/>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（三）项目效益情况</w:t>
      </w:r>
    </w:p>
    <w:p>
      <w:pPr>
        <w:widowControl w:val="0"/>
        <w:ind w:firstLine="640" w:firstLineChars="200"/>
        <w:rPr>
          <w:rFonts w:hint="eastAsia" w:ascii="仿宋" w:hAnsi="仿宋" w:cs="仿宋"/>
          <w:b w:val="0"/>
          <w:sz w:val="32"/>
          <w:szCs w:val="32"/>
          <w:lang w:val="zh-CN" w:bidi="zh-CN"/>
        </w:rPr>
      </w:pPr>
      <w:r>
        <w:rPr>
          <w:rFonts w:hint="eastAsia" w:ascii="仿宋" w:hAnsi="仿宋" w:cs="仿宋"/>
          <w:b w:val="0"/>
          <w:sz w:val="32"/>
          <w:szCs w:val="32"/>
          <w:lang w:val="zh-CN" w:bidi="zh-CN"/>
        </w:rPr>
        <w:t>1、社会效益指标。强化全社会安全意识。</w:t>
      </w:r>
    </w:p>
    <w:p>
      <w:pPr>
        <w:widowControl w:val="0"/>
        <w:ind w:firstLine="636" w:firstLineChars="199"/>
        <w:rPr>
          <w:rFonts w:hint="eastAsia" w:ascii="仿宋" w:hAnsi="仿宋" w:cs="仿宋"/>
          <w:b w:val="0"/>
          <w:sz w:val="32"/>
          <w:szCs w:val="32"/>
          <w:lang w:val="zh-CN" w:bidi="zh-CN"/>
        </w:rPr>
      </w:pPr>
      <w:r>
        <w:rPr>
          <w:rFonts w:hint="eastAsia" w:ascii="仿宋" w:hAnsi="仿宋" w:cs="仿宋"/>
          <w:b w:val="0"/>
          <w:sz w:val="32"/>
          <w:szCs w:val="32"/>
          <w:lang w:val="zh-CN" w:bidi="zh-CN"/>
        </w:rPr>
        <w:t>2、可持续发展指标。安全形势稳定向好。</w:t>
      </w:r>
    </w:p>
    <w:p>
      <w:pPr>
        <w:widowControl w:val="0"/>
        <w:ind w:firstLine="639" w:firstLineChars="199"/>
        <w:rPr>
          <w:rFonts w:ascii="仿宋_GB2312" w:hAnsi="仿宋_GB2312" w:eastAsia="仿宋_GB2312"/>
          <w:b w:val="0"/>
          <w:color w:val="000000"/>
          <w:sz w:val="32"/>
          <w:szCs w:val="32"/>
        </w:rPr>
      </w:pPr>
      <w:r>
        <w:rPr>
          <w:rFonts w:hint="eastAsia" w:ascii="仿宋_GB2312" w:hAnsi="仿宋_GB2312" w:eastAsia="仿宋_GB2312"/>
          <w:color w:val="000000"/>
          <w:sz w:val="32"/>
          <w:szCs w:val="32"/>
        </w:rPr>
        <w:t>（四）项目满意度情况。</w:t>
      </w:r>
    </w:p>
    <w:p>
      <w:pPr>
        <w:pStyle w:val="10"/>
        <w:widowControl w:val="0"/>
        <w:spacing w:before="0" w:after="0"/>
        <w:ind w:firstLine="640" w:firstLineChars="200"/>
        <w:rPr>
          <w:rFonts w:ascii="仿宋" w:hAnsi="仿宋" w:eastAsia="仿宋" w:cs="仿宋"/>
          <w:sz w:val="32"/>
          <w:szCs w:val="32"/>
          <w:lang w:val="zh-CN" w:eastAsia="zh-CN" w:bidi="zh-CN"/>
        </w:rPr>
      </w:pPr>
      <w:r>
        <w:rPr>
          <w:rFonts w:hint="eastAsia" w:ascii="仿宋" w:hAnsi="仿宋" w:eastAsia="仿宋" w:cs="仿宋"/>
          <w:sz w:val="32"/>
          <w:szCs w:val="32"/>
          <w:lang w:val="zh-CN" w:eastAsia="zh-CN" w:bidi="zh-CN"/>
        </w:rPr>
        <w:t>服务对象满意度</w:t>
      </w:r>
      <w:r>
        <w:rPr>
          <w:rFonts w:ascii="仿宋" w:hAnsi="仿宋" w:eastAsia="仿宋" w:cs="仿宋"/>
          <w:sz w:val="32"/>
          <w:szCs w:val="32"/>
          <w:lang w:val="zh-CN" w:eastAsia="zh-CN" w:bidi="zh-CN"/>
        </w:rPr>
        <w:t>≥9</w:t>
      </w:r>
      <w:r>
        <w:rPr>
          <w:rFonts w:hint="eastAsia" w:ascii="仿宋" w:hAnsi="仿宋" w:eastAsia="仿宋" w:cs="仿宋"/>
          <w:sz w:val="32"/>
          <w:szCs w:val="32"/>
          <w:lang w:val="zh-CN" w:eastAsia="zh-CN" w:bidi="zh-CN"/>
        </w:rPr>
        <w:t>5</w:t>
      </w:r>
      <w:r>
        <w:rPr>
          <w:rFonts w:ascii="仿宋" w:hAnsi="仿宋" w:eastAsia="仿宋" w:cs="仿宋"/>
          <w:sz w:val="32"/>
          <w:szCs w:val="32"/>
          <w:lang w:val="zh-CN" w:eastAsia="zh-CN" w:bidi="zh-CN"/>
        </w:rPr>
        <w:t>%</w:t>
      </w:r>
      <w:r>
        <w:rPr>
          <w:rFonts w:hint="eastAsia" w:ascii="仿宋" w:hAnsi="仿宋" w:eastAsia="仿宋" w:cs="仿宋"/>
          <w:sz w:val="32"/>
          <w:szCs w:val="32"/>
          <w:lang w:val="zh-CN" w:eastAsia="zh-CN" w:bidi="zh-CN"/>
        </w:rPr>
        <w:t>。</w:t>
      </w:r>
    </w:p>
    <w:p>
      <w:pPr>
        <w:pStyle w:val="10"/>
        <w:widowControl w:val="0"/>
        <w:spacing w:before="0" w:after="0"/>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四、存在问题。</w:t>
      </w:r>
    </w:p>
    <w:p>
      <w:pPr>
        <w:pStyle w:val="10"/>
        <w:widowControl w:val="0"/>
        <w:spacing w:before="0" w:after="0"/>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五、有关建议。</w:t>
      </w:r>
    </w:p>
    <w:p>
      <w:pPr>
        <w:pStyle w:val="10"/>
        <w:widowControl w:val="0"/>
        <w:spacing w:before="0" w:after="0"/>
        <w:ind w:firstLine="640" w:firstLineChars="200"/>
        <w:rPr>
          <w:rFonts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无</w:t>
      </w:r>
    </w:p>
    <w:p>
      <w:pPr>
        <w:pStyle w:val="10"/>
        <w:widowControl w:val="0"/>
        <w:spacing w:before="0" w:after="0"/>
        <w:ind w:firstLine="643" w:firstLineChars="200"/>
        <w:rPr>
          <w:rFonts w:ascii="仿宋_GB2312" w:hAnsi="仿宋_GB2312" w:eastAsia="仿宋_GB2312" w:cs="仿宋_GB2312"/>
          <w:b/>
          <w:color w:val="000000"/>
          <w:sz w:val="32"/>
          <w:szCs w:val="32"/>
          <w:lang w:eastAsia="zh-CN"/>
        </w:rPr>
      </w:pPr>
      <w:r>
        <w:rPr>
          <w:rFonts w:hint="eastAsia" w:ascii="仿宋_GB2312" w:hAnsi="仿宋_GB2312" w:eastAsia="仿宋_GB2312" w:cs="仿宋_GB2312"/>
          <w:b/>
          <w:color w:val="000000"/>
          <w:sz w:val="32"/>
          <w:szCs w:val="32"/>
          <w:lang w:eastAsia="zh-CN"/>
        </w:rPr>
        <w:t>六、相关信息。</w:t>
      </w:r>
    </w:p>
    <w:p>
      <w:pPr>
        <w:pStyle w:val="10"/>
        <w:widowControl w:val="0"/>
        <w:spacing w:before="0" w:after="0"/>
        <w:ind w:firstLine="640" w:firstLineChars="200"/>
        <w:rPr>
          <w:rFonts w:ascii="仿宋" w:hAnsi="仿宋" w:eastAsia="仿宋" w:cs="仿宋"/>
          <w:sz w:val="32"/>
          <w:szCs w:val="32"/>
          <w:lang w:val="zh-CN" w:eastAsia="zh-CN" w:bidi="zh-CN"/>
        </w:rPr>
      </w:pPr>
      <w:r>
        <w:rPr>
          <w:rFonts w:hint="eastAsia" w:ascii="仿宋" w:hAnsi="仿宋" w:eastAsia="仿宋" w:cs="仿宋"/>
          <w:sz w:val="32"/>
          <w:szCs w:val="32"/>
          <w:lang w:val="zh-CN" w:eastAsia="zh-CN" w:bidi="zh-CN"/>
        </w:rPr>
        <w:t>绩效评价评分表以评价报告附件的形式反映</w:t>
      </w:r>
    </w:p>
    <w:p>
      <w:pPr>
        <w:pStyle w:val="9"/>
        <w:widowControl w:val="0"/>
        <w:spacing w:beforeLines="100" w:afterLines="100" w:line="560" w:lineRule="exact"/>
        <w:rPr>
          <w:rFonts w:ascii="方正小标宋简体" w:hAnsi="方正小标宋简体" w:eastAsia="方正小标宋简体" w:cs="方正小标宋简体"/>
          <w:color w:val="000000"/>
          <w:sz w:val="44"/>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44"/>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hint="eastAsia"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rPr>
          <w:rFonts w:ascii="方正小标宋简体" w:hAnsi="方正小标宋简体" w:eastAsia="方正小标宋简体" w:cs="方正小标宋简体"/>
          <w:color w:val="000000"/>
          <w:sz w:val="32"/>
          <w:szCs w:val="32"/>
          <w:lang w:eastAsia="zh-CN"/>
        </w:rPr>
      </w:pPr>
    </w:p>
    <w:p>
      <w:pPr>
        <w:pStyle w:val="9"/>
        <w:widowControl w:val="0"/>
        <w:spacing w:beforeLines="100" w:afterLines="100" w:line="560" w:lineRule="exact"/>
        <w:jc w:val="center"/>
        <w:rPr>
          <w:rFonts w:hint="eastAsia" w:ascii="方正小标宋简体" w:hAnsi="方正小标宋简体" w:eastAsia="方正小标宋简体" w:cs="方正小标宋简体"/>
          <w:color w:val="000000"/>
          <w:sz w:val="44"/>
          <w:lang w:eastAsia="zh-CN"/>
        </w:rPr>
      </w:pPr>
      <w:r>
        <w:rPr>
          <w:rFonts w:hint="eastAsia" w:ascii="方正小标宋简体" w:hAnsi="方正小标宋简体" w:eastAsia="方正小标宋简体" w:cs="方正小标宋简体"/>
          <w:color w:val="000000"/>
          <w:sz w:val="44"/>
          <w:lang w:eastAsia="zh-CN"/>
        </w:rPr>
        <w:t>2022年</w:t>
      </w:r>
      <w:r>
        <w:rPr>
          <w:rFonts w:ascii="方正小标宋简体" w:hAnsi="方正小标宋简体" w:eastAsia="方正小标宋简体" w:cs="方正小标宋简体"/>
          <w:color w:val="000000"/>
          <w:sz w:val="44"/>
          <w:lang w:eastAsia="zh-CN"/>
        </w:rPr>
        <w:t>江苏省市场监管及技术能力建设专项资金</w:t>
      </w:r>
      <w:r>
        <w:rPr>
          <w:rFonts w:hint="eastAsia" w:ascii="方正小标宋简体" w:hAnsi="方正小标宋简体" w:eastAsia="方正小标宋简体" w:cs="方正小标宋简体"/>
          <w:color w:val="000000"/>
          <w:sz w:val="44"/>
          <w:lang w:eastAsia="zh-CN"/>
        </w:rPr>
        <w:t>绩效自评价评分表</w:t>
      </w:r>
    </w:p>
    <w:p>
      <w:pPr>
        <w:pStyle w:val="9"/>
        <w:widowControl w:val="0"/>
        <w:spacing w:beforeLines="100" w:afterLines="100" w:line="560" w:lineRule="exact"/>
        <w:jc w:val="center"/>
        <w:rPr>
          <w:rFonts w:ascii="黑体" w:hAnsi="黑体" w:eastAsia="黑体" w:cs="黑体"/>
          <w:color w:val="000000"/>
          <w:sz w:val="28"/>
          <w:szCs w:val="28"/>
          <w:u w:val="single"/>
          <w:lang w:eastAsia="zh-CN"/>
        </w:rPr>
      </w:pPr>
      <w:r>
        <w:rPr>
          <w:rFonts w:hint="eastAsia" w:ascii="宋体" w:hAnsi="宋体" w:eastAsia="宋体" w:cs="宋体"/>
          <w:color w:val="000000"/>
          <w:sz w:val="20"/>
          <w:szCs w:val="20"/>
          <w:lang w:eastAsia="zh-CN"/>
        </w:rPr>
        <w:t>填报单位</w:t>
      </w:r>
      <w:r>
        <w:rPr>
          <w:rFonts w:ascii="宋体" w:hAnsi="宋体" w:eastAsia="宋体" w:cs="宋体"/>
          <w:sz w:val="24"/>
          <w:szCs w:val="24"/>
          <w:lang w:eastAsia="zh-CN"/>
        </w:rPr>
        <w:t>：</w:t>
      </w:r>
      <w:r>
        <w:rPr>
          <w:rFonts w:hint="eastAsia" w:ascii="宋体" w:hAnsi="宋体" w:eastAsia="宋体" w:cs="宋体"/>
          <w:sz w:val="21"/>
          <w:szCs w:val="21"/>
          <w:u w:val="single"/>
          <w:lang w:eastAsia="zh-CN"/>
        </w:rPr>
        <w:t>如皋市市场监督管理局</w:t>
      </w:r>
      <w:r>
        <w:rPr>
          <w:rFonts w:ascii="宋体" w:hAnsi="宋体" w:eastAsia="宋体" w:cs="宋体"/>
          <w:sz w:val="24"/>
          <w:szCs w:val="24"/>
          <w:lang w:eastAsia="zh-CN"/>
        </w:rPr>
        <w:t xml:space="preserve"> </w:t>
      </w:r>
      <w:r>
        <w:rPr>
          <w:rFonts w:hint="eastAsia" w:ascii="宋体" w:hAnsi="宋体" w:eastAsia="宋体" w:cs="宋体"/>
          <w:color w:val="000000"/>
          <w:sz w:val="20"/>
          <w:szCs w:val="20"/>
          <w:lang w:eastAsia="zh-CN"/>
        </w:rPr>
        <w:t>项目名称：</w:t>
      </w:r>
      <w:r>
        <w:rPr>
          <w:rFonts w:hint="eastAsia" w:ascii="宋体" w:hAnsi="宋体" w:eastAsia="宋体" w:cs="宋体"/>
          <w:color w:val="000000"/>
          <w:sz w:val="20"/>
          <w:szCs w:val="20"/>
          <w:u w:val="single"/>
          <w:lang w:val="en-US" w:eastAsia="zh-CN"/>
        </w:rPr>
        <w:t>2022年</w:t>
      </w:r>
      <w:r>
        <w:rPr>
          <w:sz w:val="19"/>
          <w:u w:val="single"/>
          <w:lang w:eastAsia="zh-CN"/>
        </w:rPr>
        <w:t>江苏省市场监管及技术能力建设专项资金</w:t>
      </w:r>
      <w:r>
        <w:rPr>
          <w:rFonts w:hint="eastAsia"/>
          <w:sz w:val="19"/>
          <w:u w:val="single"/>
          <w:lang w:eastAsia="zh-CN"/>
        </w:rPr>
        <w:t>（</w:t>
      </w:r>
      <w:r>
        <w:rPr>
          <w:rFonts w:hint="eastAsia"/>
          <w:sz w:val="19"/>
          <w:u w:val="single"/>
          <w:lang w:val="en-US" w:eastAsia="zh-CN"/>
        </w:rPr>
        <w:t>市场监管部分</w:t>
      </w:r>
      <w:r>
        <w:rPr>
          <w:rFonts w:hint="eastAsia"/>
          <w:sz w:val="19"/>
          <w:u w:val="single"/>
          <w:lang w:eastAsia="zh-CN"/>
        </w:rPr>
        <w:t>）</w:t>
      </w:r>
    </w:p>
    <w:tbl>
      <w:tblPr>
        <w:tblStyle w:val="5"/>
        <w:tblW w:w="0" w:type="auto"/>
        <w:jc w:val="center"/>
        <w:tblLayout w:type="autofit"/>
        <w:tblCellMar>
          <w:top w:w="0" w:type="dxa"/>
          <w:left w:w="108" w:type="dxa"/>
          <w:bottom w:w="0" w:type="dxa"/>
          <w:right w:w="108" w:type="dxa"/>
        </w:tblCellMar>
      </w:tblPr>
      <w:tblGrid>
        <w:gridCol w:w="883"/>
        <w:gridCol w:w="1454"/>
        <w:gridCol w:w="2835"/>
        <w:gridCol w:w="1257"/>
        <w:gridCol w:w="1257"/>
        <w:gridCol w:w="577"/>
        <w:gridCol w:w="534"/>
        <w:gridCol w:w="767"/>
      </w:tblGrid>
      <w:tr>
        <w:tblPrEx>
          <w:tblCellMar>
            <w:top w:w="0" w:type="dxa"/>
            <w:left w:w="108" w:type="dxa"/>
            <w:bottom w:w="0" w:type="dxa"/>
            <w:right w:w="108" w:type="dxa"/>
          </w:tblCellMar>
        </w:tblPrEx>
        <w:trPr>
          <w:trHeight w:val="567" w:hRule="atLeast"/>
          <w:jc w:val="center"/>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评价指标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年初指标值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实际完成值</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权重</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得分</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评分依据</w:t>
            </w: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一级指标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三级指标</w:t>
            </w: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6"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决策指标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项目立项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立项依据充分性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充分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22"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立项程序规范性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99"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绩效目标合理性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5"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绩效指标明确性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明确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26"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资金投入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预算编制科学性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科学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资金分配合理性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合理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9"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过程指标</w:t>
            </w:r>
          </w:p>
        </w:tc>
        <w:tc>
          <w:tcPr>
            <w:tcW w:w="0" w:type="auto"/>
            <w:vMerge w:val="restart"/>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r>
              <w:rPr>
                <w:rFonts w:ascii="宋体" w:hAnsi="宋体" w:eastAsia="宋体" w:cs="宋体"/>
                <w:color w:val="000000"/>
                <w:sz w:val="20"/>
                <w:szCs w:val="20"/>
              </w:rPr>
              <w:t>资金到位率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15"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预算执行率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b w:val="0"/>
                <w:color w:val="000000"/>
                <w:sz w:val="20"/>
                <w:szCs w:val="20"/>
              </w:rPr>
            </w:pPr>
            <w:r>
              <w:rPr>
                <w:rFonts w:hint="eastAsia" w:ascii="宋体" w:hAnsi="宋体" w:eastAsia="宋体" w:cs="宋体"/>
                <w:b w:val="0"/>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21"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资金使用合规性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合规</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组织实施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管理制度健全、制度执行有效性</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健全、有效</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408" w:hRule="atLeast"/>
          <w:jc w:val="center"/>
        </w:trPr>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产出指标</w:t>
            </w: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监管各类特种设备数量（不含气瓶和压力管道）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2.9万台（套）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2.9万台（套）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hint="eastAsia" w:ascii="宋体" w:hAnsi="宋体" w:eastAsia="宋体" w:cs="宋体"/>
                <w:color w:val="000000"/>
                <w:sz w:val="20"/>
                <w:szCs w:val="20"/>
              </w:rPr>
            </w:pPr>
            <w:r>
              <w:rPr>
                <w:rFonts w:ascii="宋体" w:hAnsi="宋体" w:eastAsia="宋体" w:cs="宋体"/>
                <w:color w:val="000000"/>
                <w:sz w:val="20"/>
                <w:szCs w:val="20"/>
              </w:rPr>
              <w:t>食品安全检查频次达标率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办理一般程序案件数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700件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861件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0"/>
                <w:szCs w:val="20"/>
              </w:rPr>
              <w:t>错案率、复议撤销率、诉讼败诉率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hint="eastAsia"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日常巡查完成率、特种设备安全隐患整改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sz w:val="18"/>
                <w:szCs w:val="18"/>
              </w:rPr>
            </w:pPr>
            <w:r>
              <w:rPr>
                <w:rFonts w:hint="eastAsia"/>
                <w:sz w:val="18"/>
                <w:szCs w:val="18"/>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320" w:hRule="atLeast"/>
          <w:jc w:val="center"/>
        </w:trPr>
        <w:tc>
          <w:tcPr>
            <w:tcW w:w="0" w:type="auto"/>
            <w:vMerge w:val="continue"/>
            <w:tcBorders>
              <w:left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restart"/>
            <w:tcBorders>
              <w:top w:val="single" w:color="000000" w:sz="4" w:space="0"/>
              <w:left w:val="nil"/>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食品安全专项整治逾期率、超期未闭环隐患</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vMerge w:val="continue"/>
            <w:tcBorders>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案件办理时限超期率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效益指标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强化全社会安全意识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增强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nil"/>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ascii="宋体" w:hAnsi="宋体" w:eastAsia="宋体" w:cs="宋体"/>
                <w:color w:val="000000"/>
                <w:sz w:val="20"/>
                <w:szCs w:val="20"/>
              </w:rPr>
              <w:t>可持续发展指标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安全形势稳定向好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持续向好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ascii="宋体" w:hAnsi="宋体" w:eastAsia="宋体" w:cs="宋体"/>
                <w:color w:val="000000"/>
                <w:sz w:val="20"/>
                <w:szCs w:val="20"/>
              </w:rPr>
              <w:t>持续向好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567"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r>
              <w:rPr>
                <w:rFonts w:hint="eastAsia" w:ascii="宋体" w:hAnsi="宋体" w:eastAsia="宋体" w:cs="宋体"/>
                <w:color w:val="000000"/>
                <w:sz w:val="20"/>
                <w:szCs w:val="20"/>
              </w:rPr>
              <w:t>服务满意度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sz w:val="18"/>
                <w:szCs w:val="18"/>
              </w:rPr>
            </w:pPr>
            <w:r>
              <w:rPr>
                <w:rFonts w:ascii="宋体" w:hAnsi="宋体" w:eastAsia="宋体" w:cs="宋体"/>
                <w:color w:val="000000"/>
                <w:sz w:val="20"/>
                <w:szCs w:val="20"/>
              </w:rPr>
              <w:t>≥9</w:t>
            </w:r>
            <w:r>
              <w:rPr>
                <w:rFonts w:hint="eastAsia" w:ascii="宋体" w:hAnsi="宋体" w:eastAsia="宋体" w:cs="宋体"/>
                <w:color w:val="000000"/>
                <w:sz w:val="20"/>
                <w:szCs w:val="20"/>
              </w:rPr>
              <w:t>5</w:t>
            </w:r>
            <w:r>
              <w:rPr>
                <w:rFonts w:ascii="宋体" w:hAnsi="宋体" w:eastAsia="宋体" w:cs="宋体"/>
                <w:color w:val="000000"/>
                <w:sz w:val="20"/>
                <w:szCs w:val="20"/>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r>
        <w:tblPrEx>
          <w:tblCellMar>
            <w:top w:w="0" w:type="dxa"/>
            <w:left w:w="108" w:type="dxa"/>
            <w:bottom w:w="0" w:type="dxa"/>
            <w:right w:w="108" w:type="dxa"/>
          </w:tblCellMar>
        </w:tblPrEx>
        <w:trPr>
          <w:trHeight w:val="499"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textAlignment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val="0"/>
              <w:spacing w:line="260" w:lineRule="exact"/>
              <w:jc w:val="center"/>
              <w:rPr>
                <w:rFonts w:ascii="宋体" w:hAnsi="宋体" w:eastAsia="宋体" w:cs="宋体"/>
                <w:color w:val="000000"/>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0"/>
                <w:szCs w:val="20"/>
              </w:rPr>
            </w:pPr>
            <w:r>
              <w:rPr>
                <w:rFonts w:hint="eastAsia" w:ascii="宋体" w:hAnsi="宋体" w:eastAsia="宋体" w:cs="宋体"/>
                <w:color w:val="000000"/>
                <w:sz w:val="20"/>
                <w:szCs w:val="20"/>
              </w:rPr>
              <w:t>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val="0"/>
              <w:spacing w:line="260" w:lineRule="exact"/>
              <w:jc w:val="center"/>
              <w:rPr>
                <w:rFonts w:ascii="宋体" w:hAnsi="宋体" w:eastAsia="宋体" w:cs="宋体"/>
                <w:color w:val="000000"/>
                <w:sz w:val="22"/>
                <w:szCs w:val="22"/>
              </w:rPr>
            </w:pPr>
          </w:p>
        </w:tc>
      </w:tr>
    </w:tbl>
    <w:p>
      <w:pPr>
        <w:pStyle w:val="10"/>
        <w:widowControl w:val="0"/>
        <w:spacing w:before="0" w:after="0" w:line="560" w:lineRule="exact"/>
        <w:rPr>
          <w:rFonts w:ascii="仿宋_GB2312" w:hAnsi="仿宋_GB2312" w:eastAsia="仿宋_GB2312" w:cs="仿宋_GB2312"/>
          <w:color w:val="000000"/>
          <w:sz w:val="32"/>
          <w:szCs w:val="32"/>
          <w:lang w:eastAsia="zh-CN"/>
        </w:rPr>
      </w:pPr>
    </w:p>
    <w:sectPr>
      <w:pgSz w:w="11900" w:h="16820"/>
      <w:pgMar w:top="1134" w:right="1134" w:bottom="1134" w:left="1418" w:header="720" w:footer="720" w:gutter="0"/>
      <w:pgNumType w:fmt="numberInDash" w:start="1"/>
      <w:cols w:space="720" w:num="1"/>
      <w:docGrid w:type="lines"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5YTdkNDkzODdhNjIwMDY1OWEyNWFjNTViZGZhZjcifQ=="/>
  </w:docVars>
  <w:rsids>
    <w:rsidRoot w:val="009F5B45"/>
    <w:rsid w:val="000214F9"/>
    <w:rsid w:val="00056AC1"/>
    <w:rsid w:val="000764C9"/>
    <w:rsid w:val="000901CA"/>
    <w:rsid w:val="000A56DB"/>
    <w:rsid w:val="0013690D"/>
    <w:rsid w:val="001637D4"/>
    <w:rsid w:val="00181AC8"/>
    <w:rsid w:val="00183851"/>
    <w:rsid w:val="001B3712"/>
    <w:rsid w:val="001B7444"/>
    <w:rsid w:val="001C0666"/>
    <w:rsid w:val="001C7901"/>
    <w:rsid w:val="00236A1C"/>
    <w:rsid w:val="00282722"/>
    <w:rsid w:val="002A0C36"/>
    <w:rsid w:val="002D14C7"/>
    <w:rsid w:val="002D7B1F"/>
    <w:rsid w:val="00350EC6"/>
    <w:rsid w:val="003560FE"/>
    <w:rsid w:val="00402908"/>
    <w:rsid w:val="00405C4A"/>
    <w:rsid w:val="0043705C"/>
    <w:rsid w:val="004428E4"/>
    <w:rsid w:val="00512EF4"/>
    <w:rsid w:val="00532984"/>
    <w:rsid w:val="005C2580"/>
    <w:rsid w:val="005F51D1"/>
    <w:rsid w:val="005F6EE5"/>
    <w:rsid w:val="00681AA8"/>
    <w:rsid w:val="006C448E"/>
    <w:rsid w:val="006F348D"/>
    <w:rsid w:val="00703BE2"/>
    <w:rsid w:val="0073780E"/>
    <w:rsid w:val="0074070F"/>
    <w:rsid w:val="00772971"/>
    <w:rsid w:val="007940E0"/>
    <w:rsid w:val="007D0253"/>
    <w:rsid w:val="007E0BFD"/>
    <w:rsid w:val="007F7AD4"/>
    <w:rsid w:val="00883F04"/>
    <w:rsid w:val="008A391D"/>
    <w:rsid w:val="008B052F"/>
    <w:rsid w:val="008F6531"/>
    <w:rsid w:val="008F6B6E"/>
    <w:rsid w:val="009038FB"/>
    <w:rsid w:val="00935A36"/>
    <w:rsid w:val="009F5B45"/>
    <w:rsid w:val="009F5D10"/>
    <w:rsid w:val="00A106F7"/>
    <w:rsid w:val="00A40F6F"/>
    <w:rsid w:val="00AC1C6A"/>
    <w:rsid w:val="00AC4B2F"/>
    <w:rsid w:val="00AE3ADC"/>
    <w:rsid w:val="00AE7334"/>
    <w:rsid w:val="00B33E83"/>
    <w:rsid w:val="00B92F0A"/>
    <w:rsid w:val="00C13206"/>
    <w:rsid w:val="00C16BA5"/>
    <w:rsid w:val="00C66D3D"/>
    <w:rsid w:val="00CE37D3"/>
    <w:rsid w:val="00D77944"/>
    <w:rsid w:val="00DE5946"/>
    <w:rsid w:val="00E02273"/>
    <w:rsid w:val="00E06B10"/>
    <w:rsid w:val="00E512C0"/>
    <w:rsid w:val="00E57818"/>
    <w:rsid w:val="00E7786B"/>
    <w:rsid w:val="00EE6CBC"/>
    <w:rsid w:val="00F753F8"/>
    <w:rsid w:val="07C05BFF"/>
    <w:rsid w:val="2BD17ACF"/>
    <w:rsid w:val="4FF1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仿宋" w:cs="仿宋_GB2312" w:asciiTheme="minorHAnsi" w:hAnsiTheme="minorHAnsi"/>
      <w:b/>
      <w:kern w:val="0"/>
      <w:sz w:val="28"/>
      <w:szCs w:val="28"/>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widowControl w:val="0"/>
      <w:tabs>
        <w:tab w:val="center" w:pos="4153"/>
        <w:tab w:val="right" w:pos="8306"/>
      </w:tabs>
      <w:snapToGrid w:val="0"/>
      <w:jc w:val="left"/>
    </w:pPr>
    <w:rPr>
      <w:rFonts w:eastAsiaTheme="minorEastAsia" w:cstheme="minorBidi"/>
      <w:b w:val="0"/>
      <w:kern w:val="2"/>
      <w:sz w:val="18"/>
      <w:szCs w:val="18"/>
    </w:rPr>
  </w:style>
  <w:style w:type="paragraph" w:styleId="3">
    <w:name w:val="header"/>
    <w:basedOn w:val="1"/>
    <w:link w:val="7"/>
    <w:semiHidden/>
    <w:unhideWhenUsed/>
    <w:uiPriority w:val="99"/>
    <w:pPr>
      <w:widowControl w:val="0"/>
      <w:pBdr>
        <w:bottom w:val="single" w:color="auto" w:sz="6" w:space="1"/>
      </w:pBdr>
      <w:tabs>
        <w:tab w:val="center" w:pos="4153"/>
        <w:tab w:val="right" w:pos="8306"/>
      </w:tabs>
      <w:snapToGrid w:val="0"/>
      <w:jc w:val="center"/>
    </w:pPr>
    <w:rPr>
      <w:rFonts w:eastAsiaTheme="minorEastAsia" w:cstheme="minorBidi"/>
      <w:b w:val="0"/>
      <w:kern w:val="2"/>
      <w:sz w:val="18"/>
      <w:szCs w:val="18"/>
    </w:rPr>
  </w:style>
  <w:style w:type="paragraph" w:styleId="4">
    <w:name w:val="Normal (Web)"/>
    <w:basedOn w:val="1"/>
    <w:uiPriority w:val="0"/>
    <w:pPr>
      <w:spacing w:beforeAutospacing="1" w:afterAutospacing="1"/>
      <w:jc w:val="left"/>
    </w:pPr>
    <w:rPr>
      <w:rFonts w:cs="Times New Roman"/>
      <w:sz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 w:type="paragraph" w:customStyle="1" w:styleId="9">
    <w:name w:val="Normal_0"/>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0">
    <w:name w:val="Normal_18"/>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1">
    <w:name w:val="Normal_12"/>
    <w:qFormat/>
    <w:uiPriority w:val="0"/>
    <w:pPr>
      <w:spacing w:before="120" w:after="240"/>
      <w:jc w:val="both"/>
    </w:pPr>
    <w:rPr>
      <w:rFonts w:asciiTheme="minorHAnsi" w:hAnsiTheme="minorHAnsi" w:eastAsiaTheme="minorEastAsia" w:cstheme="minorBidi"/>
      <w:kern w:val="0"/>
      <w:sz w:val="22"/>
      <w:szCs w:val="22"/>
      <w:lang w:val="en-US" w:eastAsia="en-US" w:bidi="ar-SA"/>
    </w:rPr>
  </w:style>
  <w:style w:type="paragraph" w:customStyle="1" w:styleId="12">
    <w:name w:val="Table Paragraph"/>
    <w:basedOn w:val="1"/>
    <w:qFormat/>
    <w:uiPriority w:val="1"/>
    <w:pPr>
      <w:widowControl w:val="0"/>
      <w:autoSpaceDE w:val="0"/>
      <w:autoSpaceDN w:val="0"/>
      <w:spacing w:before="140"/>
      <w:jc w:val="left"/>
    </w:pPr>
    <w:rPr>
      <w:rFonts w:ascii="宋体" w:hAnsi="宋体" w:eastAsia="宋体" w:cs="宋体"/>
      <w:b w:val="0"/>
      <w:sz w:val="22"/>
      <w:szCs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user</Company>
  <Pages>4</Pages>
  <Words>2058</Words>
  <Characters>2175</Characters>
  <Lines>17</Lines>
  <Paragraphs>4</Paragraphs>
  <TotalTime>1255</TotalTime>
  <ScaleCrop>false</ScaleCrop>
  <LinksUpToDate>false</LinksUpToDate>
  <CharactersWithSpaces>2177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2022-03-24T07:39:00Z</dcterms:created>
  <dc:creator>顾小燕</dc:creator>
  <cp:lastModifiedBy>飞飞</cp:lastModifiedBy>
  <dcterms:modified xsi:type="dcterms:W3CDTF">2023-09-13T03:55:56Z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01493F3F7007473FA04847A16165A557</vt:lpwstr>
  </property>
</Properties>
</file>