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2022年项目支出绩效自评价情况表</w:t>
      </w:r>
    </w:p>
    <w:p>
      <w:pPr>
        <w:pStyle w:val="9"/>
        <w:widowControl w:val="0"/>
        <w:spacing w:before="0" w:after="0" w:line="500" w:lineRule="exact"/>
        <w:jc w:val="left"/>
        <w:rPr>
          <w:rFonts w:ascii="APQONC+å®ä½" w:hAnsi="APQONC+å®ä½" w:cs="APQONC+å®ä½"/>
          <w:color w:val="000000"/>
          <w:sz w:val="18"/>
          <w:lang w:eastAsia="zh-CN"/>
        </w:rPr>
      </w:pPr>
      <w:r>
        <w:rPr>
          <w:rFonts w:ascii="APQONC+å®ä½" w:hAnsi="APQONC+å®ä½" w:cs="APQONC+å®ä½"/>
          <w:color w:val="000000"/>
          <w:sz w:val="18"/>
          <w:lang w:eastAsia="zh-CN"/>
        </w:rPr>
        <w:t>填报单位：</w:t>
      </w:r>
      <w:r>
        <w:rPr>
          <w:rFonts w:hint="eastAsia" w:ascii="APQONC+å®ä½" w:hAnsi="APQONC+å®ä½" w:cs="APQONC+å®ä½"/>
          <w:color w:val="000000"/>
          <w:sz w:val="18"/>
          <w:u w:val="single"/>
          <w:lang w:eastAsia="zh-CN"/>
        </w:rPr>
        <w:t xml:space="preserve"> 如皋市市场监督管理局   </w:t>
      </w:r>
    </w:p>
    <w:p>
      <w:pPr>
        <w:pStyle w:val="9"/>
        <w:widowControl w:val="0"/>
        <w:spacing w:before="0" w:after="0" w:line="500" w:lineRule="exact"/>
        <w:jc w:val="left"/>
        <w:rPr>
          <w:rFonts w:ascii="宋体" w:hAnsi="宋体" w:eastAsia="宋体" w:cs="宋体"/>
          <w:color w:val="000000"/>
          <w:sz w:val="18"/>
          <w:u w:val="single"/>
          <w:lang w:eastAsia="zh-CN"/>
        </w:rPr>
      </w:pPr>
      <w:r>
        <w:rPr>
          <w:rFonts w:ascii="APQONC+å®ä½" w:hAnsi="APQONC+å®ä½" w:cs="APQONC+å®ä½"/>
          <w:color w:val="000000"/>
          <w:sz w:val="18"/>
          <w:lang w:eastAsia="zh-CN"/>
        </w:rPr>
        <w:t>项目名称：</w:t>
      </w:r>
      <w:r>
        <w:rPr>
          <w:rFonts w:hint="eastAsia" w:ascii="宋体" w:hAnsi="宋体" w:eastAsia="宋体" w:cs="宋体"/>
          <w:color w:val="000000"/>
          <w:sz w:val="18"/>
          <w:u w:val="single"/>
          <w:lang w:val="en-US" w:eastAsia="zh-CN"/>
        </w:rPr>
        <w:t>2022年度江</w:t>
      </w:r>
      <w:r>
        <w:rPr>
          <w:rFonts w:hint="eastAsia" w:ascii="宋体" w:hAnsi="宋体" w:eastAsia="宋体" w:cs="宋体"/>
          <w:color w:val="000000"/>
          <w:sz w:val="18"/>
          <w:u w:val="single"/>
          <w:lang w:eastAsia="zh-CN"/>
        </w:rPr>
        <w:t>苏省质量强省奖补专项资金（</w:t>
      </w:r>
      <w:r>
        <w:rPr>
          <w:rFonts w:hint="eastAsia" w:ascii="宋体" w:hAnsi="宋体" w:eastAsia="宋体" w:cs="宋体"/>
          <w:color w:val="000000"/>
          <w:sz w:val="18"/>
          <w:u w:val="single"/>
          <w:lang w:val="en-US" w:eastAsia="zh-CN"/>
        </w:rPr>
        <w:t>质量管理奖励</w:t>
      </w:r>
      <w:r>
        <w:rPr>
          <w:rFonts w:hint="eastAsia" w:ascii="宋体" w:hAnsi="宋体" w:eastAsia="宋体" w:cs="宋体"/>
          <w:color w:val="000000"/>
          <w:sz w:val="18"/>
          <w:u w:val="single"/>
          <w:lang w:eastAsia="zh-CN"/>
        </w:rPr>
        <w:t>）</w:t>
      </w:r>
    </w:p>
    <w:p>
      <w:pPr>
        <w:pStyle w:val="9"/>
        <w:widowControl w:val="0"/>
        <w:spacing w:before="0" w:after="0" w:line="500" w:lineRule="exact"/>
        <w:jc w:val="left"/>
        <w:rPr>
          <w:rFonts w:ascii="SJSDLU+å®ä½"/>
          <w:color w:val="000000"/>
          <w:sz w:val="18"/>
          <w:lang w:eastAsia="zh-CN"/>
        </w:rPr>
      </w:pPr>
      <w:r>
        <w:rPr>
          <w:rFonts w:ascii="APQONC+å®ä½" w:hAnsi="APQONC+å®ä½" w:cs="APQONC+å®ä½"/>
          <w:color w:val="000000"/>
          <w:sz w:val="18"/>
          <w:lang w:eastAsia="zh-CN"/>
        </w:rPr>
        <w:t>项目实施年度：</w:t>
      </w:r>
      <w:r>
        <w:rPr>
          <w:rFonts w:hint="eastAsia" w:ascii="宋体" w:hAnsi="宋体" w:eastAsia="宋体" w:cs="宋体"/>
          <w:color w:val="000000"/>
          <w:sz w:val="18"/>
          <w:u w:val="single"/>
          <w:lang w:eastAsia="zh-CN"/>
        </w:rPr>
        <w:t xml:space="preserve">2022年 </w:t>
      </w:r>
      <w:r>
        <w:rPr>
          <w:rFonts w:hint="eastAsia" w:ascii="宋体" w:hAnsi="宋体" w:eastAsia="宋体" w:cs="宋体"/>
          <w:color w:val="000000"/>
          <w:spacing w:val="4"/>
          <w:sz w:val="18"/>
          <w:lang w:eastAsia="zh-CN"/>
        </w:rPr>
        <w:t xml:space="preserve"> </w:t>
      </w:r>
      <w:r>
        <w:rPr>
          <w:rFonts w:ascii="APQONC+å®ä½" w:hAnsi="APQONC+å®ä½" w:cs="APQONC+å®ä½"/>
          <w:color w:val="000000"/>
          <w:spacing w:val="-9"/>
          <w:sz w:val="18"/>
          <w:lang w:eastAsia="zh-CN"/>
        </w:rPr>
        <w:t>项目实施开始时间（</w:t>
      </w:r>
      <w:r>
        <w:rPr>
          <w:rFonts w:hint="eastAsia" w:ascii="宋体" w:hAnsi="宋体" w:eastAsia="宋体" w:cs="宋体"/>
          <w:color w:val="000000"/>
          <w:spacing w:val="-9"/>
          <w:sz w:val="18"/>
          <w:lang w:eastAsia="zh-CN"/>
        </w:rPr>
        <w:t>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5"/>
          <w:sz w:val="18"/>
          <w:lang w:eastAsia="zh-CN"/>
        </w:rPr>
        <w:t xml:space="preserve"> </w:t>
      </w:r>
      <w:r>
        <w:rPr>
          <w:rFonts w:hint="eastAsia" w:ascii="宋体" w:hAnsi="宋体" w:eastAsia="宋体" w:cs="宋体"/>
          <w:color w:val="000000"/>
          <w:spacing w:val="-46"/>
          <w:sz w:val="18"/>
          <w:lang w:eastAsia="zh-CN"/>
        </w:rPr>
        <w:t xml:space="preserve">）：2 0 </w:t>
      </w:r>
      <w:r>
        <w:rPr>
          <w:rFonts w:hint="eastAsia" w:ascii="宋体" w:hAnsi="宋体" w:eastAsia="宋体" w:cs="宋体"/>
          <w:color w:val="000000"/>
          <w:sz w:val="18"/>
          <w:lang w:eastAsia="zh-CN"/>
        </w:rPr>
        <w:t xml:space="preserve">22年1月 </w:t>
      </w:r>
      <w:r>
        <w:rPr>
          <w:rFonts w:hint="eastAsia" w:ascii="宋体" w:hAnsi="宋体" w:eastAsia="宋体" w:cs="宋体"/>
          <w:color w:val="000000"/>
          <w:spacing w:val="1"/>
          <w:sz w:val="18"/>
          <w:lang w:eastAsia="zh-CN"/>
        </w:rPr>
        <w:t xml:space="preserve"> </w:t>
      </w:r>
      <w:r>
        <w:rPr>
          <w:rFonts w:hint="eastAsia" w:ascii="宋体" w:hAnsi="宋体" w:eastAsia="宋体" w:cs="宋体"/>
          <w:color w:val="000000"/>
          <w:spacing w:val="-8"/>
          <w:sz w:val="18"/>
          <w:lang w:eastAsia="zh-CN"/>
        </w:rPr>
        <w:t>项目实施完成时间（年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4"/>
          <w:sz w:val="18"/>
          <w:lang w:eastAsia="zh-CN"/>
        </w:rPr>
        <w:t xml:space="preserve"> </w:t>
      </w:r>
      <w:r>
        <w:rPr>
          <w:rFonts w:hint="eastAsia" w:ascii="宋体" w:hAnsi="宋体" w:eastAsia="宋体" w:cs="宋体"/>
          <w:color w:val="000000"/>
          <w:spacing w:val="-46"/>
          <w:sz w:val="18"/>
          <w:lang w:eastAsia="zh-CN"/>
        </w:rPr>
        <w:t>）：</w:t>
      </w:r>
      <w:r>
        <w:rPr>
          <w:rFonts w:hint="eastAsia" w:ascii="宋体" w:hAnsi="宋体" w:eastAsia="宋体" w:cs="宋体"/>
          <w:color w:val="000000"/>
          <w:sz w:val="18"/>
          <w:lang w:eastAsia="zh-CN"/>
        </w:rPr>
        <w:t>2022年12月</w:t>
      </w:r>
    </w:p>
    <w:p>
      <w:pPr>
        <w:pStyle w:val="9"/>
        <w:widowControl w:val="0"/>
        <w:pBdr>
          <w:top w:val="single" w:color="auto" w:sz="4" w:space="0"/>
          <w:left w:val="single" w:color="auto" w:sz="4" w:space="0"/>
          <w:bottom w:val="single" w:color="auto" w:sz="4" w:space="28"/>
          <w:right w:val="single" w:color="auto" w:sz="4" w:space="0"/>
        </w:pBdr>
        <w:spacing w:before="0" w:after="0" w:line="560" w:lineRule="exact"/>
        <w:ind w:firstLine="480" w:firstLineChars="200"/>
        <w:jc w:val="center"/>
        <w:rPr>
          <w:rFonts w:ascii="黑体" w:hAnsi="黑体" w:eastAsia="黑体" w:cs="黑体"/>
          <w:color w:val="000000"/>
          <w:sz w:val="24"/>
          <w:lang w:eastAsia="zh-CN"/>
        </w:rPr>
      </w:pPr>
      <w:r>
        <w:rPr>
          <w:rFonts w:hint="eastAsia" w:ascii="黑体" w:hAnsi="黑体" w:eastAsia="黑体" w:cs="黑体"/>
          <w:color w:val="000000"/>
          <w:sz w:val="24"/>
        </w:rPr>
        <w:t>项目自评价情况</w:t>
      </w:r>
    </w:p>
    <w:p>
      <w:pPr>
        <w:pStyle w:val="9"/>
        <w:widowControl w:val="0"/>
        <w:pBdr>
          <w:top w:val="single" w:color="auto" w:sz="4" w:space="0"/>
          <w:left w:val="single" w:color="auto" w:sz="4" w:space="0"/>
          <w:bottom w:val="single" w:color="auto" w:sz="4" w:space="28"/>
          <w:right w:val="single" w:color="auto" w:sz="4" w:space="0"/>
        </w:pBdr>
        <w:spacing w:before="0" w:after="0" w:line="560" w:lineRule="exact"/>
        <w:ind w:firstLine="480" w:firstLineChars="200"/>
        <w:jc w:val="center"/>
        <w:rPr>
          <w:rFonts w:ascii="黑体" w:hAnsi="黑体" w:eastAsia="黑体" w:cs="黑体"/>
          <w:color w:val="000000"/>
          <w:sz w:val="24"/>
          <w:lang w:eastAsia="zh-CN"/>
        </w:rPr>
      </w:pPr>
    </w:p>
    <w:p>
      <w:pPr>
        <w:pStyle w:val="9"/>
        <w:widowControl w:val="0"/>
        <w:numPr>
          <w:ilvl w:val="0"/>
          <w:numId w:val="1"/>
        </w:numPr>
        <w:pBdr>
          <w:top w:val="single" w:color="auto" w:sz="4" w:space="0"/>
          <w:left w:val="single" w:color="auto" w:sz="4" w:space="0"/>
          <w:bottom w:val="single" w:color="auto" w:sz="4" w:space="28"/>
          <w:right w:val="single" w:color="auto" w:sz="4" w:space="0"/>
        </w:pBdr>
        <w:spacing w:before="0" w:after="0" w:line="320" w:lineRule="exact"/>
        <w:ind w:firstLine="422" w:firstLineChars="200"/>
        <w:jc w:val="left"/>
        <w:rPr>
          <w:rFonts w:ascii="APQONC+å®ä½" w:hAnsi="APQONC+å®ä½" w:cs="APQONC+å®ä½"/>
          <w:b/>
          <w:color w:val="000000"/>
          <w:sz w:val="21"/>
          <w:lang w:eastAsia="zh-CN"/>
        </w:rPr>
      </w:pPr>
      <w:r>
        <w:rPr>
          <w:rFonts w:ascii="APQONC+å®ä½" w:hAnsi="APQONC+å®ä½" w:cs="APQONC+å®ä½"/>
          <w:b/>
          <w:color w:val="000000"/>
          <w:sz w:val="21"/>
          <w:lang w:eastAsia="zh-CN"/>
        </w:rPr>
        <w:t>项目概况（项目政策、资金分配使用、项目实施情况等）</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00" w:firstLineChars="200"/>
        <w:jc w:val="left"/>
        <w:rPr>
          <w:rFonts w:ascii="宋体" w:hAnsi="宋体" w:eastAsia="宋体" w:cs="宋体"/>
          <w:color w:val="000000"/>
          <w:sz w:val="20"/>
          <w:szCs w:val="21"/>
          <w:lang w:eastAsia="zh-CN"/>
        </w:rPr>
      </w:pPr>
      <w:r>
        <w:rPr>
          <w:rFonts w:hint="eastAsia" w:ascii="宋体" w:hAnsi="宋体" w:eastAsia="宋体" w:cs="宋体"/>
          <w:color w:val="000000"/>
          <w:sz w:val="20"/>
          <w:szCs w:val="21"/>
          <w:lang w:eastAsia="zh-CN"/>
        </w:rPr>
        <w:t>江苏省设立质量强省专项奖补（质量管理奖励），用于奖励</w:t>
      </w:r>
      <w:r>
        <w:rPr>
          <w:rFonts w:ascii="宋体" w:hAnsi="宋体" w:eastAsia="宋体" w:cs="宋体"/>
          <w:color w:val="000000"/>
          <w:sz w:val="20"/>
          <w:szCs w:val="21"/>
          <w:lang w:eastAsia="zh-CN"/>
        </w:rPr>
        <w:t>质量信用AAA评级</w:t>
      </w:r>
      <w:r>
        <w:rPr>
          <w:rFonts w:hint="eastAsia" w:ascii="宋体" w:hAnsi="宋体" w:eastAsia="宋体" w:cs="宋体"/>
          <w:color w:val="000000"/>
          <w:sz w:val="20"/>
          <w:szCs w:val="21"/>
          <w:lang w:eastAsia="zh-CN"/>
        </w:rPr>
        <w:t>的单位。2022年我市企业</w:t>
      </w:r>
      <w:r>
        <w:rPr>
          <w:rFonts w:ascii="宋体" w:hAnsi="宋体" w:eastAsia="宋体" w:cs="宋体"/>
          <w:color w:val="000000"/>
          <w:sz w:val="20"/>
          <w:szCs w:val="21"/>
          <w:lang w:eastAsia="zh-CN"/>
        </w:rPr>
        <w:t>南通思瑞机器制造有限公司经过评审考核，被评为质量信用AAA评级单位</w:t>
      </w:r>
      <w:r>
        <w:rPr>
          <w:rFonts w:hint="eastAsia" w:ascii="宋体" w:hAnsi="宋体" w:eastAsia="宋体" w:cs="宋体"/>
          <w:color w:val="000000"/>
          <w:sz w:val="20"/>
          <w:szCs w:val="21"/>
          <w:lang w:eastAsia="zh-CN"/>
        </w:rPr>
        <w:t>，获得2022年质量强省奖补专项资金20万元。该项目年度资金总额20万元，已下达20万元，年度预算执行率为100%。</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22" w:firstLineChars="200"/>
        <w:jc w:val="left"/>
        <w:rPr>
          <w:rFonts w:ascii="宋体" w:hAnsi="宋体" w:eastAsia="宋体" w:cs="宋体"/>
          <w:color w:val="000000"/>
          <w:sz w:val="21"/>
          <w:lang w:eastAsia="zh-CN"/>
        </w:rPr>
      </w:pPr>
      <w:r>
        <w:rPr>
          <w:rFonts w:hint="eastAsia" w:ascii="宋体" w:hAnsi="宋体" w:eastAsia="宋体" w:cs="宋体"/>
          <w:b/>
          <w:color w:val="000000"/>
          <w:sz w:val="21"/>
          <w:lang w:eastAsia="zh-CN"/>
        </w:rPr>
        <w:t>二、评价情况（评价思路、方式、做法，以及评价指标体系设置情况和评价结论等）</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00" w:firstLineChars="200"/>
        <w:jc w:val="left"/>
        <w:rPr>
          <w:rFonts w:ascii="宋体" w:hAnsi="宋体" w:eastAsia="宋体" w:cs="宋体"/>
          <w:color w:val="000000"/>
          <w:sz w:val="20"/>
          <w:szCs w:val="21"/>
          <w:lang w:eastAsia="zh-CN"/>
        </w:rPr>
      </w:pPr>
      <w:r>
        <w:rPr>
          <w:rFonts w:hint="eastAsia" w:ascii="宋体" w:hAnsi="宋体" w:eastAsia="宋体" w:cs="宋体"/>
          <w:color w:val="000000"/>
          <w:sz w:val="20"/>
          <w:szCs w:val="21"/>
          <w:lang w:eastAsia="zh-CN"/>
        </w:rPr>
        <w:t>如皋市市场监督管理局客观公正地评价江苏省质量强省专项奖补资金使用的规范性、经济性和效益性。督促获得奖补单位严格按照《江苏省质量强省奖补专项资金管理办法》要求规范资金使用。</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00" w:firstLineChars="200"/>
        <w:jc w:val="left"/>
        <w:rPr>
          <w:rFonts w:ascii="宋体" w:hAnsi="宋体" w:eastAsia="宋体" w:cs="宋体"/>
          <w:color w:val="000000"/>
          <w:sz w:val="20"/>
          <w:szCs w:val="21"/>
          <w:lang w:eastAsia="zh-CN"/>
        </w:rPr>
      </w:pPr>
      <w:r>
        <w:rPr>
          <w:rFonts w:hint="eastAsia" w:ascii="宋体" w:hAnsi="宋体" w:eastAsia="宋体" w:cs="宋体"/>
          <w:color w:val="000000"/>
          <w:sz w:val="20"/>
          <w:szCs w:val="21"/>
          <w:lang w:eastAsia="zh-CN"/>
        </w:rPr>
        <w:t>从质量指标、社会效益指标、可持续发展指标等方面，对质量管理评审及奖励工作进行绩效评价，评价综合得分100分，结论优秀，服务对象满意度≥90%。</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22" w:firstLineChars="200"/>
        <w:jc w:val="left"/>
        <w:rPr>
          <w:rFonts w:ascii="宋体" w:hAnsi="宋体" w:eastAsia="宋体" w:cs="宋体"/>
          <w:color w:val="000000"/>
          <w:sz w:val="21"/>
          <w:lang w:eastAsia="zh-CN"/>
        </w:rPr>
      </w:pPr>
      <w:r>
        <w:rPr>
          <w:rFonts w:hint="eastAsia" w:ascii="宋体" w:hAnsi="宋体" w:eastAsia="宋体" w:cs="宋体"/>
          <w:b/>
          <w:color w:val="000000"/>
          <w:sz w:val="21"/>
          <w:lang w:eastAsia="zh-CN"/>
        </w:rPr>
        <w:t>三</w:t>
      </w:r>
      <w:r>
        <w:rPr>
          <w:rFonts w:hint="eastAsia" w:ascii="宋体" w:hAnsi="宋体" w:eastAsia="宋体" w:cs="宋体"/>
          <w:color w:val="000000"/>
          <w:sz w:val="21"/>
          <w:lang w:eastAsia="zh-CN"/>
        </w:rPr>
        <w:t>、</w:t>
      </w:r>
      <w:r>
        <w:rPr>
          <w:rFonts w:hint="eastAsia" w:ascii="宋体" w:hAnsi="宋体" w:eastAsia="宋体" w:cs="宋体"/>
          <w:b/>
          <w:color w:val="000000"/>
          <w:sz w:val="21"/>
          <w:lang w:eastAsia="zh-CN"/>
        </w:rPr>
        <w:t>项目绩效（通过绩效评价发现、总结的项目绩效）</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00" w:firstLineChars="200"/>
        <w:jc w:val="left"/>
        <w:rPr>
          <w:rFonts w:ascii="宋体" w:hAnsi="宋体" w:eastAsia="宋体" w:cs="宋体"/>
          <w:color w:val="000000"/>
          <w:spacing w:val="-2"/>
          <w:sz w:val="20"/>
          <w:szCs w:val="21"/>
          <w:lang w:eastAsia="zh-CN"/>
        </w:rPr>
      </w:pPr>
      <w:r>
        <w:rPr>
          <w:rFonts w:ascii="宋体" w:hAnsi="宋体" w:eastAsia="宋体" w:cs="宋体"/>
          <w:color w:val="000000"/>
          <w:sz w:val="20"/>
          <w:szCs w:val="21"/>
          <w:lang w:eastAsia="zh-CN"/>
        </w:rPr>
        <w:t>南通思瑞机器制造有限公司</w:t>
      </w:r>
      <w:r>
        <w:rPr>
          <w:rFonts w:hint="eastAsia" w:ascii="宋体" w:hAnsi="宋体" w:eastAsia="宋体" w:cs="宋体"/>
          <w:color w:val="000000"/>
          <w:spacing w:val="-2"/>
          <w:sz w:val="20"/>
          <w:szCs w:val="21"/>
          <w:lang w:eastAsia="zh-CN"/>
        </w:rPr>
        <w:t>高效优质完成质量管理工作， 2021年度履职情况均被省市监局评估为</w:t>
      </w:r>
      <w:r>
        <w:rPr>
          <w:rFonts w:ascii="宋体" w:hAnsi="宋体" w:eastAsia="宋体" w:cs="宋体"/>
          <w:color w:val="000000"/>
          <w:sz w:val="20"/>
          <w:szCs w:val="21"/>
          <w:lang w:eastAsia="zh-CN"/>
        </w:rPr>
        <w:t>质量信用AAA单位</w:t>
      </w:r>
      <w:r>
        <w:rPr>
          <w:rFonts w:hint="eastAsia" w:ascii="宋体" w:hAnsi="宋体" w:eastAsia="宋体" w:cs="宋体"/>
          <w:color w:val="000000"/>
          <w:spacing w:val="-2"/>
          <w:sz w:val="20"/>
          <w:szCs w:val="21"/>
          <w:lang w:eastAsia="zh-CN"/>
        </w:rPr>
        <w:t>。</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392" w:firstLineChars="200"/>
        <w:jc w:val="left"/>
        <w:rPr>
          <w:rFonts w:ascii="宋体" w:hAnsi="宋体" w:eastAsia="宋体" w:cs="宋体"/>
          <w:color w:val="000000"/>
          <w:spacing w:val="-2"/>
          <w:sz w:val="20"/>
          <w:szCs w:val="21"/>
          <w:lang w:eastAsia="zh-CN"/>
        </w:rPr>
      </w:pPr>
      <w:r>
        <w:rPr>
          <w:rFonts w:hint="eastAsia" w:ascii="宋体" w:hAnsi="宋体" w:eastAsia="宋体" w:cs="宋体"/>
          <w:color w:val="000000"/>
          <w:spacing w:val="-2"/>
          <w:sz w:val="20"/>
          <w:szCs w:val="21"/>
          <w:lang w:eastAsia="zh-CN"/>
        </w:rPr>
        <w:t>2022年全年江苏省质量强省专项奖补（标准化奖励）资金严格按照预算经费计划展开，全年计划20万元，实际支出20万元，预算执行率100%。资金使用规范，会计核算结果真实、准确。此次绩效评价过程中未发现截留、挤占或挪用项目等情况，项目实施效果良好。</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14" w:firstLineChars="200"/>
        <w:jc w:val="left"/>
        <w:rPr>
          <w:rFonts w:ascii="APQONC+å®ä½" w:hAnsi="APQONC+å®ä½" w:cs="APQONC+å®ä½"/>
          <w:b/>
          <w:color w:val="000000"/>
          <w:sz w:val="21"/>
          <w:lang w:eastAsia="zh-CN"/>
        </w:rPr>
      </w:pPr>
      <w:r>
        <w:rPr>
          <w:rFonts w:ascii="APQONC+å®ä½" w:hAnsi="APQONC+å®ä½" w:cs="APQONC+å®ä½"/>
          <w:b/>
          <w:color w:val="000000"/>
          <w:spacing w:val="-2"/>
          <w:sz w:val="21"/>
          <w:lang w:eastAsia="zh-CN"/>
        </w:rPr>
        <w:t>四、存在问题（通过绩效评价所发现的问题，原则上按照决策、过程、产出、效益分别归类分</w:t>
      </w:r>
      <w:r>
        <w:rPr>
          <w:rFonts w:ascii="APQONC+å®ä½" w:hAnsi="APQONC+å®ä½" w:cs="APQONC+å®ä½"/>
          <w:b/>
          <w:color w:val="000000"/>
          <w:sz w:val="21"/>
          <w:lang w:eastAsia="zh-CN"/>
        </w:rPr>
        <w:t>条撰写）</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20" w:firstLineChars="200"/>
        <w:jc w:val="left"/>
        <w:rPr>
          <w:rFonts w:ascii="APQONC+å®ä½" w:hAnsi="APQONC+å®ä½" w:cs="APQONC+å®ä½"/>
          <w:color w:val="000000"/>
          <w:sz w:val="21"/>
          <w:lang w:eastAsia="zh-CN"/>
        </w:rPr>
      </w:pPr>
      <w:r>
        <w:rPr>
          <w:rFonts w:hint="eastAsia" w:ascii="APQONC+å®ä½" w:hAnsi="APQONC+å®ä½" w:cs="APQONC+å®ä½"/>
          <w:color w:val="000000"/>
          <w:sz w:val="21"/>
          <w:lang w:eastAsia="zh-CN"/>
        </w:rPr>
        <w:t>无。</w:t>
      </w:r>
    </w:p>
    <w:p>
      <w:pPr>
        <w:pStyle w:val="9"/>
        <w:widowControl w:val="0"/>
        <w:numPr>
          <w:ilvl w:val="0"/>
          <w:numId w:val="2"/>
        </w:numPr>
        <w:pBdr>
          <w:top w:val="single" w:color="auto" w:sz="4" w:space="0"/>
          <w:left w:val="single" w:color="auto" w:sz="4" w:space="0"/>
          <w:bottom w:val="single" w:color="auto" w:sz="4" w:space="28"/>
          <w:right w:val="single" w:color="auto" w:sz="4" w:space="0"/>
        </w:pBdr>
        <w:spacing w:before="0" w:after="0" w:line="320" w:lineRule="exact"/>
        <w:ind w:firstLine="422" w:firstLineChars="200"/>
        <w:jc w:val="left"/>
        <w:rPr>
          <w:rFonts w:ascii="APQONC+å®ä½" w:hAnsi="APQONC+å®ä½" w:cs="APQONC+å®ä½"/>
          <w:b/>
          <w:color w:val="000000"/>
          <w:sz w:val="21"/>
          <w:lang w:eastAsia="zh-CN"/>
        </w:rPr>
      </w:pPr>
      <w:r>
        <w:rPr>
          <w:rFonts w:ascii="APQONC+å®ä½" w:hAnsi="APQONC+å®ä½" w:cs="APQONC+å®ä½"/>
          <w:b/>
          <w:color w:val="000000"/>
          <w:sz w:val="21"/>
          <w:lang w:eastAsia="zh-CN"/>
        </w:rPr>
        <w:t>有关建议（针对存在的问题，分别提出相关完善或整改建议）</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20" w:firstLineChars="200"/>
        <w:jc w:val="left"/>
        <w:rPr>
          <w:rFonts w:ascii="APQONC+å®ä½" w:hAnsi="APQONC+å®ä½" w:cs="APQONC+å®ä½"/>
          <w:color w:val="000000"/>
          <w:sz w:val="21"/>
          <w:lang w:eastAsia="zh-CN"/>
        </w:rPr>
      </w:pPr>
      <w:r>
        <w:rPr>
          <w:rFonts w:hint="eastAsia" w:ascii="APQONC+å®ä½" w:hAnsi="APQONC+å®ä½" w:cs="APQONC+å®ä½"/>
          <w:color w:val="000000"/>
          <w:sz w:val="21"/>
          <w:lang w:eastAsia="zh-CN"/>
        </w:rPr>
        <w:t>无。</w:t>
      </w: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p>
    <w:p>
      <w:pPr>
        <w:pStyle w:val="8"/>
        <w:widowControl w:val="0"/>
        <w:spacing w:beforeLines="100" w:afterLines="100" w:line="560" w:lineRule="exact"/>
        <w:jc w:val="center"/>
        <w:rPr>
          <w:rFonts w:hint="eastAsia" w:ascii="方正小标宋简体" w:hAnsi="方正小标宋简体" w:eastAsia="方正小标宋简体" w:cs="方正小标宋简体"/>
          <w:color w:val="000000"/>
          <w:sz w:val="44"/>
          <w:lang w:eastAsia="zh-CN"/>
        </w:r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10"/>
        <w:widowControl w:val="0"/>
        <w:spacing w:before="0" w:after="0" w:line="360" w:lineRule="exact"/>
        <w:jc w:val="left"/>
        <w:rPr>
          <w:rFonts w:ascii="黑体" w:hAnsi="黑体" w:eastAsia="黑体" w:cs="黑体"/>
          <w:color w:val="000000"/>
          <w:sz w:val="28"/>
          <w:szCs w:val="28"/>
          <w:lang w:eastAsia="zh-CN"/>
        </w:rPr>
      </w:pP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hint="eastAsia" w:ascii="APQONC+å®ä½" w:hAnsi="APQONC+å®ä½" w:cs="APQONC+å®ä½"/>
          <w:color w:val="000000"/>
          <w:sz w:val="18"/>
          <w:u w:val="single"/>
          <w:lang w:eastAsia="zh-CN"/>
        </w:rPr>
        <w:t>如皋市市场监督管理局</w:t>
      </w:r>
      <w:bookmarkStart w:id="0" w:name="_GoBack"/>
      <w:bookmarkEnd w:id="0"/>
      <w:r>
        <w:rPr>
          <w:rFonts w:hint="eastAsia"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w:t>
      </w:r>
      <w:r>
        <w:rPr>
          <w:rFonts w:hint="eastAsia" w:ascii="宋体" w:hAnsi="宋体" w:eastAsia="宋体" w:cs="宋体"/>
          <w:color w:val="000000"/>
          <w:sz w:val="18"/>
          <w:u w:val="single"/>
          <w:lang w:val="en-US" w:eastAsia="zh-CN"/>
        </w:rPr>
        <w:t>2022年度江</w:t>
      </w:r>
      <w:r>
        <w:rPr>
          <w:rFonts w:hint="eastAsia" w:ascii="宋体" w:hAnsi="宋体" w:eastAsia="宋体" w:cs="宋体"/>
          <w:color w:val="000000"/>
          <w:sz w:val="18"/>
          <w:u w:val="single"/>
          <w:lang w:eastAsia="zh-CN"/>
        </w:rPr>
        <w:t>苏省质量强省奖补专项资金（</w:t>
      </w:r>
      <w:r>
        <w:rPr>
          <w:rFonts w:hint="eastAsia" w:ascii="宋体" w:hAnsi="宋体" w:eastAsia="宋体" w:cs="宋体"/>
          <w:color w:val="000000"/>
          <w:sz w:val="18"/>
          <w:u w:val="single"/>
          <w:lang w:val="en-US" w:eastAsia="zh-CN"/>
        </w:rPr>
        <w:t>质量管理奖励</w:t>
      </w:r>
      <w:r>
        <w:rPr>
          <w:rFonts w:hint="eastAsia" w:ascii="宋体" w:hAnsi="宋体" w:eastAsia="宋体" w:cs="宋体"/>
          <w:color w:val="000000"/>
          <w:sz w:val="18"/>
          <w:u w:val="single"/>
          <w:lang w:eastAsia="zh-CN"/>
        </w:rPr>
        <w:t>）</w:t>
      </w:r>
    </w:p>
    <w:tbl>
      <w:tblPr>
        <w:tblStyle w:val="4"/>
        <w:tblW w:w="9174" w:type="dxa"/>
        <w:jc w:val="center"/>
        <w:tblLayout w:type="fixed"/>
        <w:tblCellMar>
          <w:top w:w="0" w:type="dxa"/>
          <w:left w:w="108" w:type="dxa"/>
          <w:bottom w:w="0" w:type="dxa"/>
          <w:right w:w="108" w:type="dxa"/>
        </w:tblCellMar>
      </w:tblPr>
      <w:tblGrid>
        <w:gridCol w:w="669"/>
        <w:gridCol w:w="1020"/>
        <w:gridCol w:w="1515"/>
        <w:gridCol w:w="1245"/>
        <w:gridCol w:w="1275"/>
        <w:gridCol w:w="780"/>
        <w:gridCol w:w="945"/>
        <w:gridCol w:w="1725"/>
      </w:tblGrid>
      <w:tr>
        <w:tblPrEx>
          <w:tblCellMar>
            <w:top w:w="0" w:type="dxa"/>
            <w:left w:w="108" w:type="dxa"/>
            <w:bottom w:w="0" w:type="dxa"/>
            <w:right w:w="108" w:type="dxa"/>
          </w:tblCellMar>
        </w:tblPrEx>
        <w:trPr>
          <w:trHeight w:val="227" w:hRule="atLeast"/>
          <w:jc w:val="center"/>
        </w:trPr>
        <w:tc>
          <w:tcPr>
            <w:tcW w:w="32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1245"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1275"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780"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945"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1725"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1020" w:type="dxa"/>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1245"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1275"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780"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945"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1725"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227"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项目立项</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立项依据充分性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充分</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充分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立项程序规范性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规范</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规范</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绩效目标合理性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绩效指标明确性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明确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明确</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预算编制科学性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科学</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科学</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资金分配合理性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资金到位率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预算执行率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资金使用合规性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合规</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合规</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组织实施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管理制度健全性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健全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健全</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制度执行有效性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有效</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有效</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高效优质完质量管理工作</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优</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优</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效益指标</w:t>
            </w:r>
          </w:p>
        </w:tc>
        <w:tc>
          <w:tcPr>
            <w:tcW w:w="1020" w:type="dxa"/>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企业的行业话语权</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持续增强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持续增强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可持续发展指标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激励创新，促进发展</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持续稳定健康发展</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持续稳定健康发展</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服务对象满意率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ascii="宋体" w:hAnsi="宋体" w:eastAsia="宋体" w:cs="宋体"/>
                <w:color w:val="00000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rPr>
                <w:rFonts w:ascii="宋体" w:hAnsi="宋体" w:eastAsia="宋体" w:cs="宋体"/>
                <w:color w:val="000000"/>
                <w:sz w:val="22"/>
              </w:rPr>
            </w:pPr>
          </w:p>
        </w:tc>
      </w:tr>
    </w:tbl>
    <w:p/>
    <w:sectPr>
      <w:pgSz w:w="11906" w:h="16838"/>
      <w:pgMar w:top="1418"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APQONC+å®ä½">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SJSDLU+å®ä½">
    <w:altName w:val="Segoe Print"/>
    <w:panose1 w:val="00000000000000000000"/>
    <w:charset w:val="01"/>
    <w:family w:val="auto"/>
    <w:pitch w:val="default"/>
    <w:sig w:usb0="00000000" w:usb1="00000000" w:usb2="01010101" w:usb3="01010101" w:csb0="01010101" w:csb1="0101010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34183"/>
    <w:multiLevelType w:val="singleLevel"/>
    <w:tmpl w:val="30534183"/>
    <w:lvl w:ilvl="0" w:tentative="0">
      <w:start w:val="5"/>
      <w:numFmt w:val="chineseCounting"/>
      <w:suff w:val="nothing"/>
      <w:lvlText w:val="%1、"/>
      <w:lvlJc w:val="left"/>
      <w:rPr>
        <w:rFonts w:hint="eastAsia"/>
      </w:rPr>
    </w:lvl>
  </w:abstractNum>
  <w:abstractNum w:abstractNumId="1">
    <w:nsid w:val="36BF715F"/>
    <w:multiLevelType w:val="singleLevel"/>
    <w:tmpl w:val="36BF715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Q5YTdkNDkzODdhNjIwMDY1OWEyNWFjNTViZGZhZjcifQ=="/>
  </w:docVars>
  <w:rsids>
    <w:rsidRoot w:val="00E16E55"/>
    <w:rsid w:val="000577FD"/>
    <w:rsid w:val="00191A4E"/>
    <w:rsid w:val="001A18AD"/>
    <w:rsid w:val="00201A68"/>
    <w:rsid w:val="0033192E"/>
    <w:rsid w:val="0036266F"/>
    <w:rsid w:val="003833BF"/>
    <w:rsid w:val="00404510"/>
    <w:rsid w:val="00544B17"/>
    <w:rsid w:val="007A165D"/>
    <w:rsid w:val="009649BC"/>
    <w:rsid w:val="009E4888"/>
    <w:rsid w:val="00AF1B53"/>
    <w:rsid w:val="00B33A6F"/>
    <w:rsid w:val="00B52709"/>
    <w:rsid w:val="00C250F8"/>
    <w:rsid w:val="00C669CB"/>
    <w:rsid w:val="00E16E55"/>
    <w:rsid w:val="00E92302"/>
    <w:rsid w:val="00EE39D2"/>
    <w:rsid w:val="096023B9"/>
    <w:rsid w:val="127A6A98"/>
    <w:rsid w:val="16911B25"/>
    <w:rsid w:val="26707A28"/>
    <w:rsid w:val="290E0008"/>
    <w:rsid w:val="31572DE6"/>
    <w:rsid w:val="35C919ED"/>
    <w:rsid w:val="3A810E20"/>
    <w:rsid w:val="42D51D5A"/>
    <w:rsid w:val="4460071D"/>
    <w:rsid w:val="4BB078CC"/>
    <w:rsid w:val="509F6E64"/>
    <w:rsid w:val="51A070EB"/>
    <w:rsid w:val="65B66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Normal_0"/>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9">
    <w:name w:val="Normal_11"/>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0">
    <w:name w:val="Normal_12"/>
    <w:qFormat/>
    <w:uiPriority w:val="0"/>
    <w:pPr>
      <w:spacing w:before="120" w:after="240"/>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2</Pages>
  <Words>1053</Words>
  <Characters>1128</Characters>
  <Lines>9</Lines>
  <Paragraphs>2</Paragraphs>
  <TotalTime>0</TotalTime>
  <ScaleCrop>false</ScaleCrop>
  <LinksUpToDate>false</LinksUpToDate>
  <CharactersWithSpaces>1154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2022-03-23T06:30:00Z</dcterms:created>
  <dc:creator>顾小燕</dc:creator>
  <cp:lastModifiedBy>飞飞</cp:lastModifiedBy>
  <dcterms:modified xsi:type="dcterms:W3CDTF">2023-09-13T03:17:13Z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E6F13F57B30F4BA283A484A800DC0522</vt:lpwstr>
  </property>
</Properties>
</file>