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hint="eastAsia" w:ascii="宋体" w:hAnsi="宋体" w:eastAsia="宋体" w:cs="宋体"/>
          <w:color w:val="000000"/>
          <w:sz w:val="18"/>
          <w:u w:val="single"/>
          <w:lang w:eastAsia="zh-CN"/>
        </w:rPr>
      </w:pPr>
      <w:r>
        <w:rPr>
          <w:rFonts w:ascii="APQONC+å®ä½" w:hAnsi="APQONC+å®ä½" w:cs="APQONC+å®ä½"/>
          <w:color w:val="000000"/>
          <w:sz w:val="18"/>
          <w:lang w:eastAsia="zh-CN"/>
        </w:rPr>
        <w:t>填报单位：</w:t>
      </w:r>
      <w:r>
        <w:rPr>
          <w:rFonts w:hint="eastAsia" w:ascii="宋体" w:hAnsi="宋体" w:eastAsia="宋体" w:cs="宋体"/>
          <w:color w:val="000000"/>
          <w:sz w:val="18"/>
          <w:u w:val="single"/>
          <w:lang w:eastAsia="zh-CN"/>
        </w:rPr>
        <w:t xml:space="preserve">如皋市市场监督管理局     </w:t>
      </w:r>
      <w:r>
        <w:rPr>
          <w:rFonts w:ascii="APQONC+å®ä½" w:hAnsi="APQONC+å®ä½" w:cs="APQONC+å®ä½"/>
          <w:color w:val="000000"/>
          <w:sz w:val="18"/>
          <w:lang w:eastAsia="zh-CN"/>
        </w:rPr>
        <w:t>项目名称：</w:t>
      </w:r>
      <w:r>
        <w:rPr>
          <w:rFonts w:hint="eastAsia" w:ascii="宋体" w:hAnsi="宋体" w:eastAsia="宋体" w:cs="宋体"/>
          <w:color w:val="000000"/>
          <w:sz w:val="18"/>
          <w:u w:val="single"/>
          <w:lang w:eastAsia="zh-CN"/>
        </w:rPr>
        <w:t>计量监管经费</w:t>
      </w:r>
    </w:p>
    <w:p>
      <w:pPr>
        <w:pStyle w:val="9"/>
        <w:widowControl w:val="0"/>
        <w:spacing w:before="0" w:after="0" w:line="500" w:lineRule="exact"/>
        <w:jc w:val="left"/>
        <w:rPr>
          <w:rFonts w:ascii="SJSDLU+å®ä½"/>
          <w:color w:val="000000"/>
          <w:sz w:val="18"/>
          <w:u w:val="single"/>
          <w:lang w:eastAsia="zh-CN"/>
        </w:rPr>
      </w:pPr>
      <w:r>
        <w:rPr>
          <w:rFonts w:ascii="APQONC+å®ä½" w:hAnsi="APQONC+å®ä½" w:cs="APQONC+å®ä½"/>
          <w:color w:val="000000"/>
          <w:sz w:val="18"/>
          <w:lang w:eastAsia="zh-CN"/>
        </w:rPr>
        <w:t>项目实施年度：</w:t>
      </w:r>
      <w:r>
        <w:rPr>
          <w:rFonts w:hint="eastAsia" w:ascii="APQONC+å®ä½" w:hAnsi="APQONC+å®ä½" w:cs="APQONC+å®ä½"/>
          <w:color w:val="000000"/>
          <w:sz w:val="18"/>
          <w:lang w:eastAsia="zh-CN"/>
        </w:rPr>
        <w:t xml:space="preserve"> </w:t>
      </w:r>
      <w:r>
        <w:rPr>
          <w:rFonts w:hint="eastAsia" w:ascii="宋体" w:hAnsi="宋体" w:eastAsia="宋体" w:cs="宋体"/>
          <w:color w:val="000000"/>
          <w:sz w:val="18"/>
          <w:u w:val="single"/>
          <w:lang w:eastAsia="zh-CN"/>
        </w:rPr>
        <w:t>2022</w:t>
      </w:r>
      <w:r>
        <w:rPr>
          <w:rFonts w:hint="eastAsia" w:ascii="宋体" w:hAnsi="宋体" w:eastAsia="宋体" w:cs="宋体"/>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2022.1</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2022.12</w:t>
      </w:r>
    </w:p>
    <w:p>
      <w:pPr>
        <w:pStyle w:val="9"/>
        <w:widowControl w:val="0"/>
        <w:pBdr>
          <w:top w:val="single" w:color="auto" w:sz="4" w:space="0"/>
          <w:left w:val="single" w:color="auto" w:sz="4" w:space="0"/>
          <w:bottom w:val="single" w:color="auto" w:sz="4" w:space="0"/>
          <w:right w:val="single" w:color="auto" w:sz="4" w:space="0"/>
        </w:pBdr>
        <w:spacing w:before="0" w:after="0" w:line="440" w:lineRule="exact"/>
        <w:ind w:firstLine="480" w:firstLineChars="200"/>
        <w:jc w:val="center"/>
        <w:rPr>
          <w:rFonts w:ascii="黑体" w:hAnsi="黑体" w:eastAsia="黑体" w:cs="黑体"/>
          <w:color w:val="000000"/>
          <w:sz w:val="24"/>
        </w:rPr>
      </w:pPr>
      <w:r>
        <w:rPr>
          <w:rFonts w:hint="eastAsia" w:ascii="黑体" w:hAnsi="黑体" w:eastAsia="黑体" w:cs="黑体"/>
          <w:color w:val="000000"/>
          <w:sz w:val="24"/>
        </w:rPr>
        <w:t>项目自评价情况</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400" w:lineRule="exact"/>
        <w:ind w:firstLine="422" w:firstLineChars="200"/>
        <w:jc w:val="left"/>
        <w:rPr>
          <w:rFonts w:ascii="APQONC+å®ä½" w:hAnsi="APQONC+å®ä½" w:cs="APQONC+å®ä½"/>
          <w:b/>
          <w:bCs/>
          <w:color w:val="000000"/>
          <w:sz w:val="21"/>
          <w:lang w:eastAsia="zh-CN"/>
        </w:rPr>
      </w:pPr>
      <w:r>
        <w:rPr>
          <w:rFonts w:ascii="APQONC+å®ä½" w:hAnsi="APQONC+å®ä½" w:cs="APQONC+å®ä½"/>
          <w:b/>
          <w:bCs/>
          <w:color w:val="000000"/>
          <w:sz w:val="21"/>
          <w:lang w:eastAsia="zh-CN"/>
        </w:rPr>
        <w:t>项目概况（项目政策、资金分配使用、项目实施情况等）</w:t>
      </w:r>
    </w:p>
    <w:p>
      <w:pPr>
        <w:pStyle w:val="9"/>
        <w:widowControl w:val="0"/>
        <w:pBdr>
          <w:top w:val="single" w:color="auto" w:sz="4" w:space="0"/>
          <w:left w:val="single" w:color="auto" w:sz="4" w:space="0"/>
          <w:bottom w:val="single" w:color="auto" w:sz="4" w:space="0"/>
          <w:right w:val="single" w:color="auto" w:sz="4" w:space="0"/>
        </w:pBdr>
        <w:spacing w:before="0" w:after="0" w:line="400" w:lineRule="exact"/>
        <w:ind w:firstLine="420" w:firstLineChars="200"/>
        <w:jc w:val="left"/>
        <w:rPr>
          <w:rFonts w:cs="APQONC+å®ä½" w:asciiTheme="minorEastAsia" w:hAnsiTheme="minorEastAsia"/>
          <w:color w:val="000000"/>
          <w:sz w:val="21"/>
          <w:lang w:eastAsia="zh-CN"/>
        </w:rPr>
      </w:pPr>
      <w:r>
        <w:rPr>
          <w:rFonts w:hint="eastAsia" w:cs="APQONC+å®ä½" w:asciiTheme="minorEastAsia" w:hAnsiTheme="minorEastAsia"/>
          <w:color w:val="000000"/>
          <w:sz w:val="21"/>
          <w:lang w:eastAsia="zh-CN"/>
        </w:rPr>
        <w:t>组织实施国家法定计量单位和国家计量制度；监督管理计量器具量值溯源传递；监督管理商品计量和市场计量行为；监督管理计量器具制造修理工作；依法开展相关企事业单位的计量授权工作。</w:t>
      </w:r>
      <w:r>
        <w:rPr>
          <w:rFonts w:cs="APQONC+å®ä½" w:asciiTheme="minorEastAsia" w:hAnsiTheme="minorEastAsia"/>
          <w:color w:val="000000"/>
          <w:sz w:val="21"/>
          <w:lang w:eastAsia="zh-CN"/>
        </w:rPr>
        <w:t>用于印制各类检查表、登记表格等资料</w:t>
      </w:r>
      <w:r>
        <w:rPr>
          <w:rFonts w:hint="eastAsia" w:cs="APQONC+å®ä½" w:asciiTheme="minorEastAsia" w:hAnsiTheme="minorEastAsia"/>
          <w:color w:val="000000"/>
          <w:sz w:val="21"/>
          <w:lang w:eastAsia="zh-CN"/>
        </w:rPr>
        <w:t>，</w:t>
      </w:r>
      <w:r>
        <w:rPr>
          <w:rFonts w:cs="APQONC+å®ä½" w:asciiTheme="minorEastAsia" w:hAnsiTheme="minorEastAsia"/>
          <w:color w:val="000000"/>
          <w:sz w:val="21"/>
          <w:lang w:eastAsia="zh-CN"/>
        </w:rPr>
        <w:t>基层</w:t>
      </w:r>
      <w:r>
        <w:rPr>
          <w:rFonts w:hint="eastAsia" w:cs="APQONC+å®ä½" w:asciiTheme="minorEastAsia" w:hAnsiTheme="minorEastAsia"/>
          <w:color w:val="000000"/>
          <w:sz w:val="21"/>
          <w:lang w:eastAsia="zh-CN"/>
        </w:rPr>
        <w:t>计量监管</w:t>
      </w:r>
      <w:r>
        <w:rPr>
          <w:rFonts w:cs="APQONC+å®ä½" w:asciiTheme="minorEastAsia" w:hAnsiTheme="minorEastAsia"/>
          <w:color w:val="000000"/>
          <w:sz w:val="21"/>
          <w:lang w:eastAsia="zh-CN"/>
        </w:rPr>
        <w:t>人员业务知识培训及相关</w:t>
      </w:r>
      <w:r>
        <w:rPr>
          <w:rFonts w:hint="eastAsia" w:cs="APQONC+å®ä½" w:asciiTheme="minorEastAsia" w:hAnsiTheme="minorEastAsia"/>
          <w:color w:val="000000"/>
          <w:sz w:val="21"/>
          <w:lang w:eastAsia="zh-CN"/>
        </w:rPr>
        <w:t>计量</w:t>
      </w:r>
      <w:r>
        <w:rPr>
          <w:rFonts w:cs="APQONC+å®ä½" w:asciiTheme="minorEastAsia" w:hAnsiTheme="minorEastAsia"/>
          <w:color w:val="000000"/>
          <w:sz w:val="21"/>
          <w:lang w:eastAsia="zh-CN"/>
        </w:rPr>
        <w:t>知识宣传资料</w:t>
      </w:r>
      <w:r>
        <w:rPr>
          <w:rFonts w:hint="eastAsia" w:cs="APQONC+å®ä½" w:asciiTheme="minorEastAsia" w:hAnsiTheme="minorEastAsia"/>
          <w:color w:val="000000"/>
          <w:sz w:val="21"/>
          <w:lang w:eastAsia="zh-CN"/>
        </w:rPr>
        <w:t>费5万元</w:t>
      </w:r>
      <w:r>
        <w:rPr>
          <w:rFonts w:cs="APQONC+å®ä½" w:asciiTheme="minorEastAsia" w:hAnsiTheme="minorEastAsia"/>
          <w:color w:val="000000"/>
          <w:sz w:val="21"/>
          <w:lang w:eastAsia="zh-CN"/>
        </w:rPr>
        <w:t>。</w:t>
      </w:r>
      <w:r>
        <w:rPr>
          <w:rFonts w:hint="eastAsia" w:cs="APQONC+å®ä½" w:asciiTheme="minorEastAsia" w:hAnsiTheme="minorEastAsia"/>
          <w:color w:val="000000"/>
          <w:sz w:val="21"/>
          <w:lang w:eastAsia="zh-CN"/>
        </w:rPr>
        <w:t>用于为组织实施监督量值传递、计量标准维护、检定、修理所需支出的专用材料费、检测设备维修保养费、对建立的计量标准进行复审考核费和专家费、计量能力评定费用等委托业务费25万元。2022年该项目年度资金总额30万元，已下达19万元，年度预算执行率63.3%。</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400" w:lineRule="exact"/>
        <w:ind w:firstLine="422" w:firstLineChars="200"/>
        <w:jc w:val="left"/>
        <w:rPr>
          <w:rFonts w:cs="APQONC+å®ä½" w:asciiTheme="minorEastAsia" w:hAnsiTheme="minorEastAsia"/>
          <w:color w:val="000000"/>
          <w:sz w:val="21"/>
          <w:lang w:eastAsia="zh-CN"/>
        </w:rPr>
      </w:pPr>
      <w:r>
        <w:rPr>
          <w:rFonts w:ascii="APQONC+å®ä½" w:hAnsi="APQONC+å®ä½" w:cs="APQONC+å®ä½"/>
          <w:b/>
          <w:bCs/>
          <w:color w:val="000000"/>
          <w:sz w:val="21"/>
          <w:lang w:eastAsia="zh-CN"/>
        </w:rPr>
        <w:t>评价情况（评价思路、方式、做法，以及评价指标体系设置情况和评价结论等）</w:t>
      </w:r>
      <w:r>
        <w:rPr>
          <w:rFonts w:hint="eastAsia" w:ascii="APQONC+å®ä½" w:hAnsi="APQONC+å®ä½" w:cs="APQONC+å®ä½"/>
          <w:b/>
          <w:bCs/>
          <w:color w:val="000000"/>
          <w:sz w:val="21"/>
          <w:lang w:eastAsia="zh-CN"/>
        </w:rPr>
        <w:t xml:space="preserve">         </w:t>
      </w:r>
      <w:r>
        <w:rPr>
          <w:rFonts w:ascii="APQONC+å®ä½" w:hAnsi="APQONC+å®ä½" w:cs="APQONC+å®ä½"/>
          <w:b/>
          <w:bCs/>
          <w:color w:val="000000"/>
          <w:sz w:val="21"/>
          <w:lang w:eastAsia="zh-CN"/>
        </w:rPr>
        <w:t>（一）</w:t>
      </w:r>
      <w:r>
        <w:rPr>
          <w:rFonts w:hint="eastAsia" w:cs="APQONC+å®ä½" w:asciiTheme="minorEastAsia" w:hAnsiTheme="minorEastAsia"/>
          <w:b/>
          <w:color w:val="000000"/>
          <w:sz w:val="21"/>
          <w:lang w:eastAsia="zh-CN"/>
        </w:rPr>
        <w:t>评价方式：</w:t>
      </w:r>
      <w:r>
        <w:rPr>
          <w:rFonts w:hint="eastAsia" w:cs="APQONC+å®ä½" w:asciiTheme="minorEastAsia" w:hAnsiTheme="minorEastAsia"/>
          <w:color w:val="000000"/>
          <w:sz w:val="21"/>
          <w:lang w:eastAsia="zh-CN"/>
        </w:rPr>
        <w:t>本次绩效评价主要采取比较法，通过对绩效目标与实施效果比较，指标制定上定量与定性相结合，优先定量，综合分析绩效目标实现程度。（二）评价指标体系设置：本次绩效评价指标体系设置主要综合考虑项目背景、意义、范围、流程等，遵循相关性原则、重要性原则、可比性原则、系统性原则和经济性原则设定各类指标，通过分析评分的方式全面评价项目决策、过程管理、产出效果和满意度指标。（三）评价结论：依据评价指标体系和采集的基础数据信息，在遵循科学规范、公开公正、绩效相关和重点核查的原则上，经综合评价，得出计量监管经费（含两免费检定）评价综合得分98分，等级为“优秀”。</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400" w:lineRule="exact"/>
        <w:ind w:firstLine="422" w:firstLineChars="200"/>
        <w:jc w:val="left"/>
        <w:rPr>
          <w:rFonts w:ascii="APQONC+å®ä½" w:hAnsi="APQONC+å®ä½" w:cs="APQONC+å®ä½"/>
          <w:b/>
          <w:bCs/>
          <w:color w:val="000000"/>
          <w:sz w:val="21"/>
          <w:lang w:eastAsia="zh-CN"/>
        </w:rPr>
      </w:pPr>
      <w:r>
        <w:rPr>
          <w:rFonts w:ascii="APQONC+å®ä½" w:hAnsi="APQONC+å®ä½" w:cs="APQONC+å®ä½"/>
          <w:b/>
          <w:bCs/>
          <w:color w:val="000000"/>
          <w:sz w:val="21"/>
          <w:lang w:eastAsia="zh-CN"/>
        </w:rPr>
        <w:t>项目绩效（通过绩效评价发现、总结的项目绩效）</w:t>
      </w:r>
      <w:r>
        <w:rPr>
          <w:rFonts w:hint="eastAsia" w:ascii="APQONC+å®ä½" w:hAnsi="APQONC+å®ä½" w:cs="APQONC+å®ä½"/>
          <w:b/>
          <w:bCs/>
          <w:color w:val="000000"/>
          <w:sz w:val="21"/>
          <w:lang w:eastAsia="zh-CN"/>
        </w:rPr>
        <w:t xml:space="preserve"> </w:t>
      </w:r>
    </w:p>
    <w:p>
      <w:pPr>
        <w:pStyle w:val="9"/>
        <w:widowControl w:val="0"/>
        <w:pBdr>
          <w:top w:val="single" w:color="auto" w:sz="4" w:space="0"/>
          <w:left w:val="single" w:color="auto" w:sz="4" w:space="0"/>
          <w:bottom w:val="single" w:color="auto" w:sz="4" w:space="0"/>
          <w:right w:val="single" w:color="auto" w:sz="4" w:space="0"/>
        </w:pBdr>
        <w:spacing w:before="0" w:after="0" w:line="400" w:lineRule="exact"/>
        <w:ind w:firstLine="420" w:firstLineChars="200"/>
        <w:jc w:val="left"/>
        <w:rPr>
          <w:rFonts w:cs="APQONC+å®ä½" w:asciiTheme="minorEastAsia" w:hAnsiTheme="minorEastAsia"/>
          <w:color w:val="000000"/>
          <w:sz w:val="21"/>
          <w:lang w:eastAsia="zh-CN"/>
        </w:rPr>
      </w:pPr>
      <w:r>
        <w:rPr>
          <w:rFonts w:hint="eastAsia" w:cs="APQONC+å®ä½" w:asciiTheme="minorEastAsia" w:hAnsiTheme="minorEastAsia"/>
          <w:color w:val="000000"/>
          <w:sz w:val="21"/>
          <w:lang w:eastAsia="zh-CN"/>
        </w:rPr>
        <w:t>结合元旦、春节、端午、中秋、国庆等节点，组织对全市范围内与老百姓生活密切相关的定量包装商品净含量进行抽样检查检查定量包装产(商)品213批次、抽检213批次，合格率99.5%； 商品包装60批次，合格52批次，合格率86.7%。检查在用衡器共758台件，受检率、合格率均为100%。2022年检定强检计量器具36623台（件）。</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400" w:lineRule="exact"/>
        <w:ind w:firstLine="412" w:firstLineChars="200"/>
        <w:jc w:val="left"/>
        <w:rPr>
          <w:rFonts w:ascii="APQONC+å®ä½" w:hAnsi="APQONC+å®ä½" w:cs="APQONC+å®ä½"/>
          <w:color w:val="000000"/>
          <w:spacing w:val="-2"/>
          <w:sz w:val="21"/>
          <w:lang w:eastAsia="zh-CN"/>
        </w:rPr>
      </w:pPr>
      <w:r>
        <w:rPr>
          <w:rFonts w:hint="eastAsia" w:ascii="APQONC+å®ä½" w:hAnsi="APQONC+å®ä½" w:cs="APQONC+å®ä½"/>
          <w:color w:val="000000"/>
          <w:spacing w:val="-2"/>
          <w:sz w:val="21"/>
          <w:lang w:eastAsia="zh-CN"/>
        </w:rPr>
        <w:t>存在问题（通过绩效评价所发现的问题，原则上按照决策、过程、产出、效益分别归类分条撰写）</w:t>
      </w:r>
    </w:p>
    <w:p>
      <w:pPr>
        <w:pStyle w:val="9"/>
        <w:widowControl w:val="0"/>
        <w:pBdr>
          <w:top w:val="single" w:color="auto" w:sz="4" w:space="0"/>
          <w:left w:val="single" w:color="auto" w:sz="4" w:space="0"/>
          <w:bottom w:val="single" w:color="auto" w:sz="4" w:space="0"/>
          <w:right w:val="single" w:color="auto" w:sz="4" w:space="0"/>
        </w:pBdr>
        <w:spacing w:before="0" w:after="0" w:line="400" w:lineRule="exact"/>
        <w:ind w:firstLine="412" w:firstLineChars="200"/>
        <w:jc w:val="left"/>
        <w:rPr>
          <w:rFonts w:ascii="APQONC+å®ä½" w:hAnsi="APQONC+å®ä½" w:cs="APQONC+å®ä½"/>
          <w:color w:val="000000"/>
          <w:spacing w:val="-2"/>
          <w:sz w:val="21"/>
          <w:lang w:eastAsia="zh-CN"/>
        </w:rPr>
      </w:pPr>
      <w:r>
        <w:rPr>
          <w:rFonts w:hint="eastAsia" w:ascii="APQONC+å®ä½" w:hAnsi="APQONC+å®ä½" w:cs="APQONC+å®ä½"/>
          <w:color w:val="000000"/>
          <w:spacing w:val="-2"/>
          <w:sz w:val="21"/>
          <w:lang w:eastAsia="zh-CN"/>
        </w:rPr>
        <w:t>无</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400" w:lineRule="exact"/>
        <w:ind w:firstLine="412" w:firstLineChars="200"/>
        <w:jc w:val="left"/>
        <w:rPr>
          <w:rFonts w:ascii="APQONC+å®ä½" w:hAnsi="APQONC+å®ä½" w:cs="APQONC+å®ä½"/>
          <w:color w:val="000000"/>
          <w:spacing w:val="-2"/>
          <w:sz w:val="21"/>
          <w:lang w:eastAsia="zh-CN"/>
        </w:rPr>
      </w:pPr>
      <w:r>
        <w:rPr>
          <w:rFonts w:hint="eastAsia" w:ascii="APQONC+å®ä½" w:hAnsi="APQONC+å®ä½" w:cs="APQONC+å®ä½"/>
          <w:color w:val="000000"/>
          <w:spacing w:val="-2"/>
          <w:sz w:val="21"/>
          <w:lang w:eastAsia="zh-CN"/>
        </w:rPr>
        <w:t>有关建议（针对存在的问题，分别提出相关完善或整改建议）</w:t>
      </w:r>
    </w:p>
    <w:p>
      <w:pPr>
        <w:pStyle w:val="9"/>
        <w:widowControl w:val="0"/>
        <w:pBdr>
          <w:top w:val="single" w:color="auto" w:sz="4" w:space="0"/>
          <w:left w:val="single" w:color="auto" w:sz="4" w:space="0"/>
          <w:bottom w:val="single" w:color="auto" w:sz="4" w:space="0"/>
          <w:right w:val="single" w:color="auto" w:sz="4" w:space="0"/>
        </w:pBdr>
        <w:spacing w:before="0" w:after="0" w:line="400" w:lineRule="exact"/>
        <w:jc w:val="left"/>
        <w:rPr>
          <w:rFonts w:ascii="APQONC+å®ä½" w:hAnsi="APQONC+å®ä½" w:cs="APQONC+å®ä½"/>
          <w:color w:val="000000"/>
          <w:spacing w:val="-2"/>
          <w:sz w:val="21"/>
          <w:lang w:eastAsia="zh-CN"/>
        </w:rPr>
      </w:pPr>
      <w:r>
        <w:rPr>
          <w:rFonts w:hint="eastAsia" w:ascii="APQONC+å®ä½" w:hAnsi="APQONC+å®ä½" w:cs="APQONC+å®ä½"/>
          <w:color w:val="000000"/>
          <w:spacing w:val="-2"/>
          <w:sz w:val="21"/>
          <w:lang w:eastAsia="zh-CN"/>
        </w:rPr>
        <w:t xml:space="preserve">    无</w:t>
      </w:r>
    </w:p>
    <w:p>
      <w:pPr>
        <w:pStyle w:val="9"/>
        <w:widowControl w:val="0"/>
        <w:pBdr>
          <w:top w:val="single" w:color="auto" w:sz="4" w:space="0"/>
          <w:left w:val="single" w:color="auto" w:sz="4" w:space="0"/>
          <w:bottom w:val="single" w:color="auto" w:sz="4" w:space="0"/>
          <w:right w:val="single" w:color="auto" w:sz="4" w:space="0"/>
        </w:pBdr>
        <w:spacing w:before="0" w:after="0" w:line="560" w:lineRule="exact"/>
        <w:jc w:val="left"/>
        <w:rPr>
          <w:rFonts w:ascii="APQONC+å®ä½" w:hAnsi="APQONC+å®ä½" w:cs="APQONC+å®ä½"/>
          <w:color w:val="000000"/>
          <w:sz w:val="21"/>
          <w:lang w:eastAsia="zh-CN"/>
        </w:rPr>
        <w:sectPr>
          <w:pgSz w:w="11900" w:h="16820"/>
          <w:pgMar w:top="1609" w:right="1474" w:bottom="1191" w:left="1644" w:header="720" w:footer="720" w:gutter="0"/>
          <w:pgNumType w:fmt="numberInDash" w:start="1"/>
          <w:cols w:space="720" w:num="1"/>
          <w:docGrid w:linePitch="1" w:charSpace="0"/>
        </w:sect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9"/>
        <w:widowControl w:val="0"/>
        <w:spacing w:before="0" w:after="0" w:line="500" w:lineRule="exact"/>
        <w:jc w:val="left"/>
        <w:rPr>
          <w:rFonts w:ascii="宋体" w:hAnsi="宋体" w:eastAsia="宋体" w:cs="宋体"/>
          <w:color w:val="000000"/>
          <w:sz w:val="18"/>
          <w:u w:val="single"/>
          <w:lang w:eastAsia="zh-CN"/>
        </w:rPr>
      </w:pPr>
      <w:r>
        <w:rPr>
          <w:rFonts w:ascii="宋体" w:hAnsi="宋体" w:eastAsia="宋体" w:cs="宋体"/>
          <w:sz w:val="24"/>
          <w:szCs w:val="24"/>
          <w:lang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color w:val="000000"/>
          <w:sz w:val="18"/>
          <w:u w:val="single"/>
          <w:lang w:eastAsia="zh-CN"/>
        </w:rPr>
        <w:t xml:space="preserve">如皋市市场监督管理局   </w:t>
      </w: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18"/>
          <w:u w:val="single"/>
          <w:lang w:eastAsia="zh-CN"/>
        </w:rPr>
        <w:t>计量监管经费</w:t>
      </w:r>
    </w:p>
    <w:p>
      <w:pPr>
        <w:pStyle w:val="9"/>
        <w:widowControl w:val="0"/>
        <w:spacing w:before="0" w:after="0" w:line="500" w:lineRule="exact"/>
        <w:jc w:val="left"/>
        <w:rPr>
          <w:rFonts w:ascii="黑体" w:hAnsi="黑体" w:eastAsia="黑体" w:cs="黑体"/>
          <w:color w:val="000000"/>
          <w:sz w:val="28"/>
          <w:szCs w:val="28"/>
          <w:lang w:eastAsia="zh-CN"/>
        </w:rPr>
      </w:pPr>
    </w:p>
    <w:tbl>
      <w:tblPr>
        <w:tblStyle w:val="4"/>
        <w:tblW w:w="9174" w:type="dxa"/>
        <w:jc w:val="center"/>
        <w:tblLayout w:type="fixed"/>
        <w:tblCellMar>
          <w:top w:w="0" w:type="dxa"/>
          <w:left w:w="108" w:type="dxa"/>
          <w:bottom w:w="0" w:type="dxa"/>
          <w:right w:w="108" w:type="dxa"/>
        </w:tblCellMar>
      </w:tblPr>
      <w:tblGrid>
        <w:gridCol w:w="1044"/>
        <w:gridCol w:w="1134"/>
        <w:gridCol w:w="1701"/>
        <w:gridCol w:w="1134"/>
        <w:gridCol w:w="1134"/>
        <w:gridCol w:w="709"/>
        <w:gridCol w:w="850"/>
        <w:gridCol w:w="1468"/>
      </w:tblGrid>
      <w:tr>
        <w:tblPrEx>
          <w:tblCellMar>
            <w:top w:w="0" w:type="dxa"/>
            <w:left w:w="108" w:type="dxa"/>
            <w:bottom w:w="0" w:type="dxa"/>
            <w:right w:w="108" w:type="dxa"/>
          </w:tblCellMar>
        </w:tblPrEx>
        <w:trPr>
          <w:trHeight w:val="359" w:hRule="atLeast"/>
          <w:jc w:val="center"/>
        </w:trPr>
        <w:tc>
          <w:tcPr>
            <w:tcW w:w="38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1134"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1134"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709"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850"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1468"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691" w:hRule="atLeast"/>
          <w:jc w:val="center"/>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1134"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1134"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709"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1468"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7" w:hRule="atLeast"/>
          <w:jc w:val="center"/>
        </w:trPr>
        <w:tc>
          <w:tcPr>
            <w:tcW w:w="1044"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1134"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资金到位率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63.30%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23"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预算执行率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63.30%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5" w:hRule="atLeast"/>
          <w:jc w:val="center"/>
        </w:trPr>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财务管理规范度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5"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定量包装产(商)品</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213批次</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213批次</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27"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强制检定计量器具检定完成率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43"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定量包装抽检完成率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p>
            <w:pPr>
              <w:widowControl w:val="0"/>
              <w:spacing w:line="260" w:lineRule="exact"/>
              <w:jc w:val="center"/>
              <w:rPr>
                <w:rFonts w:ascii="宋体" w:hAnsi="宋体" w:eastAsia="宋体" w:cs="宋体"/>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21"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过度包装抽检完成率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39"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年内完成及时率</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04"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15"/>
                <w:szCs w:val="15"/>
              </w:rPr>
            </w:pPr>
            <w:r>
              <w:rPr>
                <w:rFonts w:hint="eastAsia" w:ascii="宋体" w:hAnsi="宋体" w:eastAsia="宋体" w:cs="宋体"/>
                <w:color w:val="000000"/>
                <w:sz w:val="15"/>
                <w:szCs w:val="15"/>
              </w:rPr>
              <w:t>计量日主题宣传</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5月20日</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5月20日</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经济效益指标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提高计量准确度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较显著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较显著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减少计量投诉</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较显著</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较显著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生态效益指标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促进环境保护　</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r>
              <w:rPr>
                <w:rFonts w:hint="eastAsia" w:ascii="宋体" w:hAnsi="宋体" w:eastAsia="宋体" w:cs="宋体"/>
                <w:color w:val="000000"/>
                <w:sz w:val="20"/>
                <w:szCs w:val="20"/>
              </w:rPr>
              <w:t>服务对象满意度</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bookmarkStart w:id="0" w:name="_GoBack"/>
            <w:bookmarkEnd w:id="0"/>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r>
        <w:tblPrEx>
          <w:tblCellMar>
            <w:top w:w="0" w:type="dxa"/>
            <w:left w:w="108" w:type="dxa"/>
            <w:bottom w:w="0" w:type="dxa"/>
            <w:right w:w="108" w:type="dxa"/>
          </w:tblCellMar>
        </w:tblPrEx>
        <w:trPr>
          <w:trHeight w:val="473" w:hRule="atLeast"/>
          <w:jc w:val="center"/>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98</w:t>
            </w:r>
          </w:p>
        </w:tc>
        <w:tc>
          <w:tcPr>
            <w:tcW w:w="1468"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widowControl w:val="0"/>
              <w:spacing w:line="260" w:lineRule="exact"/>
              <w:rPr>
                <w:rFonts w:ascii="宋体" w:hAnsi="宋体" w:eastAsia="宋体" w:cs="宋体"/>
                <w:color w:val="000000"/>
                <w:sz w:val="22"/>
                <w:szCs w:val="22"/>
              </w:rPr>
            </w:pPr>
          </w:p>
        </w:tc>
      </w:tr>
    </w:tbl>
    <w:p>
      <w:pPr>
        <w:pStyle w:val="8"/>
        <w:widowControl w:val="0"/>
        <w:spacing w:before="0" w:after="0" w:line="560" w:lineRule="exact"/>
        <w:jc w:val="left"/>
        <w:rPr>
          <w:rFonts w:ascii="仿宋_GB2312" w:hAnsi="仿宋_GB2312" w:eastAsia="仿宋_GB2312" w:cs="仿宋_GB2312"/>
          <w:color w:val="000000"/>
          <w:sz w:val="32"/>
          <w:szCs w:val="32"/>
          <w:lang w:eastAsia="zh-CN"/>
        </w:rPr>
      </w:pP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BF715F"/>
    <w:multiLevelType w:val="singleLevel"/>
    <w:tmpl w:val="36BF715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82796D"/>
    <w:rsid w:val="00000C6F"/>
    <w:rsid w:val="00010C51"/>
    <w:rsid w:val="00060675"/>
    <w:rsid w:val="0007115B"/>
    <w:rsid w:val="000A56DB"/>
    <w:rsid w:val="000D40AB"/>
    <w:rsid w:val="00102AEA"/>
    <w:rsid w:val="002C2900"/>
    <w:rsid w:val="002F3D5F"/>
    <w:rsid w:val="00425082"/>
    <w:rsid w:val="0043187A"/>
    <w:rsid w:val="00464234"/>
    <w:rsid w:val="004F19C8"/>
    <w:rsid w:val="005A68C3"/>
    <w:rsid w:val="006C06BE"/>
    <w:rsid w:val="006D27DC"/>
    <w:rsid w:val="0070746B"/>
    <w:rsid w:val="0082796D"/>
    <w:rsid w:val="00862A69"/>
    <w:rsid w:val="008C0808"/>
    <w:rsid w:val="008C2216"/>
    <w:rsid w:val="00961E79"/>
    <w:rsid w:val="009C2507"/>
    <w:rsid w:val="00A441BF"/>
    <w:rsid w:val="00BC3156"/>
    <w:rsid w:val="00C350AF"/>
    <w:rsid w:val="00C508A9"/>
    <w:rsid w:val="00C64FB1"/>
    <w:rsid w:val="00C95885"/>
    <w:rsid w:val="00ED50FC"/>
    <w:rsid w:val="00F245FB"/>
    <w:rsid w:val="00FA6630"/>
    <w:rsid w:val="00FE04C5"/>
    <w:rsid w:val="13472A18"/>
    <w:rsid w:val="1CB5380E"/>
    <w:rsid w:val="21C0502A"/>
    <w:rsid w:val="22C76894"/>
    <w:rsid w:val="2634778C"/>
    <w:rsid w:val="40DA7F1B"/>
    <w:rsid w:val="4B5E0082"/>
    <w:rsid w:val="695D287F"/>
    <w:rsid w:val="7CDC6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sz w:val="28"/>
      <w:szCs w:val="28"/>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2</Pages>
  <Words>1219</Words>
  <Characters>1349</Characters>
  <Lines>10</Lines>
  <Paragraphs>3</Paragraphs>
  <TotalTime>8</TotalTime>
  <ScaleCrop>false</ScaleCrop>
  <LinksUpToDate>false</LinksUpToDate>
  <CharactersWithSpaces>1385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2022-03-24T07:37:00Z</dcterms:created>
  <dc:creator>顾小燕</dc:creator>
  <cp:lastModifiedBy>飞飞</cp:lastModifiedBy>
  <dcterms:modified xsi:type="dcterms:W3CDTF">2023-09-13T03:19:25Z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0088C36263B149528CCB43F1679A7894</vt:lpwstr>
  </property>
</Properties>
</file>