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2022年食品安全检验检测专用设备</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绩效评价报告</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一、项目情况</w:t>
      </w:r>
    </w:p>
    <w:p>
      <w:pPr>
        <w:pStyle w:val="10"/>
        <w:widowControl w:val="0"/>
        <w:spacing w:before="0" w:after="0" w:line="380" w:lineRule="exact"/>
        <w:ind w:firstLine="627" w:firstLineChars="200"/>
        <w:rPr>
          <w:rFonts w:ascii="仿宋_GB2312" w:hAnsi="仿宋_GB2312" w:eastAsia="仿宋_GB2312" w:cs="仿宋_GB2312"/>
          <w:b/>
          <w:color w:val="000000"/>
          <w:spacing w:val="-4"/>
          <w:sz w:val="32"/>
          <w:szCs w:val="32"/>
          <w:lang w:eastAsia="zh-CN"/>
        </w:rPr>
      </w:pPr>
      <w:r>
        <w:rPr>
          <w:rFonts w:hint="eastAsia" w:ascii="仿宋_GB2312" w:hAnsi="仿宋_GB2312" w:eastAsia="仿宋_GB2312" w:cs="仿宋_GB2312"/>
          <w:b/>
          <w:color w:val="000000"/>
          <w:spacing w:val="-4"/>
          <w:sz w:val="32"/>
          <w:szCs w:val="32"/>
          <w:lang w:eastAsia="zh-CN"/>
        </w:rPr>
        <w:t>（一）项目概况。</w:t>
      </w:r>
    </w:p>
    <w:p>
      <w:pPr>
        <w:pStyle w:val="10"/>
        <w:widowControl w:val="0"/>
        <w:spacing w:before="0" w:after="0" w:line="380" w:lineRule="exact"/>
        <w:ind w:firstLine="624"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pacing w:val="-4"/>
          <w:sz w:val="32"/>
          <w:szCs w:val="32"/>
          <w:lang w:eastAsia="zh-CN"/>
        </w:rPr>
        <w:t>完成微生物实验室改造；购置前处理仪器设备1套；2020年购置的气-质联用仪（三重四极杆串联）、 液-质联用仪（三重四极杆串联）各一台，总价420万元，三年按比例分期付款，2022年安排款项125.838万元。</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（二）绩效目标。</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总目标：配备满足检验检测要求的设备和设施。</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年度阶段性目标：</w:t>
      </w:r>
      <w:r>
        <w:rPr>
          <w:rFonts w:hint="eastAsia" w:ascii="仿宋_GB2312" w:hAnsi="仿宋_GB2312" w:eastAsia="仿宋_GB2312" w:cs="仿宋_GB2312"/>
          <w:color w:val="000000"/>
          <w:spacing w:val="-4"/>
          <w:sz w:val="32"/>
          <w:szCs w:val="32"/>
          <w:lang w:eastAsia="zh-CN"/>
        </w:rPr>
        <w:t>完成微生物实验室改造；</w:t>
      </w:r>
      <w:r>
        <w:rPr>
          <w:rFonts w:hint="eastAsia" w:ascii="仿宋_GB2312" w:hAnsi="仿宋_GB2312" w:eastAsia="仿宋_GB2312" w:cs="仿宋_GB2312"/>
          <w:color w:val="000000"/>
          <w:sz w:val="32"/>
          <w:szCs w:val="32"/>
          <w:lang w:eastAsia="zh-CN"/>
        </w:rPr>
        <w:t>购置检验检测设备1套。</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二、评价情况</w:t>
      </w:r>
    </w:p>
    <w:p>
      <w:pPr>
        <w:pStyle w:val="10"/>
        <w:widowControl w:val="0"/>
        <w:spacing w:before="0" w:after="0" w:line="380" w:lineRule="exact"/>
        <w:ind w:firstLine="624"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pacing w:val="-4"/>
          <w:sz w:val="32"/>
          <w:szCs w:val="32"/>
          <w:lang w:eastAsia="zh-CN"/>
        </w:rPr>
        <w:t>（一）项目特点分析。配备满足检验检测要求的设备和设施，大大提升中心检测能力，扩大检测范围，检测能力范围覆盖本地区的食品、农产品、水产品、畜产品，检测资质包含监督抽查所有检测范围。检测参数在现有的基础上增加50％，关键质量安全参数的最小检出限和检测精度满足要求。</w:t>
      </w:r>
    </w:p>
    <w:p>
      <w:pPr>
        <w:pStyle w:val="10"/>
        <w:widowControl w:val="0"/>
        <w:spacing w:before="0" w:after="0" w:line="380" w:lineRule="exact"/>
        <w:ind w:firstLine="624"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pacing w:val="-4"/>
          <w:sz w:val="32"/>
          <w:szCs w:val="32"/>
          <w:lang w:eastAsia="zh-CN"/>
        </w:rPr>
        <w:t>（二）评价思路方法。本次评价项目主要围绕项目决策、过程管理、产出效果和社会效益等方面开展，综合评价资金使用绩效。主要采取比较法，通过对绩效目标和实施效果比较，指标制定上定量与定性相结合，优先定量，综合分析绩效目标实现程度。</w:t>
      </w:r>
    </w:p>
    <w:p>
      <w:pPr>
        <w:pStyle w:val="10"/>
        <w:widowControl w:val="0"/>
        <w:spacing w:before="0" w:after="0" w:line="380" w:lineRule="exact"/>
        <w:ind w:firstLine="624"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pacing w:val="-4"/>
          <w:sz w:val="32"/>
          <w:szCs w:val="32"/>
          <w:lang w:eastAsia="zh-CN"/>
        </w:rPr>
        <w:t>（三）评价工作情况。完成食品、农产品、化工、建材、机电产品监督抽检498个批次；受理委托检验1447个批次，其中食品764个批次，农产品488个批次，粮食52个批次，化工、建材、机电及其他产品143个批次，有效地提升技术检测能力。</w:t>
      </w:r>
    </w:p>
    <w:p>
      <w:pPr>
        <w:pStyle w:val="10"/>
        <w:widowControl w:val="0"/>
        <w:spacing w:before="0" w:after="0" w:line="380" w:lineRule="exact"/>
        <w:ind w:firstLine="624"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pacing w:val="-4"/>
          <w:sz w:val="32"/>
          <w:szCs w:val="32"/>
          <w:lang w:eastAsia="zh-CN"/>
        </w:rPr>
        <w:t>（四）绩效</w:t>
      </w:r>
      <w:r>
        <w:rPr>
          <w:rFonts w:hint="eastAsia" w:ascii="仿宋_GB2312" w:hAnsi="仿宋_GB2312" w:eastAsia="仿宋_GB2312" w:cs="仿宋_GB2312"/>
          <w:color w:val="000000"/>
          <w:sz w:val="32"/>
          <w:szCs w:val="32"/>
          <w:lang w:eastAsia="zh-CN"/>
        </w:rPr>
        <w:t>评价结论。</w:t>
      </w:r>
      <w:r>
        <w:rPr>
          <w:rFonts w:ascii="仿宋_GB2312" w:hAnsi="仿宋_GB2312" w:eastAsia="仿宋_GB2312" w:cs="仿宋_GB2312"/>
          <w:color w:val="000000"/>
          <w:spacing w:val="-4"/>
          <w:sz w:val="32"/>
          <w:szCs w:val="32"/>
          <w:lang w:eastAsia="zh-CN"/>
        </w:rPr>
        <w:t>从资产管理、配置、效果等方面，对</w:t>
      </w:r>
      <w:r>
        <w:rPr>
          <w:rFonts w:hint="eastAsia" w:ascii="仿宋_GB2312" w:hAnsi="仿宋_GB2312" w:eastAsia="仿宋_GB2312" w:cs="仿宋_GB2312"/>
          <w:color w:val="000000"/>
          <w:spacing w:val="-4"/>
          <w:sz w:val="32"/>
          <w:szCs w:val="32"/>
          <w:lang w:eastAsia="zh-CN"/>
        </w:rPr>
        <w:t>检验检测工作进</w:t>
      </w:r>
      <w:r>
        <w:rPr>
          <w:rFonts w:ascii="仿宋_GB2312" w:hAnsi="仿宋_GB2312" w:eastAsia="仿宋_GB2312" w:cs="仿宋_GB2312"/>
          <w:color w:val="000000"/>
          <w:spacing w:val="-4"/>
          <w:sz w:val="32"/>
          <w:szCs w:val="32"/>
          <w:lang w:eastAsia="zh-CN"/>
        </w:rPr>
        <w:t>行绩效评价，综合评价得分</w:t>
      </w:r>
      <w:r>
        <w:rPr>
          <w:rFonts w:hint="eastAsia" w:ascii="仿宋_GB2312" w:hAnsi="仿宋_GB2312" w:eastAsia="仿宋_GB2312" w:cs="仿宋_GB2312"/>
          <w:color w:val="000000"/>
          <w:spacing w:val="-4"/>
          <w:sz w:val="32"/>
          <w:szCs w:val="32"/>
          <w:lang w:eastAsia="zh-CN"/>
        </w:rPr>
        <w:t>98</w:t>
      </w:r>
      <w:r>
        <w:rPr>
          <w:rFonts w:ascii="仿宋_GB2312" w:hAnsi="仿宋_GB2312" w:eastAsia="仿宋_GB2312" w:cs="仿宋_GB2312"/>
          <w:color w:val="000000"/>
          <w:spacing w:val="-4"/>
          <w:sz w:val="32"/>
          <w:szCs w:val="32"/>
          <w:lang w:eastAsia="zh-CN"/>
        </w:rPr>
        <w:t>分，评价结论“优秀”，</w:t>
      </w:r>
      <w:r>
        <w:rPr>
          <w:rFonts w:hint="eastAsia" w:ascii="仿宋_GB2312" w:hAnsi="仿宋_GB2312" w:eastAsia="仿宋_GB2312" w:cs="仿宋_GB2312"/>
          <w:color w:val="000000"/>
          <w:spacing w:val="-4"/>
          <w:sz w:val="32"/>
          <w:szCs w:val="32"/>
          <w:lang w:eastAsia="zh-CN"/>
        </w:rPr>
        <w:t>群众</w:t>
      </w:r>
      <w:r>
        <w:rPr>
          <w:rFonts w:ascii="仿宋_GB2312" w:hAnsi="仿宋_GB2312" w:eastAsia="仿宋_GB2312" w:cs="仿宋_GB2312"/>
          <w:color w:val="000000"/>
          <w:spacing w:val="-4"/>
          <w:sz w:val="32"/>
          <w:szCs w:val="32"/>
          <w:lang w:eastAsia="zh-CN"/>
        </w:rPr>
        <w:t>满意度≥9</w:t>
      </w:r>
      <w:r>
        <w:rPr>
          <w:rFonts w:hint="eastAsia" w:ascii="仿宋_GB2312" w:hAnsi="仿宋_GB2312" w:eastAsia="仿宋_GB2312" w:cs="仿宋_GB2312"/>
          <w:color w:val="000000"/>
          <w:spacing w:val="-4"/>
          <w:sz w:val="32"/>
          <w:szCs w:val="32"/>
          <w:lang w:eastAsia="zh-CN"/>
        </w:rPr>
        <w:t>5</w:t>
      </w:r>
      <w:r>
        <w:rPr>
          <w:rFonts w:ascii="仿宋_GB2312" w:hAnsi="仿宋_GB2312" w:eastAsia="仿宋_GB2312" w:cs="仿宋_GB2312"/>
          <w:color w:val="000000"/>
          <w:spacing w:val="-4"/>
          <w:sz w:val="32"/>
          <w:szCs w:val="32"/>
          <w:lang w:eastAsia="zh-CN"/>
        </w:rPr>
        <w:t>%</w:t>
      </w:r>
      <w:r>
        <w:rPr>
          <w:rFonts w:hint="eastAsia" w:ascii="仿宋_GB2312" w:hAnsi="仿宋_GB2312" w:eastAsia="仿宋_GB2312" w:cs="仿宋_GB2312"/>
          <w:color w:val="000000"/>
          <w:spacing w:val="-4"/>
          <w:sz w:val="32"/>
          <w:szCs w:val="32"/>
          <w:lang w:eastAsia="zh-CN"/>
        </w:rPr>
        <w:t>。</w:t>
      </w:r>
    </w:p>
    <w:p>
      <w:pPr>
        <w:pStyle w:val="10"/>
        <w:widowControl w:val="0"/>
        <w:spacing w:before="0" w:after="0" w:line="380" w:lineRule="exact"/>
        <w:ind w:firstLine="567" w:firstLineChars="200"/>
        <w:rPr>
          <w:rFonts w:ascii="仿宋_GB2312" w:hAnsi="仿宋_GB2312" w:eastAsia="仿宋_GB2312" w:cs="仿宋_GB2312"/>
          <w:b/>
          <w:color w:val="000000"/>
          <w:spacing w:val="-19"/>
          <w:sz w:val="32"/>
          <w:szCs w:val="32"/>
          <w:lang w:eastAsia="zh-CN"/>
        </w:rPr>
      </w:pPr>
      <w:r>
        <w:rPr>
          <w:rFonts w:hint="eastAsia" w:ascii="仿宋_GB2312" w:hAnsi="仿宋_GB2312" w:eastAsia="仿宋_GB2312" w:cs="仿宋_GB2312"/>
          <w:b/>
          <w:color w:val="000000"/>
          <w:spacing w:val="-19"/>
          <w:sz w:val="32"/>
          <w:szCs w:val="32"/>
          <w:lang w:eastAsia="zh-CN"/>
        </w:rPr>
        <w:t>三、项目绩效。</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（一）项目过程情况</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1、资金到位率。2022年度食品安全检验检测专用设备经费预算</w:t>
      </w:r>
      <w:r>
        <w:rPr>
          <w:rFonts w:hint="eastAsia" w:ascii="仿宋" w:hAnsi="仿宋" w:eastAsia="仿宋"/>
          <w:b/>
          <w:bCs/>
          <w:sz w:val="30"/>
          <w:szCs w:val="30"/>
          <w:lang w:eastAsia="zh-CN"/>
        </w:rPr>
        <w:t>200</w:t>
      </w:r>
      <w:r>
        <w:rPr>
          <w:rFonts w:hint="eastAsia" w:ascii="仿宋_GB2312" w:hAnsi="仿宋_GB2312" w:eastAsia="仿宋_GB2312" w:cs="仿宋_GB2312"/>
          <w:color w:val="000000"/>
          <w:sz w:val="32"/>
          <w:szCs w:val="32"/>
          <w:lang w:eastAsia="zh-CN"/>
        </w:rPr>
        <w:t>万元，实际到位</w:t>
      </w:r>
      <w:r>
        <w:rPr>
          <w:rFonts w:hint="eastAsia" w:ascii="仿宋" w:hAnsi="仿宋" w:eastAsia="仿宋"/>
          <w:b/>
          <w:bCs/>
          <w:sz w:val="30"/>
          <w:szCs w:val="30"/>
          <w:lang w:eastAsia="zh-CN"/>
        </w:rPr>
        <w:t>200</w:t>
      </w:r>
      <w:r>
        <w:rPr>
          <w:rFonts w:hint="eastAsia" w:ascii="仿宋_GB2312" w:hAnsi="仿宋_GB2312" w:eastAsia="仿宋_GB2312" w:cs="仿宋_GB2312"/>
          <w:color w:val="000000"/>
          <w:sz w:val="32"/>
          <w:szCs w:val="32"/>
          <w:lang w:eastAsia="zh-CN"/>
        </w:rPr>
        <w:t>万元，资金到位率100%。</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2、预算执行率。2022年度食品安全检验检测专用设备经费预算</w:t>
      </w:r>
      <w:r>
        <w:rPr>
          <w:rFonts w:hint="eastAsia" w:ascii="仿宋" w:hAnsi="仿宋" w:eastAsia="仿宋"/>
          <w:b/>
          <w:bCs/>
          <w:sz w:val="30"/>
          <w:szCs w:val="30"/>
          <w:lang w:eastAsia="zh-CN"/>
        </w:rPr>
        <w:t>200</w:t>
      </w:r>
      <w:r>
        <w:rPr>
          <w:rFonts w:hint="eastAsia" w:ascii="仿宋_GB2312" w:hAnsi="仿宋_GB2312" w:eastAsia="仿宋_GB2312" w:cs="仿宋_GB2312"/>
          <w:color w:val="000000"/>
          <w:sz w:val="32"/>
          <w:szCs w:val="32"/>
          <w:lang w:eastAsia="zh-CN"/>
        </w:rPr>
        <w:t>万元，实际使用</w:t>
      </w:r>
      <w:r>
        <w:rPr>
          <w:rFonts w:hint="eastAsia" w:ascii="仿宋" w:hAnsi="仿宋" w:eastAsia="仿宋"/>
          <w:b/>
          <w:bCs/>
          <w:sz w:val="30"/>
          <w:szCs w:val="30"/>
          <w:lang w:eastAsia="zh-CN"/>
        </w:rPr>
        <w:t>200</w:t>
      </w:r>
      <w:r>
        <w:rPr>
          <w:rFonts w:hint="eastAsia" w:ascii="仿宋_GB2312" w:hAnsi="仿宋_GB2312" w:eastAsia="仿宋_GB2312" w:cs="仿宋_GB2312"/>
          <w:color w:val="000000"/>
          <w:sz w:val="32"/>
          <w:szCs w:val="32"/>
          <w:lang w:eastAsia="zh-CN"/>
        </w:rPr>
        <w:t>万元，预算执行率为100%。</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资金使用合规性。该项资金在使用过程中符合国家财经法规和财务管理制度以及有关专项资金管理办法的规定，资金的拨付有完整的审批程序和手续，符合项目预算批复或合同规定的用途，不存在截留、挤占、挪用、虚列支出等情况。</w:t>
      </w:r>
    </w:p>
    <w:p>
      <w:pPr>
        <w:pStyle w:val="10"/>
        <w:widowControl w:val="0"/>
        <w:spacing w:before="0" w:after="0" w:line="380" w:lineRule="exact"/>
        <w:ind w:firstLine="640" w:firstLineChars="200"/>
        <w:rPr>
          <w:rFonts w:ascii="仿宋_GB2312" w:hAnsi="仿宋_GB2312" w:eastAsia="仿宋_GB2312" w:cs="仿宋_GB2312"/>
          <w:color w:val="000000"/>
          <w:sz w:val="32"/>
          <w:szCs w:val="32"/>
          <w:highlight w:val="yellow"/>
          <w:lang w:eastAsia="zh-CN"/>
        </w:rPr>
      </w:pPr>
      <w:r>
        <w:rPr>
          <w:rFonts w:hint="eastAsia" w:ascii="仿宋_GB2312" w:hAnsi="仿宋_GB2312" w:eastAsia="仿宋_GB2312" w:cs="仿宋_GB2312"/>
          <w:color w:val="000000"/>
          <w:sz w:val="32"/>
          <w:szCs w:val="32"/>
          <w:lang w:eastAsia="zh-CN"/>
        </w:rPr>
        <w:t>4、管理制度健全性。该项目已建立基本的业务管理制度，业务管理制度合法、合规。执行中按照局财务管理制度要求，财务管理制度合法、合规、完整。</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5、制度执行有效性。该项目遵守相关法律法规和相关管理规定，项目调整及支出调整手续完备，相关资料齐全、归档到位，组织调度、协同推进等相关机制落实到位。</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（二）项目产出情况</w:t>
      </w:r>
    </w:p>
    <w:p>
      <w:pPr>
        <w:pStyle w:val="10"/>
        <w:widowControl w:val="0"/>
        <w:spacing w:before="0" w:after="0" w:line="380" w:lineRule="exact"/>
        <w:ind w:firstLine="640"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z w:val="32"/>
          <w:szCs w:val="32"/>
          <w:lang w:eastAsia="zh-CN"/>
        </w:rPr>
        <w:t>1、数量指标。</w:t>
      </w:r>
      <w:r>
        <w:rPr>
          <w:rFonts w:hint="eastAsia" w:ascii="仿宋_GB2312" w:hAnsi="仿宋_GB2312" w:eastAsia="仿宋_GB2312" w:cs="仿宋_GB2312"/>
          <w:color w:val="000000"/>
          <w:spacing w:val="-4"/>
          <w:sz w:val="32"/>
          <w:szCs w:val="32"/>
          <w:lang w:eastAsia="zh-CN"/>
        </w:rPr>
        <w:t>购置前处理仪器设备1套</w:t>
      </w:r>
      <w:r>
        <w:rPr>
          <w:rFonts w:hint="eastAsia" w:ascii="仿宋_GB2312" w:hAnsi="仿宋_GB2312" w:eastAsia="仿宋_GB2312" w:cs="仿宋_GB2312"/>
          <w:color w:val="000000"/>
          <w:sz w:val="32"/>
          <w:szCs w:val="32"/>
          <w:lang w:eastAsia="zh-CN"/>
        </w:rPr>
        <w:t>。</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2、质量指标。配备适宜的检测设备，并对其有效控制，以保证检测数据的准确可靠，提升检测效率，报告差错率≤2%。</w:t>
      </w:r>
    </w:p>
    <w:p>
      <w:pPr>
        <w:pStyle w:val="10"/>
        <w:widowControl w:val="0"/>
        <w:spacing w:before="0" w:after="0" w:line="380" w:lineRule="exact"/>
        <w:ind w:firstLine="640" w:firstLineChars="200"/>
        <w:rPr>
          <w:rFonts w:ascii="仿宋_GB2312" w:hAnsi="仿宋_GB2312" w:eastAsia="仿宋_GB2312" w:cs="仿宋_GB2312"/>
          <w:color w:val="000000"/>
          <w:sz w:val="32"/>
          <w:szCs w:val="32"/>
          <w:highlight w:val="yellow"/>
          <w:lang w:eastAsia="zh-CN"/>
        </w:rPr>
      </w:pPr>
      <w:r>
        <w:rPr>
          <w:rFonts w:hint="eastAsia" w:ascii="仿宋_GB2312" w:hAnsi="仿宋_GB2312" w:eastAsia="仿宋_GB2312" w:cs="仿宋_GB2312"/>
          <w:color w:val="000000"/>
          <w:sz w:val="32"/>
          <w:szCs w:val="32"/>
          <w:lang w:eastAsia="zh-CN"/>
        </w:rPr>
        <w:t>3、时效指标。承诺期内按成检测报告。</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（三）项目效益情况</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1、社会效益指标。</w:t>
      </w:r>
      <w:r>
        <w:rPr>
          <w:rFonts w:hint="eastAsia" w:ascii="仿宋_GB2312" w:hAnsi="仿宋_GB2312" w:eastAsia="仿宋_GB2312" w:cs="仿宋_GB2312"/>
          <w:color w:val="000000"/>
          <w:spacing w:val="-4"/>
          <w:sz w:val="32"/>
          <w:szCs w:val="32"/>
          <w:lang w:eastAsia="zh-CN"/>
        </w:rPr>
        <w:t>提升中心检测能力，扩大检测范围，检测能力范围覆盖本地区的食品、农产品、水产品、畜产品</w:t>
      </w:r>
      <w:r>
        <w:rPr>
          <w:rFonts w:hint="eastAsia" w:ascii="仿宋_GB2312" w:hAnsi="仿宋_GB2312" w:eastAsia="仿宋_GB2312" w:cs="仿宋_GB2312"/>
          <w:color w:val="000000"/>
          <w:sz w:val="32"/>
          <w:szCs w:val="32"/>
          <w:lang w:eastAsia="zh-CN"/>
        </w:rPr>
        <w:t>。</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2、经济效益指标。接受企业委托检测任务，</w:t>
      </w:r>
      <w:r>
        <w:rPr>
          <w:rFonts w:hint="eastAsia" w:ascii="仿宋_GB2312" w:hAnsi="仿宋_GB2312" w:eastAsia="仿宋_GB2312" w:cs="仿宋_GB2312"/>
          <w:color w:val="000000"/>
          <w:spacing w:val="-4"/>
          <w:sz w:val="32"/>
          <w:szCs w:val="32"/>
          <w:lang w:eastAsia="zh-CN"/>
        </w:rPr>
        <w:t>受理企业委托检验1447个批次。</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（四）项目满意度情况。</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服务对象满意度</w:t>
      </w:r>
      <w:r>
        <w:rPr>
          <w:rFonts w:ascii="仿宋_GB2312" w:hAnsi="仿宋_GB2312" w:eastAsia="仿宋_GB2312" w:cs="仿宋_GB2312"/>
          <w:color w:val="000000"/>
          <w:spacing w:val="-4"/>
          <w:sz w:val="32"/>
          <w:szCs w:val="32"/>
          <w:lang w:eastAsia="zh-CN"/>
        </w:rPr>
        <w:t>≥9</w:t>
      </w:r>
      <w:r>
        <w:rPr>
          <w:rFonts w:hint="eastAsia" w:ascii="仿宋_GB2312" w:hAnsi="仿宋_GB2312" w:eastAsia="仿宋_GB2312" w:cs="仿宋_GB2312"/>
          <w:color w:val="000000"/>
          <w:spacing w:val="-4"/>
          <w:sz w:val="32"/>
          <w:szCs w:val="32"/>
          <w:lang w:eastAsia="zh-CN"/>
        </w:rPr>
        <w:t>5</w:t>
      </w:r>
      <w:r>
        <w:rPr>
          <w:rFonts w:ascii="仿宋_GB2312" w:hAnsi="仿宋_GB2312" w:eastAsia="仿宋_GB2312" w:cs="仿宋_GB2312"/>
          <w:color w:val="000000"/>
          <w:spacing w:val="-4"/>
          <w:sz w:val="32"/>
          <w:szCs w:val="32"/>
          <w:lang w:eastAsia="zh-CN"/>
        </w:rPr>
        <w:t>%</w:t>
      </w:r>
      <w:r>
        <w:rPr>
          <w:rFonts w:hint="eastAsia" w:ascii="仿宋_GB2312" w:hAnsi="仿宋_GB2312" w:eastAsia="仿宋_GB2312" w:cs="仿宋_GB2312"/>
          <w:color w:val="000000"/>
          <w:sz w:val="32"/>
          <w:szCs w:val="32"/>
          <w:lang w:eastAsia="zh-CN"/>
        </w:rPr>
        <w:t>。</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四、存在问题。</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无</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五、有关建议。</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无</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六、相关信息。</w:t>
      </w:r>
    </w:p>
    <w:p>
      <w:pPr>
        <w:pStyle w:val="10"/>
        <w:widowControl w:val="0"/>
        <w:spacing w:before="0" w:after="0" w:line="38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绩效评价评分表以评价报告附件的形式反映</w:t>
      </w:r>
    </w:p>
    <w:p>
      <w:pPr>
        <w:pStyle w:val="9"/>
        <w:widowControl w:val="0"/>
        <w:spacing w:beforeLines="100" w:afterLines="100" w:line="560" w:lineRule="exact"/>
        <w:rPr>
          <w:rFonts w:ascii="方正小标宋简体" w:hAnsi="方正小标宋简体" w:eastAsia="方正小标宋简体" w:cs="方正小标宋简体"/>
          <w:color w:val="000000"/>
          <w:sz w:val="44"/>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44"/>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r>
        <w:rPr>
          <w:rFonts w:hint="eastAsia" w:ascii="方正小标宋简体" w:hAnsi="方正小标宋简体" w:eastAsia="方正小标宋简体" w:cs="方正小标宋简体"/>
          <w:color w:val="000000"/>
          <w:sz w:val="32"/>
          <w:szCs w:val="32"/>
          <w:lang w:eastAsia="zh-CN"/>
        </w:rPr>
        <w:t>附件：</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1"/>
        <w:widowControl w:val="0"/>
        <w:spacing w:before="0" w:after="0" w:line="360" w:lineRule="exact"/>
        <w:jc w:val="left"/>
        <w:rPr>
          <w:rFonts w:ascii="黑体" w:hAnsi="黑体" w:eastAsia="黑体" w:cs="黑体"/>
          <w:color w:val="000000"/>
          <w:sz w:val="28"/>
          <w:szCs w:val="28"/>
          <w:u w:val="single"/>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宋体" w:hAnsi="宋体" w:eastAsia="宋体" w:cs="宋体"/>
          <w:sz w:val="21"/>
          <w:szCs w:val="21"/>
          <w:u w:val="single"/>
          <w:lang w:eastAsia="zh-CN"/>
        </w:rPr>
        <w:t>如皋市市场监督管理局</w:t>
      </w: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sz w:val="21"/>
          <w:szCs w:val="21"/>
          <w:u w:val="single"/>
          <w:lang w:eastAsia="zh-CN"/>
        </w:rPr>
        <w:t>食品安全检验检测专用设备</w:t>
      </w:r>
    </w:p>
    <w:tbl>
      <w:tblPr>
        <w:tblStyle w:val="5"/>
        <w:tblW w:w="0" w:type="auto"/>
        <w:jc w:val="center"/>
        <w:tblLayout w:type="autofit"/>
        <w:tblCellMar>
          <w:top w:w="0" w:type="dxa"/>
          <w:left w:w="108" w:type="dxa"/>
          <w:bottom w:w="0" w:type="dxa"/>
          <w:right w:w="108" w:type="dxa"/>
        </w:tblCellMar>
      </w:tblPr>
      <w:tblGrid>
        <w:gridCol w:w="613"/>
        <w:gridCol w:w="1269"/>
        <w:gridCol w:w="2336"/>
        <w:gridCol w:w="1923"/>
        <w:gridCol w:w="1848"/>
        <w:gridCol w:w="543"/>
        <w:gridCol w:w="467"/>
        <w:gridCol w:w="565"/>
      </w:tblGrid>
      <w:tr>
        <w:tblPrEx>
          <w:tblCellMar>
            <w:top w:w="0" w:type="dxa"/>
            <w:left w:w="108" w:type="dxa"/>
            <w:bottom w:w="0" w:type="dxa"/>
            <w:right w:w="108" w:type="dxa"/>
          </w:tblCellMar>
        </w:tblPrEx>
        <w:trPr>
          <w:trHeight w:val="567"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立项程序规范性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绩效指标明确性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预算编制科学性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资金分配合理性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20" w:lineRule="exact"/>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20" w:lineRule="exact"/>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20" w:lineRule="exact"/>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20" w:lineRule="exact"/>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管理制度健全、制度执行有效性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购置仪器设备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配备适宜的检测设备，并对其有效控制，以保证检测数据的准确可靠，提升检测效率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报告差错率≤2%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报告差错率≤2%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承诺期内出具检验报告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接受企业委托检测任务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提升中心检测能力，扩大检测范围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检测能力范围覆盖本地区的食品、农产品、水产品、畜产品。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b w:val="0"/>
                <w:color w:val="000000"/>
                <w:sz w:val="20"/>
                <w:szCs w:val="20"/>
              </w:rPr>
            </w:pPr>
            <w:r>
              <w:rPr>
                <w:rFonts w:hint="eastAsia" w:ascii="宋体" w:hAnsi="宋体" w:eastAsia="宋体" w:cs="宋体"/>
                <w:color w:val="000000"/>
                <w:sz w:val="20"/>
                <w:szCs w:val="20"/>
              </w:rPr>
              <w:t>检测能力范围覆盖本地区的食品、农产品、水产品、畜产品。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bookmarkStart w:id="0" w:name="_GoBack"/>
            <w:bookmarkEnd w:id="0"/>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公众对本市食品质量安全检测满意度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sz w:val="18"/>
                <w:szCs w:val="18"/>
              </w:rPr>
            </w:pPr>
            <w:r>
              <w:rPr>
                <w:rFonts w:ascii="宋体" w:hAnsi="宋体" w:eastAsia="宋体" w:cs="宋体"/>
                <w:color w:val="000000"/>
                <w:sz w:val="20"/>
                <w:szCs w:val="20"/>
              </w:rPr>
              <w:t>≥9</w:t>
            </w:r>
            <w:r>
              <w:rPr>
                <w:rFonts w:hint="eastAsia" w:ascii="宋体" w:hAnsi="宋体" w:eastAsia="宋体" w:cs="宋体"/>
                <w:color w:val="000000"/>
                <w:sz w:val="20"/>
                <w:szCs w:val="20"/>
              </w:rPr>
              <w:t>5</w:t>
            </w:r>
            <w:r>
              <w:rPr>
                <w:rFonts w:ascii="宋体" w:hAnsi="宋体" w:eastAsia="宋体" w:cs="宋体"/>
                <w:color w:val="00000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公众对本市食品质量安全检测满意度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20" w:lineRule="exact"/>
              <w:jc w:val="center"/>
              <w:rPr>
                <w:rFonts w:ascii="宋体" w:hAnsi="宋体" w:eastAsia="宋体" w:cs="宋体"/>
                <w:sz w:val="18"/>
                <w:szCs w:val="18"/>
              </w:rPr>
            </w:pPr>
            <w:r>
              <w:rPr>
                <w:rFonts w:ascii="宋体" w:hAnsi="宋体" w:eastAsia="宋体" w:cs="宋体"/>
                <w:color w:val="000000"/>
                <w:sz w:val="20"/>
                <w:szCs w:val="20"/>
              </w:rPr>
              <w:t>≥9</w:t>
            </w:r>
            <w:r>
              <w:rPr>
                <w:rFonts w:hint="eastAsia" w:ascii="宋体" w:hAnsi="宋体" w:eastAsia="宋体" w:cs="宋体"/>
                <w:color w:val="000000"/>
                <w:sz w:val="20"/>
                <w:szCs w:val="20"/>
              </w:rPr>
              <w:t>5</w:t>
            </w:r>
            <w:r>
              <w:rPr>
                <w:rFonts w:ascii="宋体" w:hAnsi="宋体" w:eastAsia="宋体" w:cs="宋体"/>
                <w:color w:val="00000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2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20" w:lineRule="exact"/>
              <w:jc w:val="center"/>
              <w:rPr>
                <w:rFonts w:ascii="宋体" w:hAnsi="宋体" w:eastAsia="宋体" w:cs="宋体"/>
                <w:color w:val="000000"/>
                <w:sz w:val="22"/>
                <w:szCs w:val="22"/>
              </w:rPr>
            </w:pPr>
          </w:p>
        </w:tc>
      </w:tr>
    </w:tbl>
    <w:p>
      <w:pPr>
        <w:pStyle w:val="10"/>
        <w:widowControl w:val="0"/>
        <w:spacing w:before="0" w:after="0" w:line="560" w:lineRule="exact"/>
        <w:rPr>
          <w:rFonts w:ascii="仿宋_GB2312" w:hAnsi="仿宋_GB2312" w:eastAsia="仿宋_GB2312" w:cs="仿宋_GB2312"/>
          <w:color w:val="000000"/>
          <w:sz w:val="32"/>
          <w:szCs w:val="32"/>
          <w:lang w:eastAsia="zh-CN"/>
        </w:rPr>
      </w:pPr>
    </w:p>
    <w:sectPr>
      <w:pgSz w:w="11900" w:h="16820"/>
      <w:pgMar w:top="1134" w:right="1134" w:bottom="1134" w:left="1418" w:header="720" w:footer="720" w:gutter="0"/>
      <w:pgNumType w:fmt="numberInDash" w:start="1"/>
      <w:cols w:space="720" w:num="1"/>
      <w:docGrid w:type="lines"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5YTdkNDkzODdhNjIwMDY1OWEyNWFjNTViZGZhZjcifQ=="/>
  </w:docVars>
  <w:rsids>
    <w:rsidRoot w:val="009F5B45"/>
    <w:rsid w:val="00001522"/>
    <w:rsid w:val="00056AC1"/>
    <w:rsid w:val="00065779"/>
    <w:rsid w:val="000764C9"/>
    <w:rsid w:val="000901CA"/>
    <w:rsid w:val="000A56DB"/>
    <w:rsid w:val="000C57B5"/>
    <w:rsid w:val="001432C1"/>
    <w:rsid w:val="00181AC8"/>
    <w:rsid w:val="001C0666"/>
    <w:rsid w:val="001C7901"/>
    <w:rsid w:val="00217A00"/>
    <w:rsid w:val="0022180B"/>
    <w:rsid w:val="00236A1C"/>
    <w:rsid w:val="00282722"/>
    <w:rsid w:val="002A0C36"/>
    <w:rsid w:val="00350EC6"/>
    <w:rsid w:val="0035536C"/>
    <w:rsid w:val="00402908"/>
    <w:rsid w:val="00405C4A"/>
    <w:rsid w:val="004428E4"/>
    <w:rsid w:val="00565B46"/>
    <w:rsid w:val="005D24BA"/>
    <w:rsid w:val="00681AA8"/>
    <w:rsid w:val="006A79AC"/>
    <w:rsid w:val="006C448E"/>
    <w:rsid w:val="0073780E"/>
    <w:rsid w:val="0074070F"/>
    <w:rsid w:val="00772971"/>
    <w:rsid w:val="007940E0"/>
    <w:rsid w:val="007E0BFD"/>
    <w:rsid w:val="007F7AD4"/>
    <w:rsid w:val="00817BBF"/>
    <w:rsid w:val="008B052F"/>
    <w:rsid w:val="008D0868"/>
    <w:rsid w:val="009038FB"/>
    <w:rsid w:val="009A0AC6"/>
    <w:rsid w:val="009D59FD"/>
    <w:rsid w:val="009F5B45"/>
    <w:rsid w:val="009F5D10"/>
    <w:rsid w:val="00A106F7"/>
    <w:rsid w:val="00A40F6F"/>
    <w:rsid w:val="00A4521F"/>
    <w:rsid w:val="00A475A1"/>
    <w:rsid w:val="00AC1C6A"/>
    <w:rsid w:val="00AC4B2F"/>
    <w:rsid w:val="00AE2672"/>
    <w:rsid w:val="00AE3ADC"/>
    <w:rsid w:val="00AE4544"/>
    <w:rsid w:val="00AE7334"/>
    <w:rsid w:val="00BB7C57"/>
    <w:rsid w:val="00BE609F"/>
    <w:rsid w:val="00C4150F"/>
    <w:rsid w:val="00D172E5"/>
    <w:rsid w:val="00D5687C"/>
    <w:rsid w:val="00D77944"/>
    <w:rsid w:val="00E02273"/>
    <w:rsid w:val="00E57818"/>
    <w:rsid w:val="00E7786B"/>
    <w:rsid w:val="00EE6CBC"/>
    <w:rsid w:val="00F753F8"/>
    <w:rsid w:val="16FB7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kern w:val="0"/>
      <w:sz w:val="28"/>
      <w:szCs w:val="28"/>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widowControl w:val="0"/>
      <w:tabs>
        <w:tab w:val="center" w:pos="4153"/>
        <w:tab w:val="right" w:pos="8306"/>
      </w:tabs>
      <w:snapToGrid w:val="0"/>
      <w:jc w:val="left"/>
    </w:pPr>
    <w:rPr>
      <w:rFonts w:eastAsiaTheme="minorEastAsia" w:cstheme="minorBidi"/>
      <w:b w:val="0"/>
      <w:kern w:val="2"/>
      <w:sz w:val="18"/>
      <w:szCs w:val="18"/>
    </w:rPr>
  </w:style>
  <w:style w:type="paragraph" w:styleId="3">
    <w:name w:val="header"/>
    <w:basedOn w:val="1"/>
    <w:link w:val="7"/>
    <w:semiHidden/>
    <w:unhideWhenUsed/>
    <w:qFormat/>
    <w:uiPriority w:val="99"/>
    <w:pPr>
      <w:widowControl w:val="0"/>
      <w:pBdr>
        <w:bottom w:val="single" w:color="auto" w:sz="6" w:space="1"/>
      </w:pBdr>
      <w:tabs>
        <w:tab w:val="center" w:pos="4153"/>
        <w:tab w:val="right" w:pos="8306"/>
      </w:tabs>
      <w:snapToGrid w:val="0"/>
      <w:jc w:val="center"/>
    </w:pPr>
    <w:rPr>
      <w:rFonts w:eastAsiaTheme="minorEastAsia" w:cstheme="minorBidi"/>
      <w:b w:val="0"/>
      <w:kern w:val="2"/>
      <w:sz w:val="18"/>
      <w:szCs w:val="18"/>
    </w:rPr>
  </w:style>
  <w:style w:type="paragraph" w:styleId="4">
    <w:name w:val="Normal (Web)"/>
    <w:basedOn w:val="1"/>
    <w:qFormat/>
    <w:uiPriority w:val="0"/>
    <w:pPr>
      <w:spacing w:beforeAutospacing="1" w:afterAutospacing="1"/>
      <w:jc w:val="left"/>
    </w:pPr>
    <w:rPr>
      <w:rFonts w:cs="Times New Roman"/>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 w:type="paragraph" w:customStyle="1" w:styleId="9">
    <w:name w:val="Normal_0"/>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0">
    <w:name w:val="Normal_18"/>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1">
    <w:name w:val="Normal_12"/>
    <w:qFormat/>
    <w:uiPriority w:val="0"/>
    <w:pPr>
      <w:spacing w:before="120" w:after="240"/>
      <w:jc w:val="both"/>
    </w:pPr>
    <w:rPr>
      <w:rFonts w:asciiTheme="minorHAnsi" w:hAnsiTheme="minorHAnsi" w:eastAsiaTheme="minorEastAsia" w:cstheme="minorBidi"/>
      <w:kern w:val="0"/>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3</Pages>
  <Words>1708</Words>
  <Characters>1817</Characters>
  <Lines>14</Lines>
  <Paragraphs>4</Paragraphs>
  <TotalTime>1146</TotalTime>
  <ScaleCrop>false</ScaleCrop>
  <LinksUpToDate>false</LinksUpToDate>
  <CharactersWithSpaces>1820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2022-03-24T07:39:00Z</dcterms:created>
  <dc:creator>顾小燕</dc:creator>
  <cp:lastModifiedBy>飞飞</cp:lastModifiedBy>
  <dcterms:modified xsi:type="dcterms:W3CDTF">2023-09-13T03:10:03Z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5FC7AB6DC2BF46EDBB92ACC1BCC9493C</vt:lpwstr>
  </property>
</Properties>
</file>