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2022年项目支出绩效自评价情况表</w:t>
      </w:r>
    </w:p>
    <w:p>
      <w:pPr>
        <w:pStyle w:val="9"/>
        <w:widowControl w:val="0"/>
        <w:spacing w:before="0" w:after="0" w:line="500" w:lineRule="exact"/>
        <w:jc w:val="left"/>
        <w:rPr>
          <w:rFonts w:ascii="APQONC+å®ä½" w:hAnsi="APQONC+å®ä½" w:cs="APQONC+å®ä½"/>
          <w:color w:val="000000"/>
          <w:sz w:val="18"/>
          <w:lang w:eastAsia="zh-CN"/>
        </w:rPr>
      </w:pPr>
      <w:r>
        <w:rPr>
          <w:rFonts w:ascii="APQONC+å®ä½" w:hAnsi="APQONC+å®ä½" w:cs="APQONC+å®ä½"/>
          <w:color w:val="000000"/>
          <w:sz w:val="18"/>
          <w:lang w:eastAsia="zh-CN"/>
        </w:rPr>
        <w:t>填报单位：</w:t>
      </w:r>
      <w:r>
        <w:rPr>
          <w:rFonts w:hint="eastAsia" w:ascii="APQONC+å®ä½" w:hAnsi="APQONC+å®ä½" w:cs="APQONC+å®ä½"/>
          <w:color w:val="000000"/>
          <w:sz w:val="18"/>
          <w:u w:val="single"/>
          <w:lang w:eastAsia="zh-CN"/>
        </w:rPr>
        <w:t xml:space="preserve"> 如皋市市场监督管理局   </w:t>
      </w:r>
    </w:p>
    <w:p>
      <w:pPr>
        <w:pStyle w:val="9"/>
        <w:widowControl w:val="0"/>
        <w:spacing w:before="0" w:after="0" w:line="500" w:lineRule="exact"/>
        <w:jc w:val="left"/>
        <w:rPr>
          <w:rFonts w:ascii="宋体" w:hAnsi="宋体" w:eastAsia="宋体" w:cs="宋体"/>
          <w:color w:val="000000"/>
          <w:sz w:val="18"/>
          <w:u w:val="single"/>
          <w:lang w:eastAsia="zh-CN"/>
        </w:rPr>
      </w:pPr>
      <w:r>
        <w:rPr>
          <w:rFonts w:ascii="APQONC+å®ä½" w:hAnsi="APQONC+å®ä½" w:cs="APQONC+å®ä½"/>
          <w:color w:val="000000"/>
          <w:sz w:val="18"/>
          <w:lang w:eastAsia="zh-CN"/>
        </w:rPr>
        <w:t>项目名称：</w:t>
      </w:r>
      <w:r>
        <w:rPr>
          <w:rFonts w:hint="eastAsia"/>
          <w:sz w:val="18"/>
          <w:szCs w:val="18"/>
          <w:u w:val="single"/>
          <w:lang w:eastAsia="zh-CN"/>
        </w:rPr>
        <w:t>2022年</w:t>
      </w:r>
      <w:r>
        <w:rPr>
          <w:rFonts w:hint="eastAsia"/>
          <w:sz w:val="18"/>
          <w:szCs w:val="18"/>
          <w:u w:val="single"/>
          <w:lang w:val="en-US" w:eastAsia="zh-CN"/>
        </w:rPr>
        <w:t>江苏</w:t>
      </w:r>
      <w:r>
        <w:rPr>
          <w:rFonts w:hint="eastAsia"/>
          <w:sz w:val="18"/>
          <w:szCs w:val="18"/>
          <w:u w:val="single"/>
          <w:lang w:eastAsia="zh-CN"/>
        </w:rPr>
        <w:t>省药品安全监管专项资金</w:t>
      </w:r>
    </w:p>
    <w:p>
      <w:pPr>
        <w:pStyle w:val="9"/>
        <w:widowControl w:val="0"/>
        <w:spacing w:before="0" w:after="0" w:line="500" w:lineRule="exact"/>
        <w:jc w:val="left"/>
        <w:rPr>
          <w:rFonts w:ascii="SJSDLU+å®ä½"/>
          <w:color w:val="000000"/>
          <w:sz w:val="18"/>
          <w:lang w:eastAsia="zh-CN"/>
        </w:rPr>
      </w:pPr>
      <w:r>
        <w:rPr>
          <w:rFonts w:ascii="APQONC+å®ä½" w:hAnsi="APQONC+å®ä½" w:cs="APQONC+å®ä½"/>
          <w:color w:val="000000"/>
          <w:sz w:val="18"/>
          <w:lang w:eastAsia="zh-CN"/>
        </w:rPr>
        <w:t>项目实施年度：</w:t>
      </w:r>
      <w:r>
        <w:rPr>
          <w:rFonts w:hint="eastAsia" w:ascii="宋体" w:hAnsi="宋体" w:eastAsia="宋体" w:cs="宋体"/>
          <w:color w:val="000000"/>
          <w:sz w:val="18"/>
          <w:u w:val="single"/>
          <w:lang w:eastAsia="zh-CN"/>
        </w:rPr>
        <w:t xml:space="preserve">2022年 </w:t>
      </w:r>
      <w:r>
        <w:rPr>
          <w:rFonts w:hint="eastAsia" w:ascii="宋体" w:hAnsi="宋体" w:eastAsia="宋体" w:cs="宋体"/>
          <w:color w:val="000000"/>
          <w:spacing w:val="4"/>
          <w:sz w:val="18"/>
          <w:lang w:eastAsia="zh-CN"/>
        </w:rPr>
        <w:t xml:space="preserve"> </w:t>
      </w:r>
      <w:r>
        <w:rPr>
          <w:rFonts w:ascii="APQONC+å®ä½" w:hAnsi="APQONC+å®ä½" w:cs="APQONC+å®ä½"/>
          <w:color w:val="000000"/>
          <w:spacing w:val="-9"/>
          <w:sz w:val="18"/>
          <w:lang w:eastAsia="zh-CN"/>
        </w:rPr>
        <w:t>项目实施开始时间（</w:t>
      </w:r>
      <w:r>
        <w:rPr>
          <w:rFonts w:hint="eastAsia" w:ascii="宋体" w:hAnsi="宋体" w:eastAsia="宋体" w:cs="宋体"/>
          <w:color w:val="000000"/>
          <w:spacing w:val="-9"/>
          <w:sz w:val="18"/>
          <w:lang w:eastAsia="zh-CN"/>
        </w:rPr>
        <w:t>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5"/>
          <w:sz w:val="18"/>
          <w:lang w:eastAsia="zh-CN"/>
        </w:rPr>
        <w:t xml:space="preserve"> </w:t>
      </w:r>
      <w:r>
        <w:rPr>
          <w:rFonts w:hint="eastAsia" w:ascii="宋体" w:hAnsi="宋体" w:eastAsia="宋体" w:cs="宋体"/>
          <w:color w:val="000000"/>
          <w:spacing w:val="-46"/>
          <w:sz w:val="18"/>
          <w:lang w:eastAsia="zh-CN"/>
        </w:rPr>
        <w:t xml:space="preserve">）：2 0 </w:t>
      </w:r>
      <w:r>
        <w:rPr>
          <w:rFonts w:hint="eastAsia" w:ascii="宋体" w:hAnsi="宋体" w:eastAsia="宋体" w:cs="宋体"/>
          <w:color w:val="000000"/>
          <w:sz w:val="18"/>
          <w:lang w:eastAsia="zh-CN"/>
        </w:rPr>
        <w:t xml:space="preserve">22年1月 </w:t>
      </w:r>
      <w:r>
        <w:rPr>
          <w:rFonts w:hint="eastAsia" w:ascii="宋体" w:hAnsi="宋体" w:eastAsia="宋体" w:cs="宋体"/>
          <w:color w:val="000000"/>
          <w:spacing w:val="1"/>
          <w:sz w:val="18"/>
          <w:lang w:eastAsia="zh-CN"/>
        </w:rPr>
        <w:t xml:space="preserve"> </w:t>
      </w:r>
      <w:r>
        <w:rPr>
          <w:rFonts w:hint="eastAsia" w:ascii="宋体" w:hAnsi="宋体" w:eastAsia="宋体" w:cs="宋体"/>
          <w:color w:val="000000"/>
          <w:spacing w:val="-8"/>
          <w:sz w:val="18"/>
          <w:lang w:eastAsia="zh-CN"/>
        </w:rPr>
        <w:t>项目实施完成时间（年</w:t>
      </w:r>
      <w:r>
        <w:rPr>
          <w:rFonts w:hint="eastAsia" w:ascii="宋体" w:hAnsi="宋体" w:eastAsia="宋体" w:cs="宋体"/>
          <w:color w:val="000000"/>
          <w:spacing w:val="1"/>
          <w:sz w:val="18"/>
          <w:lang w:eastAsia="zh-CN"/>
        </w:rPr>
        <w:t>/</w:t>
      </w:r>
      <w:r>
        <w:rPr>
          <w:rFonts w:hint="eastAsia" w:ascii="宋体" w:hAnsi="宋体" w:eastAsia="宋体" w:cs="宋体"/>
          <w:color w:val="000000"/>
          <w:sz w:val="18"/>
          <w:lang w:eastAsia="zh-CN"/>
        </w:rPr>
        <w:t>月</w:t>
      </w:r>
      <w:r>
        <w:rPr>
          <w:rFonts w:hint="eastAsia" w:ascii="宋体" w:hAnsi="宋体" w:eastAsia="宋体" w:cs="宋体"/>
          <w:color w:val="000000"/>
          <w:spacing w:val="-44"/>
          <w:sz w:val="18"/>
          <w:lang w:eastAsia="zh-CN"/>
        </w:rPr>
        <w:t xml:space="preserve"> </w:t>
      </w:r>
      <w:r>
        <w:rPr>
          <w:rFonts w:hint="eastAsia" w:ascii="宋体" w:hAnsi="宋体" w:eastAsia="宋体" w:cs="宋体"/>
          <w:color w:val="000000"/>
          <w:spacing w:val="-46"/>
          <w:sz w:val="18"/>
          <w:lang w:eastAsia="zh-CN"/>
        </w:rPr>
        <w:t>）：</w:t>
      </w:r>
      <w:r>
        <w:rPr>
          <w:rFonts w:hint="eastAsia" w:ascii="宋体" w:hAnsi="宋体" w:eastAsia="宋体" w:cs="宋体"/>
          <w:color w:val="000000"/>
          <w:sz w:val="18"/>
          <w:lang w:eastAsia="zh-CN"/>
        </w:rPr>
        <w:t>2022年12月</w:t>
      </w:r>
    </w:p>
    <w:p>
      <w:pPr>
        <w:pStyle w:val="9"/>
        <w:widowControl w:val="0"/>
        <w:pBdr>
          <w:top w:val="single" w:color="auto" w:sz="4" w:space="0"/>
          <w:left w:val="single" w:color="auto" w:sz="4" w:space="0"/>
          <w:bottom w:val="single" w:color="auto" w:sz="4" w:space="13"/>
          <w:right w:val="single" w:color="auto" w:sz="4" w:space="0"/>
        </w:pBdr>
        <w:spacing w:before="0" w:after="0" w:line="560" w:lineRule="exact"/>
        <w:ind w:firstLine="480" w:firstLineChars="200"/>
        <w:jc w:val="center"/>
        <w:rPr>
          <w:rFonts w:ascii="黑体" w:hAnsi="黑体" w:eastAsia="黑体" w:cs="黑体"/>
          <w:color w:val="000000"/>
          <w:sz w:val="24"/>
          <w:lang w:eastAsia="zh-CN"/>
        </w:rPr>
      </w:pPr>
      <w:r>
        <w:rPr>
          <w:rFonts w:hint="eastAsia" w:ascii="黑体" w:hAnsi="黑体" w:eastAsia="黑体" w:cs="黑体"/>
          <w:color w:val="000000"/>
          <w:sz w:val="24"/>
        </w:rPr>
        <w:t>项目自评价情况</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一、项目概况（项目政策、资金分配使用、项目实施情况等）</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进一步规范全市药品市场秩序，加大药品案件的惩处力度，药品安全环境得到好转，开发药械安全监管软件，加大药械妆法律法规培训力度，进一步提升药品监管效能，加大对药品和医疗器械不良反应事件报告和监测管理， 进一步保障人民群众的用药安全。该资金年度总额75万元，已下达75万元，预算执行率100%。</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二、评价情况（评价思路、方式、做法，以及评价指标体系设置情况和评价结论等）</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（一）评价方式</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本次绩效评价主要采取比较法，通过对绩效目标与实施效果比较，指标制定上定量与定性相结合，优先定量，综合分析绩效目标实现程度。</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（二）评价指标体系设置</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本次绩效指标体系设置主要综合考虑项目背景、项目意义、项目范围、项目流程等，遵循相关性原则、重要性原则、可比性原则、系统性原则和经济性原则设定各类指标，通过分析评分的方式全面评价项目决策、过程管理、产出效果和社会效益。</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（三）评价结论</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依据评价指标体系和采集的基础数据信息，在遵循科学规范、公开公正、绩效相关和重点核查的原则上，经综合评价，得出省药品安全监管专项资金绩效评价综合得分100分，等级为“优秀”</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三、项目绩效（通过绩效评价发现、总结的项目绩效）</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（一）全年完成检查 2437家计4910家次，出具问题整改意见书1829份，发出《责令改正通知书》153份，排查并整改风险隐患4592个。</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（二）上级各项专项整治全部按方案部署组织开展，药品抽样120批次，医疗器械抽样29批次，化妆品抽样28批次。</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（三）立案查处行业主体案件118件，办结罚没1200574元。简易程序案件311件。</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四）组织行业从业人员及监管人员进行管理法律法规宣传和监管业务能力提升集中5次，线上培训16次，邀请南通市药品不良反应监测中心、南通市第六人民医院、如皋市人民医院、如皋市中医院等单位专家授课，先后制作4期线上培训课件，全年印发宣传资料10000多份。</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（五）完成南通市双随机一公开抽查企业134家，完成省双随机抽查376家，其中跨部门联合检查391家。</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四、存在问题（通过绩效评价所发现的问题，原则上按照决策、过程、产出、效益分别归类分条撰写）</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无。</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hint="eastAsia" w:ascii="宋体" w:hAnsi="宋体" w:eastAsia="宋体" w:cs="宋体"/>
          <w:spacing w:val="8"/>
          <w:sz w:val="20"/>
          <w:szCs w:val="20"/>
          <w:lang w:eastAsia="zh-CN"/>
        </w:rPr>
      </w:pPr>
      <w:r>
        <w:rPr>
          <w:rFonts w:hint="eastAsia" w:ascii="宋体" w:hAnsi="宋体" w:eastAsia="宋体" w:cs="宋体"/>
          <w:spacing w:val="8"/>
          <w:sz w:val="20"/>
          <w:szCs w:val="20"/>
          <w:lang w:eastAsia="zh-CN"/>
        </w:rPr>
        <w:t>五、有关建议（针对存在的问题，分别提出相关完善或整改建议）</w:t>
      </w:r>
    </w:p>
    <w:p>
      <w:pPr>
        <w:pStyle w:val="9"/>
        <w:widowControl w:val="0"/>
        <w:pBdr>
          <w:top w:val="single" w:color="auto" w:sz="4" w:space="0"/>
          <w:left w:val="single" w:color="auto" w:sz="4" w:space="0"/>
          <w:bottom w:val="single" w:color="auto" w:sz="4" w:space="13"/>
          <w:right w:val="single" w:color="auto" w:sz="4" w:space="0"/>
        </w:pBdr>
        <w:spacing w:before="0" w:after="0" w:line="320" w:lineRule="exact"/>
        <w:ind w:firstLine="432" w:firstLineChars="200"/>
        <w:jc w:val="left"/>
        <w:rPr>
          <w:rFonts w:ascii="宋体" w:hAnsi="宋体" w:eastAsia="宋体" w:cs="宋体"/>
          <w:color w:val="000000"/>
          <w:sz w:val="20"/>
          <w:szCs w:val="21"/>
          <w:lang w:eastAsia="zh-CN"/>
        </w:rPr>
      </w:pPr>
      <w:r>
        <w:rPr>
          <w:rFonts w:hint="eastAsia" w:ascii="宋体" w:hAnsi="宋体" w:eastAsia="宋体" w:cs="宋体"/>
          <w:spacing w:val="8"/>
          <w:sz w:val="20"/>
          <w:szCs w:val="20"/>
          <w:lang w:eastAsia="zh-CN"/>
        </w:rPr>
        <w:t>无。</w:t>
      </w: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p>
    <w:p>
      <w:pPr>
        <w:pStyle w:val="8"/>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2022年项目支出绩效自评价评分表</w:t>
      </w:r>
    </w:p>
    <w:p>
      <w:pPr>
        <w:pStyle w:val="10"/>
        <w:widowControl w:val="0"/>
        <w:spacing w:before="0" w:after="0" w:line="360" w:lineRule="exact"/>
        <w:jc w:val="left"/>
        <w:rPr>
          <w:rFonts w:ascii="黑体" w:hAnsi="黑体" w:eastAsia="黑体" w:cs="黑体"/>
          <w:color w:val="000000"/>
          <w:sz w:val="28"/>
          <w:szCs w:val="28"/>
          <w:lang w:eastAsia="zh-CN"/>
        </w:rPr>
      </w:pP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APQONC+å®ä½" w:hAnsi="APQONC+å®ä½" w:cs="APQONC+å®ä½"/>
          <w:color w:val="000000"/>
          <w:sz w:val="18"/>
          <w:u w:val="single"/>
          <w:lang w:eastAsia="zh-CN"/>
        </w:rPr>
        <w:t>如皋市市场监督管理局</w:t>
      </w:r>
      <w:r>
        <w:rPr>
          <w:rFonts w:ascii="宋体" w:hAnsi="宋体" w:eastAsia="宋体" w:cs="宋体"/>
          <w:sz w:val="24"/>
          <w:szCs w:val="24"/>
          <w:lang w:eastAsia="zh-CN"/>
        </w:rPr>
        <w:t xml:space="preserve">_ </w:t>
      </w:r>
      <w:r>
        <w:rPr>
          <w:rFonts w:hint="eastAsia"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sz w:val="18"/>
          <w:szCs w:val="18"/>
          <w:u w:val="single"/>
          <w:lang w:eastAsia="zh-CN"/>
        </w:rPr>
        <w:t>2022年</w:t>
      </w:r>
      <w:r>
        <w:rPr>
          <w:rFonts w:hint="eastAsia"/>
          <w:sz w:val="18"/>
          <w:szCs w:val="18"/>
          <w:u w:val="single"/>
          <w:lang w:val="en-US" w:eastAsia="zh-CN"/>
        </w:rPr>
        <w:t>江苏</w:t>
      </w:r>
      <w:r>
        <w:rPr>
          <w:rFonts w:hint="eastAsia"/>
          <w:sz w:val="18"/>
          <w:szCs w:val="18"/>
          <w:u w:val="single"/>
          <w:lang w:eastAsia="zh-CN"/>
        </w:rPr>
        <w:t>省药品安全监管专项资金</w:t>
      </w:r>
      <w:bookmarkStart w:id="0" w:name="_GoBack"/>
      <w:bookmarkEnd w:id="0"/>
    </w:p>
    <w:tbl>
      <w:tblPr>
        <w:tblStyle w:val="4"/>
        <w:tblW w:w="0" w:type="auto"/>
        <w:jc w:val="center"/>
        <w:tblLayout w:type="autofit"/>
        <w:tblCellMar>
          <w:top w:w="0" w:type="dxa"/>
          <w:left w:w="108" w:type="dxa"/>
          <w:bottom w:w="0" w:type="dxa"/>
          <w:right w:w="108" w:type="dxa"/>
        </w:tblCellMar>
      </w:tblPr>
      <w:tblGrid>
        <w:gridCol w:w="1216"/>
        <w:gridCol w:w="1616"/>
        <w:gridCol w:w="1816"/>
        <w:gridCol w:w="1296"/>
        <w:gridCol w:w="1296"/>
        <w:gridCol w:w="616"/>
        <w:gridCol w:w="616"/>
        <w:gridCol w:w="1016"/>
      </w:tblGrid>
      <w:tr>
        <w:tblPrEx>
          <w:tblCellMar>
            <w:top w:w="0" w:type="dxa"/>
            <w:left w:w="108" w:type="dxa"/>
            <w:bottom w:w="0" w:type="dxa"/>
            <w:right w:w="108" w:type="dxa"/>
          </w:tblCellMar>
        </w:tblPrEx>
        <w:trPr>
          <w:trHeight w:val="567"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绩效指标明确性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kern w:val="0"/>
                <w:sz w:val="18"/>
                <w:szCs w:val="18"/>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cstheme="minorEastAsia"/>
                <w:color w:val="000000"/>
                <w:sz w:val="18"/>
                <w:szCs w:val="18"/>
              </w:rPr>
            </w:pPr>
            <w:r>
              <w:rPr>
                <w:rFonts w:hint="eastAsia" w:ascii="宋体" w:hAnsi="宋体" w:eastAsia="宋体" w:cs="宋体"/>
                <w:color w:val="000000"/>
                <w:sz w:val="18"/>
                <w:szCs w:val="18"/>
              </w:rPr>
              <w:t>检查主体数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spacing w:line="260" w:lineRule="exact"/>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rPr>
              <w:t>抽检合格率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宋体" w:hAnsi="宋体" w:eastAsia="宋体" w:cs="宋体"/>
                <w:color w:val="000000"/>
                <w:sz w:val="18"/>
                <w:szCs w:val="18"/>
              </w:rPr>
              <w:t>检查问题整改率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宋体" w:hAnsi="宋体" w:eastAsia="宋体" w:cs="宋体"/>
                <w:color w:val="000000"/>
                <w:sz w:val="20"/>
                <w:szCs w:val="20"/>
              </w:rPr>
              <w:t>提升药品安全水平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安全环境健康发展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持续健康发展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持续健康发展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textAlignment w:val="center"/>
              <w:rPr>
                <w:rFonts w:asciiTheme="minorEastAsia" w:hAnsiTheme="minorEastAsia" w:cstheme="minorEastAsia"/>
                <w:color w:val="000000"/>
                <w:sz w:val="18"/>
                <w:szCs w:val="18"/>
              </w:rPr>
            </w:pPr>
            <w:r>
              <w:rPr>
                <w:rFonts w:hint="eastAsia" w:asciiTheme="minorEastAsia" w:hAnsiTheme="minorEastAsia" w:cstheme="minorEastAsia"/>
                <w:color w:val="000000"/>
                <w:sz w:val="18"/>
                <w:szCs w:val="18"/>
              </w:rPr>
              <w:t>服务对象满意率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asciiTheme="minorEastAsia" w:hAnsiTheme="minorEastAsia"/>
                <w:sz w:val="18"/>
                <w:szCs w:val="18"/>
              </w:rPr>
              <w:t>≥</w:t>
            </w:r>
            <w:r>
              <w:rPr>
                <w:rFonts w:hint="eastAsia" w:ascii="宋体" w:hAnsi="宋体" w:eastAsia="宋体" w:cs="宋体"/>
                <w:color w:val="000000"/>
                <w:kern w:val="0"/>
                <w:sz w:val="18"/>
                <w:szCs w:val="18"/>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jc w:val="center"/>
              <w:rPr>
                <w:rFonts w:ascii="宋体" w:hAnsi="宋体" w:eastAsia="宋体" w:cs="宋体"/>
                <w:color w:val="000000"/>
                <w:sz w:val="18"/>
                <w:szCs w:val="18"/>
              </w:rPr>
            </w:pP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left"/>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6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pPr>
              <w:spacing w:line="260" w:lineRule="exact"/>
              <w:rPr>
                <w:rFonts w:ascii="宋体" w:hAnsi="宋体" w:eastAsia="宋体" w:cs="宋体"/>
                <w:color w:val="000000"/>
                <w:sz w:val="22"/>
              </w:rPr>
            </w:pPr>
          </w:p>
        </w:tc>
      </w:tr>
    </w:tbl>
    <w:p/>
    <w:sectPr>
      <w:pgSz w:w="11906" w:h="16838"/>
      <w:pgMar w:top="1418"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APQONC+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SJSDLU+å®ä½">
    <w:altName w:val="Segoe Print"/>
    <w:panose1 w:val="00000000000000000000"/>
    <w:charset w:val="01"/>
    <w:family w:val="auto"/>
    <w:pitch w:val="default"/>
    <w:sig w:usb0="00000000" w:usb1="00000000" w:usb2="01010101" w:usb3="01010101" w:csb0="01010101" w:csb1="0101010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2Q5YTdkNDkzODdhNjIwMDY1OWEyNWFjNTViZGZhZjcifQ=="/>
  </w:docVars>
  <w:rsids>
    <w:rsidRoot w:val="00E16E55"/>
    <w:rsid w:val="000108BF"/>
    <w:rsid w:val="000577FD"/>
    <w:rsid w:val="002C31D4"/>
    <w:rsid w:val="0033192E"/>
    <w:rsid w:val="003833BF"/>
    <w:rsid w:val="004A1B1C"/>
    <w:rsid w:val="004B6AD0"/>
    <w:rsid w:val="005109C7"/>
    <w:rsid w:val="00544B17"/>
    <w:rsid w:val="00565787"/>
    <w:rsid w:val="005F7367"/>
    <w:rsid w:val="006D641A"/>
    <w:rsid w:val="007767EE"/>
    <w:rsid w:val="007E49B2"/>
    <w:rsid w:val="00806D39"/>
    <w:rsid w:val="009649BC"/>
    <w:rsid w:val="00977725"/>
    <w:rsid w:val="0099519C"/>
    <w:rsid w:val="009E4888"/>
    <w:rsid w:val="00A64D7E"/>
    <w:rsid w:val="00AF1B53"/>
    <w:rsid w:val="00B33A6F"/>
    <w:rsid w:val="00B52709"/>
    <w:rsid w:val="00C669CB"/>
    <w:rsid w:val="00E16E55"/>
    <w:rsid w:val="00E55FEB"/>
    <w:rsid w:val="00E92302"/>
    <w:rsid w:val="00EE39D2"/>
    <w:rsid w:val="00F932AC"/>
    <w:rsid w:val="00FC19F3"/>
    <w:rsid w:val="00FD5B1E"/>
    <w:rsid w:val="096023B9"/>
    <w:rsid w:val="115E515E"/>
    <w:rsid w:val="127A6A98"/>
    <w:rsid w:val="16911B25"/>
    <w:rsid w:val="26707A28"/>
    <w:rsid w:val="290E0008"/>
    <w:rsid w:val="35C919ED"/>
    <w:rsid w:val="3A810E20"/>
    <w:rsid w:val="42D51D5A"/>
    <w:rsid w:val="4460071D"/>
    <w:rsid w:val="4BB078CC"/>
    <w:rsid w:val="4EF43680"/>
    <w:rsid w:val="509F6E64"/>
    <w:rsid w:val="51A070EB"/>
    <w:rsid w:val="65B66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Normal_0"/>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9">
    <w:name w:val="Normal_11"/>
    <w:qFormat/>
    <w:uiPriority w:val="0"/>
    <w:pPr>
      <w:spacing w:before="120" w:after="240"/>
      <w:jc w:val="both"/>
    </w:pPr>
    <w:rPr>
      <w:rFonts w:asciiTheme="minorHAnsi" w:hAnsiTheme="minorHAnsi" w:eastAsiaTheme="minorEastAsia" w:cstheme="minorBidi"/>
      <w:sz w:val="22"/>
      <w:szCs w:val="22"/>
      <w:lang w:val="en-US" w:eastAsia="en-US" w:bidi="ar-SA"/>
    </w:rPr>
  </w:style>
  <w:style w:type="paragraph" w:customStyle="1" w:styleId="10">
    <w:name w:val="Normal_12"/>
    <w:qFormat/>
    <w:uiPriority w:val="0"/>
    <w:pPr>
      <w:spacing w:before="120" w:after="240"/>
      <w:jc w:val="both"/>
    </w:pPr>
    <w:rPr>
      <w:rFonts w:asciiTheme="minorHAnsi" w:hAnsiTheme="minorHAnsi" w:eastAsiaTheme="minorEastAsia" w:cstheme="minorBidi"/>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2</Pages>
  <Words>1281</Words>
  <Characters>1399</Characters>
  <Lines>11</Lines>
  <Paragraphs>3</Paragraphs>
  <TotalTime>36</TotalTime>
  <ScaleCrop>false</ScaleCrop>
  <LinksUpToDate>false</LinksUpToDate>
  <CharactersWithSpaces>1426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2022-03-23T06:30:00Z</dcterms:created>
  <dc:creator>顾小燕</dc:creator>
  <cp:lastModifiedBy>飞飞</cp:lastModifiedBy>
  <dcterms:modified xsi:type="dcterms:W3CDTF">2023-09-13T03:52:23Z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E6F13F57B30F4BA283A484A800DC0522</vt:lpwstr>
  </property>
</Properties>
</file>