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val="0"/>
        <w:spacing w:beforeLines="100" w:afterLines="100" w:line="560" w:lineRule="exact"/>
        <w:jc w:val="center"/>
        <w:rPr>
          <w:rFonts w:hint="default" w:ascii="方正小标宋简体" w:hAnsi="方正小标宋简体" w:eastAsia="方正小标宋简体" w:cs="方正小标宋简体"/>
          <w:color w:val="000000"/>
          <w:sz w:val="44"/>
          <w:lang w:val="en-US" w:eastAsia="zh-CN"/>
        </w:rPr>
      </w:pPr>
      <w:r>
        <w:rPr>
          <w:rFonts w:hint="eastAsia" w:ascii="方正小标宋简体" w:hAnsi="方正小标宋简体" w:eastAsia="方正小标宋简体" w:cs="方正小标宋简体"/>
          <w:color w:val="000000"/>
          <w:sz w:val="44"/>
          <w:lang w:eastAsia="zh-CN"/>
        </w:rPr>
        <w:t>2022年食品安全检测</w:t>
      </w:r>
      <w:r>
        <w:rPr>
          <w:rFonts w:hint="eastAsia" w:ascii="方正小标宋简体" w:hAnsi="方正小标宋简体" w:eastAsia="方正小标宋简体" w:cs="方正小标宋简体"/>
          <w:color w:val="000000"/>
          <w:sz w:val="44"/>
          <w:lang w:val="en-US" w:eastAsia="zh-CN"/>
        </w:rPr>
        <w:t>工作经费</w:t>
      </w:r>
    </w:p>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项目支出绩效评价报告</w:t>
      </w:r>
    </w:p>
    <w:p>
      <w:pPr>
        <w:spacing w:line="400" w:lineRule="exact"/>
        <w:ind w:firstLine="627" w:firstLineChars="200"/>
        <w:rPr>
          <w:rFonts w:ascii="仿宋_GB2312" w:hAnsi="仿宋_GB2312" w:eastAsia="仿宋_GB2312"/>
          <w:bCs/>
          <w:color w:val="000000"/>
          <w:spacing w:val="-4"/>
          <w:sz w:val="32"/>
          <w:szCs w:val="32"/>
        </w:rPr>
      </w:pP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一、项目情况</w:t>
      </w:r>
    </w:p>
    <w:p>
      <w:pPr>
        <w:spacing w:line="400" w:lineRule="exact"/>
        <w:ind w:firstLine="627" w:firstLineChars="200"/>
        <w:rPr>
          <w:rFonts w:ascii="仿宋_GB2312" w:hAnsi="仿宋_GB2312" w:eastAsia="仿宋_GB2312"/>
          <w:b w:val="0"/>
          <w:color w:val="000000"/>
          <w:spacing w:val="-4"/>
          <w:sz w:val="32"/>
          <w:szCs w:val="32"/>
        </w:rPr>
      </w:pPr>
      <w:r>
        <w:rPr>
          <w:rFonts w:hint="eastAsia" w:ascii="仿宋_GB2312" w:hAnsi="仿宋_GB2312" w:eastAsia="仿宋_GB2312"/>
          <w:bCs/>
          <w:color w:val="000000"/>
          <w:spacing w:val="-4"/>
          <w:sz w:val="32"/>
          <w:szCs w:val="32"/>
        </w:rPr>
        <w:t>（一）项目概况</w:t>
      </w:r>
      <w:r>
        <w:rPr>
          <w:rFonts w:hint="eastAsia" w:ascii="仿宋_GB2312" w:hAnsi="仿宋_GB2312" w:eastAsia="仿宋_GB2312"/>
          <w:b w:val="0"/>
          <w:color w:val="000000"/>
          <w:spacing w:val="-4"/>
          <w:sz w:val="32"/>
          <w:szCs w:val="32"/>
        </w:rPr>
        <w:t>。</w:t>
      </w:r>
    </w:p>
    <w:p>
      <w:pPr>
        <w:ind w:firstLine="645"/>
        <w:rPr>
          <w:rFonts w:ascii="仿宋" w:hAnsi="仿宋"/>
          <w:sz w:val="32"/>
          <w:szCs w:val="32"/>
        </w:rPr>
      </w:pPr>
      <w:r>
        <w:rPr>
          <w:rFonts w:hint="eastAsia" w:ascii="仿宋_GB2312" w:hAnsi="仿宋_GB2312" w:eastAsia="仿宋_GB2312"/>
          <w:b w:val="0"/>
          <w:color w:val="000000"/>
          <w:spacing w:val="-4"/>
          <w:sz w:val="32"/>
          <w:szCs w:val="32"/>
        </w:rPr>
        <w:t>1、项目背景：根据市场监管相关法律法规的要求，端正执法理念，提升执法办案人员业务素质，教育引导全社会增强法治观念、养成守法习惯、善于依法维权，消除执法纠纷，化解执法矛盾，促进依法行政，有效维护公平公正的市场秩序。</w:t>
      </w:r>
    </w:p>
    <w:p>
      <w:pPr>
        <w:ind w:firstLine="645"/>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2、主要内容：通过开展多种形式的专项整治，有效打击和惩治违反市场监管相关法律法规的各类违法行为，广泛开展法制宣传，保护经营者、消费者的合法权益，净化社会环境，助力地方经济持续健康发展。</w:t>
      </w:r>
    </w:p>
    <w:p>
      <w:pPr>
        <w:ind w:firstLine="624" w:firstLineChars="200"/>
        <w:rPr>
          <w:rFonts w:ascii="仿宋" w:hAnsi="仿宋"/>
          <w:b w:val="0"/>
          <w:sz w:val="30"/>
          <w:szCs w:val="30"/>
        </w:rPr>
      </w:pPr>
      <w:r>
        <w:rPr>
          <w:rFonts w:hint="eastAsia" w:ascii="仿宋_GB2312" w:hAnsi="仿宋_GB2312" w:eastAsia="仿宋_GB2312"/>
          <w:b w:val="0"/>
          <w:color w:val="000000"/>
          <w:spacing w:val="-4"/>
          <w:sz w:val="32"/>
          <w:szCs w:val="32"/>
        </w:rPr>
        <w:t>3、实施方式：严格落实“谁执法谁普法”责任制，广泛开展法制宣传；依法做好行政处罚案件强制执行、案件移送、行政复议、行政诉讼和行政赔偿工作。</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4、资金投入：该项目资金投入300万元，主要用于综合执法办公费、印刷费、租车费、宣传费等项目以及弥补公用定额经费不足。2022年度已下达280万元，年度预算执行率93.3%。</w:t>
      </w:r>
    </w:p>
    <w:p>
      <w:pPr>
        <w:spacing w:line="400" w:lineRule="exact"/>
        <w:ind w:firstLine="627" w:firstLineChars="200"/>
        <w:rPr>
          <w:rFonts w:ascii="仿宋_GB2312" w:hAnsi="仿宋_GB2312" w:eastAsia="仿宋_GB2312"/>
          <w:b w:val="0"/>
          <w:color w:val="000000"/>
          <w:spacing w:val="-4"/>
          <w:sz w:val="32"/>
          <w:szCs w:val="32"/>
        </w:rPr>
      </w:pPr>
      <w:r>
        <w:rPr>
          <w:rFonts w:hint="eastAsia" w:ascii="仿宋_GB2312" w:hAnsi="仿宋_GB2312" w:eastAsia="仿宋_GB2312"/>
          <w:bCs/>
          <w:color w:val="000000"/>
          <w:spacing w:val="-4"/>
          <w:sz w:val="32"/>
          <w:szCs w:val="32"/>
        </w:rPr>
        <w:t>（二）绩效目标。</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总体目标：加强执法办案队伍建设，提升执法办案水平，查处各类违法行为，规范行政执法行为。</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阶段性目标：行政复议、行政诉讼无撤销无败诉；完成罚没预算目标1500万；办理一般程序案件700件。</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二、评价情况</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（一）项目特点分析。</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全面评价 2022年食品安全</w:t>
      </w:r>
      <w:r>
        <w:rPr>
          <w:rFonts w:hint="eastAsia" w:ascii="仿宋_GB2312" w:hAnsi="仿宋_GB2312" w:eastAsia="仿宋_GB2312"/>
          <w:b w:val="0"/>
          <w:color w:val="000000"/>
          <w:spacing w:val="-4"/>
          <w:sz w:val="32"/>
          <w:szCs w:val="32"/>
          <w:lang w:val="en-US" w:eastAsia="zh-CN"/>
        </w:rPr>
        <w:t>检测工作经费</w:t>
      </w:r>
      <w:r>
        <w:rPr>
          <w:rFonts w:hint="eastAsia" w:ascii="仿宋_GB2312" w:hAnsi="仿宋_GB2312" w:eastAsia="仿宋_GB2312"/>
          <w:b w:val="0"/>
          <w:color w:val="000000"/>
          <w:spacing w:val="-4"/>
          <w:sz w:val="32"/>
          <w:szCs w:val="32"/>
        </w:rPr>
        <w:t xml:space="preserve">专项资金基本情况、主要实施内容，评价专项资金在资金分配、管理及使用效益等方面存在的问题和薄弱环节，通过设计有针对性的绩效评价指标体系，评价项目实施取得的成效。同时总结经验，查找问题，分析原因，提出有针对性的意见和建议。 </w:t>
      </w:r>
    </w:p>
    <w:p>
      <w:pPr>
        <w:spacing w:line="400" w:lineRule="exact"/>
        <w:ind w:firstLine="627" w:firstLineChars="200"/>
        <w:rPr>
          <w:rFonts w:ascii="仿宋_GB2312" w:hAnsi="仿宋_GB2312" w:eastAsia="仿宋_GB2312"/>
          <w:b w:val="0"/>
          <w:color w:val="000000"/>
          <w:spacing w:val="-4"/>
          <w:sz w:val="32"/>
          <w:szCs w:val="32"/>
        </w:rPr>
      </w:pPr>
      <w:r>
        <w:rPr>
          <w:rFonts w:hint="eastAsia" w:ascii="仿宋_GB2312" w:hAnsi="仿宋_GB2312" w:eastAsia="仿宋_GB2312"/>
          <w:bCs/>
          <w:color w:val="000000"/>
          <w:spacing w:val="-4"/>
          <w:sz w:val="32"/>
          <w:szCs w:val="32"/>
        </w:rPr>
        <w:t>（二）评价思路方法。</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本次评价项目主要围绕项目决策、过程管理、产出效果和社会效益等方面开展，综合评价资金使用绩效。主要采取比较法，通过对绩效目标和实施效果比较，指标制定上定量与定性相结合，优先定量，综合分析绩效目标实现程度。</w:t>
      </w:r>
    </w:p>
    <w:p>
      <w:pPr>
        <w:numPr>
          <w:ilvl w:val="0"/>
          <w:numId w:val="1"/>
        </w:num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评价工作情况。</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 xml:space="preserve">局评价工作组按照《江苏省省级项目支出绩效评价管理办法》及如皋财政局相关规定，对项目开展绩效评价。评价工作包括前期准备、组织实施和分析评价三个阶段，具体如下： </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 xml:space="preserve">1.前期准备阶段：成立绩效评价工作组，了解项目背景、政策依据、投入、管理、产出、效果等情况，形成评价总体思路，制订评价工作方案，结合《江苏省省级项目支出绩效评价管理办法》的要求，有针对性的设计基础数据表。 </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 xml:space="preserve">2.组织实施阶段：通过日常监管数据统计分析、抽查督查、档案评查等方式，组织开展基础数据填报，在数据分析基础上，开展数据核查。 </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3.分析评价阶段：整理汇总基础数据及相关资料，综合应用因素分析法、比较分析法，依据评价标准进行综合评分，并完成评价报告。</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（四）绩效评价结论。</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从资产管理、配置、效果等方面，对食品安全检验检测（执法办案）工作进行绩效评价，综合评价得分98分，评价结论“优秀”，执法满意度≥85%。</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三、项目绩效。</w:t>
      </w:r>
    </w:p>
    <w:p>
      <w:pPr>
        <w:spacing w:line="400" w:lineRule="exact"/>
        <w:ind w:firstLine="643" w:firstLineChars="200"/>
        <w:rPr>
          <w:rFonts w:ascii="仿宋" w:hAnsi="仿宋" w:cs="仿宋"/>
          <w:sz w:val="32"/>
          <w:szCs w:val="32"/>
        </w:rPr>
      </w:pPr>
      <w:r>
        <w:rPr>
          <w:rFonts w:hint="eastAsia" w:ascii="仿宋" w:hAnsi="仿宋" w:cs="仿宋"/>
          <w:sz w:val="32"/>
          <w:szCs w:val="32"/>
        </w:rPr>
        <w:t>（一）项目过程情况</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1、资金到位率。2022年度食品安全</w:t>
      </w:r>
      <w:r>
        <w:rPr>
          <w:rFonts w:hint="eastAsia" w:ascii="仿宋_GB2312" w:hAnsi="仿宋_GB2312" w:eastAsia="仿宋_GB2312"/>
          <w:b w:val="0"/>
          <w:color w:val="000000"/>
          <w:spacing w:val="-4"/>
          <w:sz w:val="32"/>
          <w:szCs w:val="32"/>
          <w:lang w:val="en-US" w:eastAsia="zh-CN"/>
        </w:rPr>
        <w:t>检测工作</w:t>
      </w:r>
      <w:r>
        <w:rPr>
          <w:rFonts w:hint="eastAsia" w:ascii="仿宋_GB2312" w:hAnsi="仿宋_GB2312" w:eastAsia="仿宋_GB2312"/>
          <w:b w:val="0"/>
          <w:color w:val="000000"/>
          <w:spacing w:val="-4"/>
          <w:sz w:val="32"/>
          <w:szCs w:val="32"/>
        </w:rPr>
        <w:t>经费预算300万元，实际到位280万元，资金到位率93.3%。</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2、预算执行率。2022年度食品安全</w:t>
      </w:r>
      <w:r>
        <w:rPr>
          <w:rFonts w:hint="eastAsia" w:ascii="仿宋_GB2312" w:hAnsi="仿宋_GB2312" w:eastAsia="仿宋_GB2312"/>
          <w:b w:val="0"/>
          <w:color w:val="000000"/>
          <w:spacing w:val="-4"/>
          <w:sz w:val="32"/>
          <w:szCs w:val="32"/>
          <w:lang w:val="en-US" w:eastAsia="zh-CN"/>
        </w:rPr>
        <w:t>检测工作</w:t>
      </w:r>
      <w:r>
        <w:rPr>
          <w:rFonts w:hint="eastAsia" w:ascii="仿宋_GB2312" w:hAnsi="仿宋_GB2312" w:eastAsia="仿宋_GB2312"/>
          <w:b w:val="0"/>
          <w:color w:val="000000"/>
          <w:spacing w:val="-4"/>
          <w:sz w:val="32"/>
          <w:szCs w:val="32"/>
        </w:rPr>
        <w:t>经费预算300万元，实际使用280万元，预算执行率为93.3%。</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3、资金使用合规性。该项资金在使用过程中符合国家财经法规和财务管理制度以及有关专项资金管理办法的规定，资金的拨付有完整的审批程序和手续，符合项目预算批复或合同规定的用途，不存在截留、挤占、挪用、虚列支出等情况。</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4、管理制度健全性。该项目已建立基本的业务管理制度，业务管理制度合法、合规。执行中按照局财务管理制度要求，财务管理制度合法、合规、完整。</w:t>
      </w:r>
    </w:p>
    <w:p>
      <w:pPr>
        <w:spacing w:line="400" w:lineRule="exact"/>
        <w:ind w:firstLine="624" w:firstLineChars="200"/>
        <w:rPr>
          <w:rFonts w:ascii="仿宋" w:hAnsi="仿宋" w:cs="仿宋"/>
          <w:sz w:val="32"/>
          <w:szCs w:val="32"/>
        </w:rPr>
      </w:pPr>
      <w:r>
        <w:rPr>
          <w:rFonts w:hint="eastAsia" w:ascii="仿宋_GB2312" w:hAnsi="仿宋_GB2312" w:eastAsia="仿宋_GB2312"/>
          <w:b w:val="0"/>
          <w:color w:val="000000"/>
          <w:spacing w:val="-4"/>
          <w:sz w:val="32"/>
          <w:szCs w:val="32"/>
        </w:rPr>
        <w:t>5、制度执行有效性。该项目遵守相关法律法规和相关管理规定，项目调整及支出调整手续完备，执法办案日常办案检查、案卷立案等资料齐全、归档到位，组织调度、协同推进等相关机制落实到位。</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（二）项目产出情况</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1、数量指标。⑴办理一般程序案件数861件；⑵案件办结率100%；</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2、质量指标。错案率、复议撤销率、诉讼败诉率0%。</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3、时效指标。案件办理时限超期率0%。</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（三）项目效益情况</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1、经济效益指标。罚没入库决算数1494.30万元。</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2、社会效益指标。执法办案人员培训率100%；。</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3、可持续发展指标。执法监管水平提升度。</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（四）项目满意度情况。</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执法满意度达85%。</w:t>
      </w:r>
    </w:p>
    <w:p>
      <w:pPr>
        <w:numPr>
          <w:ilvl w:val="0"/>
          <w:numId w:val="2"/>
        </w:num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存在问题。</w:t>
      </w:r>
    </w:p>
    <w:p>
      <w:pPr>
        <w:spacing w:line="400" w:lineRule="exact"/>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 xml:space="preserve">      无。</w:t>
      </w:r>
    </w:p>
    <w:p>
      <w:pPr>
        <w:numPr>
          <w:ilvl w:val="0"/>
          <w:numId w:val="2"/>
        </w:num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有关建议。</w:t>
      </w:r>
    </w:p>
    <w:p>
      <w:pPr>
        <w:spacing w:line="400" w:lineRule="exact"/>
        <w:ind w:left="560" w:leftChars="200" w:firstLine="312" w:firstLineChars="1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无。</w:t>
      </w:r>
    </w:p>
    <w:p>
      <w:pPr>
        <w:spacing w:line="400" w:lineRule="exact"/>
        <w:ind w:firstLine="627" w:firstLineChars="200"/>
        <w:rPr>
          <w:rFonts w:ascii="仿宋_GB2312" w:hAnsi="仿宋_GB2312" w:eastAsia="仿宋_GB2312"/>
          <w:bCs/>
          <w:color w:val="000000"/>
          <w:spacing w:val="-4"/>
          <w:sz w:val="32"/>
          <w:szCs w:val="32"/>
        </w:rPr>
      </w:pPr>
      <w:r>
        <w:rPr>
          <w:rFonts w:hint="eastAsia" w:ascii="仿宋_GB2312" w:hAnsi="仿宋_GB2312" w:eastAsia="仿宋_GB2312"/>
          <w:bCs/>
          <w:color w:val="000000"/>
          <w:spacing w:val="-4"/>
          <w:sz w:val="32"/>
          <w:szCs w:val="32"/>
        </w:rPr>
        <w:t>六、相关信息。</w:t>
      </w:r>
    </w:p>
    <w:p>
      <w:pPr>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绩效评价评分表以评价报告附件的形式反映。</w:t>
      </w:r>
    </w:p>
    <w:p>
      <w:pPr>
        <w:pStyle w:val="4"/>
        <w:spacing w:beforeAutospacing="0" w:afterAutospacing="0" w:line="560" w:lineRule="exact"/>
        <w:ind w:firstLine="640" w:firstLineChars="200"/>
        <w:rPr>
          <w:rFonts w:ascii="仿宋_GB2312" w:hAnsi="仿宋_GB2312" w:eastAsia="仿宋_GB2312" w:cs="仿宋_GB2312"/>
          <w:b w:val="0"/>
          <w:bCs/>
          <w:color w:val="333333"/>
          <w:sz w:val="32"/>
          <w:szCs w:val="32"/>
          <w:shd w:val="clear" w:color="auto" w:fill="FFFFFF"/>
        </w:rPr>
      </w:pPr>
    </w:p>
    <w:p/>
    <w:p/>
    <w:p/>
    <w:p/>
    <w:p/>
    <w:p/>
    <w:p/>
    <w:p/>
    <w:p/>
    <w:p/>
    <w:p/>
    <w:p/>
    <w:p/>
    <w:p/>
    <w:p/>
    <w:p/>
    <w:p/>
    <w:p/>
    <w:p/>
    <w:p/>
    <w:p/>
    <w:p/>
    <w:p/>
    <w:p/>
    <w:p>
      <w:pPr>
        <w:pStyle w:val="9"/>
        <w:widowControl w:val="0"/>
        <w:spacing w:before="0" w:after="0" w:line="560" w:lineRule="exact"/>
        <w:jc w:val="left"/>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附件：</w:t>
      </w:r>
    </w:p>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9"/>
        <w:widowControl w:val="0"/>
        <w:spacing w:beforeLines="100" w:afterLines="100" w:line="560" w:lineRule="exact"/>
        <w:jc w:val="center"/>
        <w:rPr>
          <w:rFonts w:hint="default" w:ascii="宋体" w:hAnsi="宋体" w:eastAsia="宋体" w:cs="宋体"/>
          <w:sz w:val="24"/>
          <w:szCs w:val="24"/>
          <w:lang w:val="en-US"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宋体" w:hAnsi="宋体" w:eastAsia="宋体" w:cs="宋体"/>
          <w:color w:val="000000"/>
          <w:sz w:val="20"/>
          <w:szCs w:val="20"/>
          <w:lang w:eastAsia="zh-CN"/>
        </w:rPr>
        <w:t xml:space="preserve">如皋市市场监督管理局 </w:t>
      </w:r>
      <w:r>
        <w:rPr>
          <w:rFonts w:hint="eastAsia" w:ascii="宋体" w:hAnsi="宋体" w:eastAsia="宋体" w:cs="宋体"/>
          <w:color w:val="000000"/>
          <w:sz w:val="20"/>
          <w:szCs w:val="20"/>
          <w:lang w:val="en-US" w:eastAsia="zh-CN"/>
        </w:rPr>
        <w:t xml:space="preserve">     </w:t>
      </w:r>
      <w:bookmarkStart w:id="0" w:name="_GoBack"/>
      <w:bookmarkEnd w:id="0"/>
      <w:r>
        <w:rPr>
          <w:rFonts w:hint="eastAsia" w:ascii="宋体" w:hAnsi="宋体" w:eastAsia="宋体" w:cs="宋体"/>
          <w:color w:val="000000"/>
          <w:sz w:val="20"/>
          <w:szCs w:val="20"/>
          <w:lang w:eastAsia="zh-CN"/>
        </w:rPr>
        <w:t xml:space="preserve"> </w:t>
      </w: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color w:val="000000"/>
          <w:sz w:val="20"/>
          <w:szCs w:val="20"/>
          <w:u w:val="single"/>
          <w:lang w:eastAsia="zh-CN"/>
        </w:rPr>
        <w:t>食品安全检测</w:t>
      </w:r>
      <w:r>
        <w:rPr>
          <w:rFonts w:hint="eastAsia" w:ascii="宋体" w:hAnsi="宋体" w:eastAsia="宋体" w:cs="宋体"/>
          <w:color w:val="000000"/>
          <w:sz w:val="20"/>
          <w:szCs w:val="20"/>
          <w:u w:val="single"/>
          <w:lang w:val="en-US" w:eastAsia="zh-CN"/>
        </w:rPr>
        <w:t>工作经费</w:t>
      </w:r>
    </w:p>
    <w:tbl>
      <w:tblPr>
        <w:tblStyle w:val="5"/>
        <w:tblW w:w="4994" w:type="pct"/>
        <w:jc w:val="center"/>
        <w:tblLayout w:type="autofit"/>
        <w:tblCellMar>
          <w:top w:w="0" w:type="dxa"/>
          <w:left w:w="108" w:type="dxa"/>
          <w:bottom w:w="0" w:type="dxa"/>
          <w:right w:w="108" w:type="dxa"/>
        </w:tblCellMar>
      </w:tblPr>
      <w:tblGrid>
        <w:gridCol w:w="659"/>
        <w:gridCol w:w="1220"/>
        <w:gridCol w:w="1707"/>
        <w:gridCol w:w="1363"/>
        <w:gridCol w:w="1359"/>
        <w:gridCol w:w="778"/>
        <w:gridCol w:w="843"/>
        <w:gridCol w:w="1625"/>
      </w:tblGrid>
      <w:tr>
        <w:tblPrEx>
          <w:tblCellMar>
            <w:top w:w="0" w:type="dxa"/>
            <w:left w:w="108" w:type="dxa"/>
            <w:bottom w:w="0" w:type="dxa"/>
            <w:right w:w="108" w:type="dxa"/>
          </w:tblCellMar>
        </w:tblPrEx>
        <w:trPr>
          <w:trHeight w:val="454" w:hRule="atLeast"/>
          <w:jc w:val="center"/>
        </w:trPr>
        <w:tc>
          <w:tcPr>
            <w:tcW w:w="187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713" w:type="pct"/>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711" w:type="pct"/>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407" w:type="pct"/>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441" w:type="pct"/>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850" w:type="pct"/>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454" w:hRule="atLeast"/>
          <w:jc w:val="center"/>
        </w:trPr>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713" w:type="pct"/>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711" w:type="pct"/>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407" w:type="pct"/>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441" w:type="pct"/>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850" w:type="pct"/>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立项依据充分性</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绩效目标合理性</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资金到位率</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93.3%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资金完成率</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93.3%</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组织机构、项目执行、支撑条件；</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组织机构健全、分工明确；制定具体的项目实施计划，并有效执行；具备必要的人员、设备、场地、信息等项目支撑保障条件。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组织机构健全、分工明确；制定具体的项目实施计划，并有效执行；具备必要的人员、设备、场地、信息等项目支撑保障条件。</w:t>
            </w:r>
          </w:p>
        </w:tc>
        <w:tc>
          <w:tcPr>
            <w:tcW w:w="40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638" w:type="pct"/>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办理一般程序案件数</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700件</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861件</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案件办结率</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错案率、复议撤销率、诉讼败诉率</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0%</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案件办理时限超期率</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0%</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经济效益指标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罚没入库预算数</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1500万元</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1494.30万元</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执法办案人员培训率</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638" w:type="pc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可持续发展指标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执法监管水平提升度</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提升</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提升</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执法满意度</w:t>
            </w: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≥80%</w:t>
            </w: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85%</w:t>
            </w: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5</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34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6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p>
        </w:tc>
        <w:tc>
          <w:tcPr>
            <w:tcW w:w="7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7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4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100</w:t>
            </w:r>
          </w:p>
        </w:tc>
        <w:tc>
          <w:tcPr>
            <w:tcW w:w="4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98</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bl>
    <w:p>
      <w:pPr>
        <w:pStyle w:val="9"/>
        <w:widowControl w:val="0"/>
        <w:spacing w:before="0" w:after="0" w:line="560" w:lineRule="exact"/>
        <w:jc w:val="left"/>
        <w:rPr>
          <w:rFonts w:ascii="仿宋_GB2312" w:hAnsi="仿宋_GB2312" w:eastAsia="仿宋_GB2312" w:cs="仿宋_GB2312"/>
          <w:color w:val="000000"/>
          <w:sz w:val="32"/>
          <w:szCs w:val="32"/>
          <w:lang w:eastAsia="zh-CN"/>
        </w:rPr>
      </w:pPr>
    </w:p>
    <w:p/>
    <w:sectPr>
      <w:pgSz w:w="11900" w:h="16820"/>
      <w:pgMar w:top="1134" w:right="1134" w:bottom="1134" w:left="1417" w:header="720" w:footer="720" w:gutter="0"/>
      <w:pgNumType w:fmt="numberInDash" w:start="1"/>
      <w:cols w:space="0" w:num="1"/>
      <w:docGrid w:type="lines"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3BCF5"/>
    <w:multiLevelType w:val="singleLevel"/>
    <w:tmpl w:val="4053BCF5"/>
    <w:lvl w:ilvl="0" w:tentative="0">
      <w:start w:val="4"/>
      <w:numFmt w:val="chineseCounting"/>
      <w:suff w:val="nothing"/>
      <w:lvlText w:val="%1、"/>
      <w:lvlJc w:val="left"/>
      <w:rPr>
        <w:rFonts w:hint="eastAsia"/>
      </w:rPr>
    </w:lvl>
  </w:abstractNum>
  <w:abstractNum w:abstractNumId="1">
    <w:nsid w:val="573706A6"/>
    <w:multiLevelType w:val="singleLevel"/>
    <w:tmpl w:val="573706A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Q5YTdkNDkzODdhNjIwMDY1OWEyNWFjNTViZGZhZjcifQ=="/>
  </w:docVars>
  <w:rsids>
    <w:rsidRoot w:val="009F5B45"/>
    <w:rsid w:val="000A56DB"/>
    <w:rsid w:val="001C1641"/>
    <w:rsid w:val="0038488C"/>
    <w:rsid w:val="003E4C0F"/>
    <w:rsid w:val="0047063C"/>
    <w:rsid w:val="00480316"/>
    <w:rsid w:val="004C6AE0"/>
    <w:rsid w:val="00703994"/>
    <w:rsid w:val="00782B00"/>
    <w:rsid w:val="008112F0"/>
    <w:rsid w:val="009448FA"/>
    <w:rsid w:val="009F5B45"/>
    <w:rsid w:val="00A94106"/>
    <w:rsid w:val="00C92F88"/>
    <w:rsid w:val="00CF231A"/>
    <w:rsid w:val="00E02273"/>
    <w:rsid w:val="00E634E8"/>
    <w:rsid w:val="09EA6EE4"/>
    <w:rsid w:val="0A9A3853"/>
    <w:rsid w:val="0EF13608"/>
    <w:rsid w:val="10C737FD"/>
    <w:rsid w:val="14DE3B0C"/>
    <w:rsid w:val="2423407C"/>
    <w:rsid w:val="24DC1146"/>
    <w:rsid w:val="298760C9"/>
    <w:rsid w:val="2C570BEE"/>
    <w:rsid w:val="315639F5"/>
    <w:rsid w:val="33F873D8"/>
    <w:rsid w:val="3CAE0AAB"/>
    <w:rsid w:val="3D9168F3"/>
    <w:rsid w:val="46484E4E"/>
    <w:rsid w:val="48FA3D14"/>
    <w:rsid w:val="4D6F70BA"/>
    <w:rsid w:val="50303F60"/>
    <w:rsid w:val="5C0F06CF"/>
    <w:rsid w:val="5D2D5EC6"/>
    <w:rsid w:val="6A8C1AAA"/>
    <w:rsid w:val="6A9F7280"/>
    <w:rsid w:val="6DC31C64"/>
    <w:rsid w:val="6E192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sz w:val="28"/>
      <w:szCs w:val="28"/>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widowControl w:val="0"/>
      <w:tabs>
        <w:tab w:val="center" w:pos="4153"/>
        <w:tab w:val="right" w:pos="8306"/>
      </w:tabs>
      <w:snapToGrid w:val="0"/>
      <w:jc w:val="left"/>
    </w:pPr>
    <w:rPr>
      <w:rFonts w:eastAsiaTheme="minorEastAsia" w:cstheme="minorBidi"/>
      <w:b w:val="0"/>
      <w:kern w:val="2"/>
      <w:sz w:val="18"/>
      <w:szCs w:val="18"/>
    </w:rPr>
  </w:style>
  <w:style w:type="paragraph" w:styleId="3">
    <w:name w:val="header"/>
    <w:basedOn w:val="1"/>
    <w:link w:val="7"/>
    <w:semiHidden/>
    <w:unhideWhenUsed/>
    <w:uiPriority w:val="99"/>
    <w:pPr>
      <w:widowControl w:val="0"/>
      <w:pBdr>
        <w:bottom w:val="single" w:color="auto" w:sz="6" w:space="1"/>
      </w:pBdr>
      <w:tabs>
        <w:tab w:val="center" w:pos="4153"/>
        <w:tab w:val="right" w:pos="8306"/>
      </w:tabs>
      <w:snapToGrid w:val="0"/>
      <w:jc w:val="center"/>
    </w:pPr>
    <w:rPr>
      <w:rFonts w:eastAsiaTheme="minorEastAsia" w:cstheme="minorBidi"/>
      <w:b w:val="0"/>
      <w:kern w:val="2"/>
      <w:sz w:val="18"/>
      <w:szCs w:val="18"/>
    </w:rPr>
  </w:style>
  <w:style w:type="paragraph" w:styleId="4">
    <w:name w:val="Normal (Web)"/>
    <w:basedOn w:val="1"/>
    <w:qFormat/>
    <w:uiPriority w:val="0"/>
    <w:pPr>
      <w:spacing w:beforeAutospacing="1" w:afterAutospacing="1"/>
      <w:jc w:val="left"/>
    </w:pPr>
    <w:rPr>
      <w:rFonts w:cs="Times New Roman"/>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customStyle="1" w:styleId="9">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8"/>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1">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7BF33-CDFF-465B-BA2D-40D0B88A4948}">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4</Pages>
  <Words>2146</Words>
  <Characters>2281</Characters>
  <Lines>17</Lines>
  <Paragraphs>5</Paragraphs>
  <TotalTime>0</TotalTime>
  <ScaleCrop>false</ScaleCrop>
  <LinksUpToDate>false</LinksUpToDate>
  <CharactersWithSpaces>2296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2022-03-24T07:39:00Z</dcterms:created>
  <dc:creator>顾小燕</dc:creator>
  <cp:lastModifiedBy>飞飞</cp:lastModifiedBy>
  <dcterms:modified xsi:type="dcterms:W3CDTF">2023-09-13T03:41:32Z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812517876020420F98E425273F2D4B3A</vt:lpwstr>
  </property>
</Properties>
</file>