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2022年项目支出绩效自评价情况表</w:t>
      </w:r>
    </w:p>
    <w:p>
      <w:pPr>
        <w:pStyle w:val="9"/>
        <w:widowControl w:val="0"/>
        <w:spacing w:before="0" w:after="0" w:line="500" w:lineRule="exact"/>
        <w:jc w:val="left"/>
        <w:rPr>
          <w:rFonts w:ascii="APQONC+å®ä½" w:hAnsi="APQONC+å®ä½" w:cs="APQONC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填报单位：</w:t>
      </w:r>
      <w:r>
        <w:rPr>
          <w:rFonts w:hint="eastAsia" w:ascii="APQONC+å®ä½" w:hAnsi="APQONC+å®ä½" w:cs="APQONC+å®ä½"/>
          <w:color w:val="000000"/>
          <w:sz w:val="18"/>
          <w:u w:val="single"/>
          <w:lang w:eastAsia="zh-CN"/>
        </w:rPr>
        <w:t xml:space="preserve"> 如皋市市场监督管理局   </w:t>
      </w:r>
    </w:p>
    <w:p>
      <w:pPr>
        <w:pStyle w:val="9"/>
        <w:widowControl w:val="0"/>
        <w:spacing w:before="0" w:after="0" w:line="500" w:lineRule="exact"/>
        <w:jc w:val="left"/>
        <w:rPr>
          <w:rFonts w:ascii="宋体" w:hAnsi="宋体" w:eastAsia="宋体" w:cs="宋体"/>
          <w:color w:val="000000"/>
          <w:sz w:val="18"/>
          <w:u w:val="single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项目名称：</w:t>
      </w:r>
      <w:r>
        <w:rPr>
          <w:rFonts w:hint="eastAsia"/>
          <w:sz w:val="18"/>
          <w:szCs w:val="18"/>
          <w:u w:val="single"/>
          <w:lang w:eastAsia="zh-CN"/>
        </w:rPr>
        <w:t>2020年江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苏省</w:t>
      </w:r>
      <w:r>
        <w:rPr>
          <w:rFonts w:hint="eastAsia"/>
          <w:sz w:val="18"/>
          <w:szCs w:val="18"/>
          <w:u w:val="single"/>
          <w:lang w:eastAsia="zh-CN"/>
        </w:rPr>
        <w:t>市场监管及技术能力建设专项资金</w:t>
      </w:r>
    </w:p>
    <w:p>
      <w:pPr>
        <w:pStyle w:val="9"/>
        <w:widowControl w:val="0"/>
        <w:spacing w:before="0" w:after="0" w:line="500" w:lineRule="exact"/>
        <w:jc w:val="left"/>
        <w:rPr>
          <w:rFonts w:ascii="SJSDLU+å®ä½"/>
          <w:color w:val="000000"/>
          <w:sz w:val="18"/>
          <w:lang w:eastAsia="zh-CN"/>
        </w:rPr>
      </w:pPr>
      <w:r>
        <w:rPr>
          <w:rFonts w:ascii="APQONC+å®ä½" w:hAnsi="APQONC+å®ä½" w:cs="APQONC+å®ä½"/>
          <w:color w:val="000000"/>
          <w:sz w:val="18"/>
          <w:lang w:eastAsia="zh-CN"/>
        </w:rPr>
        <w:t>项目实施年度：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 xml:space="preserve">2022年 </w:t>
      </w:r>
      <w:r>
        <w:rPr>
          <w:rFonts w:hint="eastAsia" w:ascii="宋体" w:hAnsi="宋体" w:eastAsia="宋体" w:cs="宋体"/>
          <w:color w:val="000000"/>
          <w:spacing w:val="4"/>
          <w:sz w:val="18"/>
          <w:lang w:eastAsia="zh-CN"/>
        </w:rPr>
        <w:t xml:space="preserve"> </w:t>
      </w:r>
      <w:r>
        <w:rPr>
          <w:rFonts w:ascii="APQONC+å®ä½" w:hAnsi="APQONC+å®ä½" w:cs="APQONC+å®ä½"/>
          <w:color w:val="000000"/>
          <w:spacing w:val="-9"/>
          <w:sz w:val="18"/>
          <w:lang w:eastAsia="zh-CN"/>
        </w:rPr>
        <w:t>项目实施开始时间（</w:t>
      </w:r>
      <w:r>
        <w:rPr>
          <w:rFonts w:hint="eastAsia" w:ascii="宋体" w:hAnsi="宋体" w:eastAsia="宋体" w:cs="宋体"/>
          <w:color w:val="000000"/>
          <w:spacing w:val="-9"/>
          <w:sz w:val="18"/>
          <w:lang w:eastAsia="zh-CN"/>
        </w:rPr>
        <w:t>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5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 xml:space="preserve">）：2 0 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 xml:space="preserve">22年1月 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8"/>
          <w:sz w:val="18"/>
          <w:lang w:eastAsia="zh-CN"/>
        </w:rPr>
        <w:t>项目实施完成时间（年</w:t>
      </w:r>
      <w:r>
        <w:rPr>
          <w:rFonts w:hint="eastAsia" w:ascii="宋体" w:hAnsi="宋体" w:eastAsia="宋体" w:cs="宋体"/>
          <w:color w:val="000000"/>
          <w:spacing w:val="1"/>
          <w:sz w:val="18"/>
          <w:lang w:eastAsia="zh-CN"/>
        </w:rPr>
        <w:t>/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月</w:t>
      </w:r>
      <w:r>
        <w:rPr>
          <w:rFonts w:hint="eastAsia" w:ascii="宋体" w:hAnsi="宋体" w:eastAsia="宋体" w:cs="宋体"/>
          <w:color w:val="000000"/>
          <w:spacing w:val="-44"/>
          <w:sz w:val="18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pacing w:val="-46"/>
          <w:sz w:val="18"/>
          <w:lang w:eastAsia="zh-CN"/>
        </w:rPr>
        <w:t>）：</w:t>
      </w:r>
      <w:r>
        <w:rPr>
          <w:rFonts w:hint="eastAsia" w:ascii="宋体" w:hAnsi="宋体" w:eastAsia="宋体" w:cs="宋体"/>
          <w:color w:val="000000"/>
          <w:sz w:val="18"/>
          <w:lang w:eastAsia="zh-CN"/>
        </w:rPr>
        <w:t>2022年12月</w:t>
      </w:r>
    </w:p>
    <w:p>
      <w:pPr>
        <w:pStyle w:val="9"/>
        <w:widowControl w:val="0"/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spacing w:before="0" w:after="0" w:line="560" w:lineRule="exact"/>
        <w:ind w:firstLine="480" w:firstLineChars="200"/>
        <w:jc w:val="center"/>
        <w:rPr>
          <w:rFonts w:ascii="黑体" w:hAnsi="黑体" w:eastAsia="黑体" w:cs="黑体"/>
          <w:color w:val="000000"/>
          <w:sz w:val="24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</w:rPr>
        <w:t>项目自评价情况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一、项目概况（项目政策、资金分配使用、项目实施情况等）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落实“守住底线监管”要求，切实保障食品和特种设备安全，加强行政综合执法，提升人民安全感和幸福感。资金使用合规，有序有效地开展相关工作，项目质量可控。该资金年度总额76万元，已下达76万元，预算执行率100%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二、评价情况（评价思路、方式、做法，以及评价指标体系设置情况和评价结论等）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（一）评价方式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本次绩效评价主要采取比较法，通过对绩效目标与实施效果比较，指标制定上定量与定性相结合，优先定量，综合分析绩效目标实现程度。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（二）评价指标体系设置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本次绩效指标体系设置主要综合考虑项目背景、项目意义、项目范围、项目流程等，遵循相关性原则、重要性原则、可比性原则、系统性原则和经济性原则设定各类指标，通过分析评分的方式全面评价项目决策、过程管理、产出效果和社会效益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（三）评价结论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依据评价指标体系和采集的基础数据信息，在遵循科学规范、公开公正、绩效相关和重点核查的原则上，经综合评价，得出江苏省市场监管及技术能力建设专项资金绩效评价综合得分100分，等级为“优秀”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三、项目绩效（通过绩效评价发现、总结的项目绩效）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2022年以非常决心、非常举措、非常力度牢牢守住了食品安全“零事故”的底线，以守底线、查隐患、保安全的实际行动压实安全责任，织密安全网络，全力防范化解风险隐患，全市食品安全形势持续平稳向好。通过安全生产专项整治，全市特种设备安全形势稳定向好，特种设备安全主体责任有效落实，安全监管责任链条不断拧紧，2022年全市未发生特种设备安全事故，有效保障了人民生命和财产安全。通过优化办案机制，强化执法规范，引导稽查工作向专业化、规范化、信息化、系统化转变，不断提升如皋市监的执法形象、执法地位、执法满意度和执法公信力，为推进新时代如皋高质量发展提供了有力的市场监管执法保障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四、存在问题（通过绩效评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1"/>
          <w:lang w:eastAsia="zh-CN"/>
        </w:rPr>
        <w:t>价所发现的问题，原则上按照决策、过程、产出、效益分别归类分条撰写）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无。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有关建议（针对存在的问题，分别提出相关完善或整改建议）</w:t>
      </w:r>
    </w:p>
    <w:p>
      <w:pPr>
        <w:pStyle w:val="9"/>
        <w:keepNext w:val="0"/>
        <w:keepLines w:val="0"/>
        <w:pageBreakBefore w:val="0"/>
        <w:widowControl w:val="0"/>
        <w:numPr>
          <w:numId w:val="0"/>
        </w:numPr>
        <w:pBdr>
          <w:top w:val="single" w:color="auto" w:sz="4" w:space="0"/>
          <w:left w:val="single" w:color="auto" w:sz="4" w:space="0"/>
          <w:bottom w:val="single" w:color="auto" w:sz="4" w:space="13"/>
          <w:right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2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lang w:eastAsia="zh-CN"/>
        </w:rPr>
        <w:t>无</w:t>
      </w:r>
    </w:p>
    <w:p>
      <w:pPr>
        <w:pStyle w:val="8"/>
        <w:widowControl w:val="0"/>
        <w:spacing w:beforeLines="100" w:afterLines="100"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</w:pPr>
    </w:p>
    <w:p>
      <w:pPr>
        <w:pStyle w:val="8"/>
        <w:widowControl w:val="0"/>
        <w:spacing w:beforeLines="100" w:afterLines="100"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lang w:eastAsia="zh-CN"/>
        </w:rPr>
        <w:t>2022年项目支出绩效自评价评分表</w:t>
      </w:r>
    </w:p>
    <w:p>
      <w:pPr>
        <w:pStyle w:val="10"/>
        <w:widowControl w:val="0"/>
        <w:spacing w:before="0" w:after="0" w:line="360" w:lineRule="exact"/>
        <w:jc w:val="left"/>
        <w:rPr>
          <w:sz w:val="18"/>
          <w:szCs w:val="18"/>
          <w:u w:val="single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填报单位</w:t>
      </w:r>
      <w:r>
        <w:rPr>
          <w:rFonts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APQONC+å®ä½" w:hAnsi="APQONC+å®ä½" w:cs="APQONC+å®ä½"/>
          <w:color w:val="000000"/>
          <w:sz w:val="18"/>
          <w:u w:val="single"/>
          <w:lang w:eastAsia="zh-CN"/>
        </w:rPr>
        <w:t>如皋市市场监督管理局</w:t>
      </w:r>
      <w:r>
        <w:rPr>
          <w:rFonts w:ascii="宋体" w:hAnsi="宋体" w:eastAsia="宋体" w:cs="宋体"/>
          <w:sz w:val="24"/>
          <w:szCs w:val="24"/>
          <w:lang w:eastAsia="zh-CN"/>
        </w:rPr>
        <w:t xml:space="preserve">_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项目名称：</w:t>
      </w:r>
      <w:r>
        <w:rPr>
          <w:rFonts w:hint="eastAsia" w:ascii="宋体" w:hAnsi="宋体" w:eastAsia="宋体" w:cs="宋体"/>
          <w:color w:val="000000"/>
          <w:sz w:val="18"/>
          <w:u w:val="single"/>
          <w:lang w:eastAsia="zh-CN"/>
        </w:rPr>
        <w:t>江苏省</w:t>
      </w:r>
      <w:r>
        <w:rPr>
          <w:rFonts w:hint="eastAsia"/>
          <w:sz w:val="18"/>
          <w:szCs w:val="18"/>
          <w:u w:val="single"/>
          <w:lang w:eastAsia="zh-CN"/>
        </w:rPr>
        <w:t>市场监管及技术能力建设专项资金</w:t>
      </w:r>
    </w:p>
    <w:p>
      <w:pPr>
        <w:pStyle w:val="10"/>
        <w:widowControl w:val="0"/>
        <w:spacing w:before="0" w:after="0" w:line="360" w:lineRule="exact"/>
        <w:jc w:val="left"/>
        <w:rPr>
          <w:rFonts w:ascii="黑体" w:hAnsi="黑体" w:eastAsia="黑体" w:cs="黑体"/>
          <w:color w:val="000000"/>
          <w:sz w:val="28"/>
          <w:szCs w:val="28"/>
          <w:lang w:eastAsia="zh-CN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513"/>
        <w:gridCol w:w="2712"/>
        <w:gridCol w:w="1167"/>
        <w:gridCol w:w="1143"/>
        <w:gridCol w:w="582"/>
        <w:gridCol w:w="582"/>
        <w:gridCol w:w="8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评价指标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年初指标值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权重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评分依据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决策指标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项目立项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绩效目标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绩效指标明确性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明确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资金投入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资金分配合理性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过程指标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资金管理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18"/>
                <w:szCs w:val="18"/>
              </w:rPr>
              <w:t>资金使用合规性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合规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电梯应急服务工作人员数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食品检测批次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9.1批次/千人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9.4批次/千人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18"/>
                <w:szCs w:val="18"/>
              </w:rPr>
              <w:t>食品检测不合格率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较低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较低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效益指标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反不正当竞争和反垄断工作力度不断加大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持续增强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持续增强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可持续发展指标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18"/>
                <w:szCs w:val="18"/>
              </w:rPr>
              <w:t>食品、特设等安全环境健康发展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持续健康发展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持续健康发展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满意度指标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18"/>
                <w:szCs w:val="18"/>
              </w:rPr>
              <w:t>服务对象满意率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总计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spacing w:line="260" w:lineRule="exact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</w:tbl>
    <w:p/>
    <w:sectPr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PQONC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JSDLU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Q5YTdkNDkzODdhNjIwMDY1OWEyNWFjNTViZGZhZjcifQ=="/>
  </w:docVars>
  <w:rsids>
    <w:rsidRoot w:val="00E16E55"/>
    <w:rsid w:val="000108BF"/>
    <w:rsid w:val="000577FD"/>
    <w:rsid w:val="002C31D4"/>
    <w:rsid w:val="0033192E"/>
    <w:rsid w:val="003833BF"/>
    <w:rsid w:val="004A1B1C"/>
    <w:rsid w:val="005109C7"/>
    <w:rsid w:val="00544B17"/>
    <w:rsid w:val="00565787"/>
    <w:rsid w:val="005F7367"/>
    <w:rsid w:val="006D641A"/>
    <w:rsid w:val="007E49B2"/>
    <w:rsid w:val="00806D39"/>
    <w:rsid w:val="009649BC"/>
    <w:rsid w:val="00977725"/>
    <w:rsid w:val="0099519C"/>
    <w:rsid w:val="009E4888"/>
    <w:rsid w:val="00A64D7E"/>
    <w:rsid w:val="00AF1B53"/>
    <w:rsid w:val="00B33A6F"/>
    <w:rsid w:val="00B52709"/>
    <w:rsid w:val="00C669CB"/>
    <w:rsid w:val="00E16E55"/>
    <w:rsid w:val="00E55FEB"/>
    <w:rsid w:val="00E92302"/>
    <w:rsid w:val="00EE39D2"/>
    <w:rsid w:val="00F932AC"/>
    <w:rsid w:val="096023B9"/>
    <w:rsid w:val="127A6A98"/>
    <w:rsid w:val="16911B25"/>
    <w:rsid w:val="26707A28"/>
    <w:rsid w:val="290E0008"/>
    <w:rsid w:val="35C919ED"/>
    <w:rsid w:val="3A810E20"/>
    <w:rsid w:val="42D51D5A"/>
    <w:rsid w:val="4460071D"/>
    <w:rsid w:val="49A212D4"/>
    <w:rsid w:val="4BB078CC"/>
    <w:rsid w:val="509F6E64"/>
    <w:rsid w:val="51A070EB"/>
    <w:rsid w:val="65B6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9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0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1256</Words>
  <Characters>1328</Characters>
  <Lines>10</Lines>
  <Paragraphs>3</Paragraphs>
  <TotalTime>3</TotalTime>
  <ScaleCrop>false</ScaleCrop>
  <LinksUpToDate>false</LinksUpToDate>
  <CharactersWithSpaces>1353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2022-03-23T06:30:00Z</dcterms:created>
  <dc:creator>顾小燕</dc:creator>
  <cp:lastModifiedBy>飞飞</cp:lastModifiedBy>
  <dcterms:modified xsi:type="dcterms:W3CDTF">2023-09-13T03:38:56Z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E6F13F57B30F4BA283A484A800DC0522</vt:lpwstr>
  </property>
</Properties>
</file>