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CDF" w:rsidRDefault="00EA4CDF" w:rsidP="00127C0B">
      <w:pPr>
        <w:pStyle w:val="Normal0"/>
        <w:widowControl w:val="0"/>
        <w:spacing w:beforeLines="100" w:afterLines="100" w:line="560" w:lineRule="exact"/>
        <w:rPr>
          <w:rFonts w:ascii="方正小标宋简体" w:eastAsia="方正小标宋简体" w:hAnsi="方正小标宋简体" w:cs="方正小标宋简体"/>
          <w:color w:val="000000"/>
          <w:sz w:val="44"/>
          <w:lang w:eastAsia="zh-CN"/>
        </w:rPr>
      </w:pPr>
    </w:p>
    <w:p w:rsidR="00C75DD5" w:rsidRPr="00C75DD5" w:rsidRDefault="00C75DD5" w:rsidP="00127C0B">
      <w:pPr>
        <w:pStyle w:val="Normal0"/>
        <w:widowControl w:val="0"/>
        <w:spacing w:beforeLines="100" w:afterLines="100" w:line="560" w:lineRule="exact"/>
        <w:jc w:val="center"/>
        <w:rPr>
          <w:rFonts w:ascii="宋体" w:hAnsi="宋体" w:cs="宋体"/>
          <w:b/>
          <w:bCs/>
          <w:sz w:val="44"/>
          <w:szCs w:val="44"/>
          <w:lang w:eastAsia="zh-CN"/>
        </w:rPr>
      </w:pPr>
      <w:r>
        <w:rPr>
          <w:rFonts w:ascii="宋体" w:hAnsi="宋体" w:cs="宋体" w:hint="eastAsia"/>
          <w:b/>
          <w:bCs/>
          <w:sz w:val="44"/>
          <w:szCs w:val="44"/>
          <w:lang w:eastAsia="zh-CN"/>
        </w:rPr>
        <w:t>2022年度</w:t>
      </w:r>
      <w:r w:rsidR="00127C0B">
        <w:rPr>
          <w:rFonts w:ascii="宋体" w:hAnsi="宋体" w:cs="宋体" w:hint="eastAsia"/>
          <w:b/>
          <w:bCs/>
          <w:sz w:val="44"/>
          <w:szCs w:val="44"/>
          <w:lang w:eastAsia="zh-CN"/>
        </w:rPr>
        <w:t>市场监管装备经费</w:t>
      </w:r>
    </w:p>
    <w:p w:rsidR="009F5B45" w:rsidRPr="00C75DD5" w:rsidRDefault="009F5B45" w:rsidP="00127C0B">
      <w:pPr>
        <w:pStyle w:val="Normal0"/>
        <w:widowControl w:val="0"/>
        <w:spacing w:beforeLines="100" w:afterLines="100" w:line="560" w:lineRule="exact"/>
        <w:jc w:val="center"/>
        <w:rPr>
          <w:rFonts w:ascii="宋体" w:hAnsi="宋体" w:cs="宋体"/>
          <w:b/>
          <w:bCs/>
          <w:sz w:val="44"/>
          <w:szCs w:val="44"/>
          <w:lang w:eastAsia="zh-CN"/>
        </w:rPr>
      </w:pPr>
      <w:r w:rsidRPr="00C75DD5">
        <w:rPr>
          <w:rFonts w:ascii="宋体" w:hAnsi="宋体" w:cs="宋体" w:hint="eastAsia"/>
          <w:b/>
          <w:bCs/>
          <w:sz w:val="44"/>
          <w:szCs w:val="44"/>
          <w:lang w:eastAsia="zh-CN"/>
        </w:rPr>
        <w:t>绩效评价报告</w:t>
      </w:r>
    </w:p>
    <w:p w:rsidR="009F5B45" w:rsidRPr="00EA4CDF" w:rsidRDefault="009F5B45" w:rsidP="00EA4CDF">
      <w:pPr>
        <w:pStyle w:val="Normal18"/>
        <w:widowControl w:val="0"/>
        <w:spacing w:before="0" w:after="0" w:line="440" w:lineRule="exact"/>
        <w:ind w:firstLineChars="200" w:firstLine="643"/>
        <w:rPr>
          <w:rFonts w:ascii="仿宋_GB2312" w:eastAsia="仿宋_GB2312" w:hAnsi="仿宋_GB2312" w:cs="仿宋_GB2312"/>
          <w:b/>
          <w:color w:val="000000"/>
          <w:sz w:val="32"/>
          <w:szCs w:val="32"/>
          <w:lang w:eastAsia="zh-CN"/>
        </w:rPr>
      </w:pPr>
      <w:r w:rsidRPr="00EA4CDF">
        <w:rPr>
          <w:rFonts w:ascii="仿宋_GB2312" w:eastAsia="仿宋_GB2312" w:hAnsi="仿宋_GB2312" w:cs="仿宋_GB2312" w:hint="eastAsia"/>
          <w:b/>
          <w:color w:val="000000"/>
          <w:sz w:val="32"/>
          <w:szCs w:val="32"/>
          <w:lang w:eastAsia="zh-CN"/>
        </w:rPr>
        <w:t>一、项目情况</w:t>
      </w:r>
    </w:p>
    <w:p w:rsidR="00792397" w:rsidRPr="00EA4CDF" w:rsidRDefault="009F5B45" w:rsidP="00EA4CDF">
      <w:pPr>
        <w:pStyle w:val="Normal18"/>
        <w:widowControl w:val="0"/>
        <w:spacing w:before="0" w:after="0" w:line="440" w:lineRule="exact"/>
        <w:ind w:firstLineChars="200" w:firstLine="627"/>
        <w:rPr>
          <w:rFonts w:ascii="仿宋_GB2312" w:eastAsia="仿宋_GB2312" w:hAnsi="仿宋_GB2312" w:cs="仿宋_GB2312"/>
          <w:b/>
          <w:color w:val="000000"/>
          <w:spacing w:val="-4"/>
          <w:sz w:val="32"/>
          <w:szCs w:val="32"/>
          <w:lang w:eastAsia="zh-CN"/>
        </w:rPr>
      </w:pPr>
      <w:r w:rsidRPr="00EA4CDF">
        <w:rPr>
          <w:rFonts w:ascii="仿宋_GB2312" w:eastAsia="仿宋_GB2312" w:hAnsi="仿宋_GB2312" w:cs="仿宋_GB2312" w:hint="eastAsia"/>
          <w:b/>
          <w:color w:val="000000"/>
          <w:spacing w:val="-4"/>
          <w:sz w:val="32"/>
          <w:szCs w:val="32"/>
          <w:lang w:eastAsia="zh-CN"/>
        </w:rPr>
        <w:t>（一）项目概况。</w:t>
      </w:r>
    </w:p>
    <w:p w:rsidR="00127C0B" w:rsidRPr="00127C0B" w:rsidRDefault="00EA4CDF" w:rsidP="00127C0B">
      <w:pPr>
        <w:pStyle w:val="Normal18"/>
        <w:widowControl w:val="0"/>
        <w:spacing w:before="0" w:after="0" w:line="440" w:lineRule="exact"/>
        <w:ind w:firstLineChars="200" w:firstLine="624"/>
        <w:rPr>
          <w:rFonts w:ascii="仿宋_GB2312" w:eastAsia="仿宋_GB2312" w:hAnsi="仿宋" w:cs="Times New Roman" w:hint="eastAsia"/>
          <w:bCs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color w:val="000000"/>
          <w:spacing w:val="-4"/>
          <w:sz w:val="32"/>
          <w:szCs w:val="32"/>
          <w:lang w:eastAsia="zh-CN"/>
        </w:rPr>
        <w:t>1、主要内容：</w:t>
      </w:r>
      <w:r w:rsidR="00127C0B" w:rsidRPr="00127C0B">
        <w:rPr>
          <w:rFonts w:ascii="仿宋_GB2312" w:eastAsia="仿宋_GB2312" w:hAnsi="仿宋" w:cs="Times New Roman" w:hint="eastAsia"/>
          <w:bCs/>
          <w:sz w:val="32"/>
          <w:szCs w:val="32"/>
          <w:lang w:eastAsia="zh-CN"/>
        </w:rPr>
        <w:t>制服是公开监管执法身份、树立市场监督管理部门公平公正的执法形象的重要手段，是服务科学发展和加强市场监管的客观需要，是规范执法行为、提升部门形象的有效举措，是方便外部监督、防范廉政风险的内在要求。有利于广大经营者、消费者认知和识别市场监督管理部门的监管服务，有利于展示和宣传市场监督管理队伍的崭新风貌。为加快建立现代电子监管进程，继续推进“移动综合业务平台建设”，在过去工商系统“移动平台”基础上，拓宽电子监管业务，把特种设备监管、药品医疗器械监管纳入移动电子监管数据库，建立全面的市场监管系统“信息监管标准化平台”，基本满足机关和基层移动办公和执法需要。该项目年度资金总额155.2万元，已下达155.2万元，年度预算执行率100%</w:t>
      </w:r>
      <w:r w:rsidR="00127C0B">
        <w:rPr>
          <w:rFonts w:ascii="仿宋_GB2312" w:eastAsia="仿宋_GB2312" w:hAnsi="仿宋" w:cs="Times New Roman" w:hint="eastAsia"/>
          <w:bCs/>
          <w:sz w:val="32"/>
          <w:szCs w:val="32"/>
          <w:lang w:eastAsia="zh-CN"/>
        </w:rPr>
        <w:t>。</w:t>
      </w:r>
    </w:p>
    <w:p w:rsidR="00EA4CDF" w:rsidRDefault="00EA4CDF" w:rsidP="00127C0B">
      <w:pPr>
        <w:pStyle w:val="Normal18"/>
        <w:widowControl w:val="0"/>
        <w:spacing w:before="0" w:after="0" w:line="440" w:lineRule="exact"/>
        <w:ind w:firstLineChars="200" w:firstLine="640"/>
        <w:rPr>
          <w:rFonts w:ascii="仿宋_GB2312" w:eastAsia="仿宋_GB2312" w:hAnsi="仿宋" w:cs="Times New Roman"/>
          <w:bCs/>
          <w:sz w:val="32"/>
          <w:szCs w:val="32"/>
          <w:lang w:eastAsia="zh-CN"/>
        </w:rPr>
      </w:pPr>
      <w:r>
        <w:rPr>
          <w:rFonts w:ascii="仿宋_GB2312" w:eastAsia="仿宋_GB2312" w:hAnsi="仿宋" w:cs="Times New Roman" w:hint="eastAsia"/>
          <w:bCs/>
          <w:sz w:val="32"/>
          <w:szCs w:val="32"/>
          <w:lang w:eastAsia="zh-CN"/>
        </w:rPr>
        <w:t>2</w:t>
      </w:r>
      <w:r w:rsidR="00127C0B">
        <w:rPr>
          <w:rFonts w:ascii="仿宋_GB2312" w:eastAsia="仿宋_GB2312" w:hAnsi="仿宋" w:cs="Times New Roman" w:hint="eastAsia"/>
          <w:bCs/>
          <w:sz w:val="32"/>
          <w:szCs w:val="32"/>
          <w:lang w:eastAsia="zh-CN"/>
        </w:rPr>
        <w:t>、实施方式：通过</w:t>
      </w:r>
      <w:r>
        <w:rPr>
          <w:rFonts w:ascii="仿宋_GB2312" w:eastAsia="仿宋_GB2312" w:hAnsi="仿宋" w:cs="Times New Roman" w:hint="eastAsia"/>
          <w:bCs/>
          <w:sz w:val="32"/>
          <w:szCs w:val="32"/>
          <w:lang w:eastAsia="zh-CN"/>
        </w:rPr>
        <w:t>政府招标采购等形式进行</w:t>
      </w:r>
      <w:r w:rsidR="00127C0B">
        <w:rPr>
          <w:rFonts w:ascii="仿宋_GB2312" w:eastAsia="仿宋_GB2312" w:hAnsi="仿宋" w:cs="Times New Roman" w:hint="eastAsia"/>
          <w:bCs/>
          <w:sz w:val="32"/>
          <w:szCs w:val="32"/>
          <w:lang w:eastAsia="zh-CN"/>
        </w:rPr>
        <w:t>采购</w:t>
      </w:r>
      <w:r>
        <w:rPr>
          <w:rFonts w:ascii="仿宋_GB2312" w:eastAsia="仿宋_GB2312" w:hAnsi="仿宋" w:cs="Times New Roman" w:hint="eastAsia"/>
          <w:bCs/>
          <w:sz w:val="32"/>
          <w:szCs w:val="32"/>
          <w:lang w:eastAsia="zh-CN"/>
        </w:rPr>
        <w:t>。</w:t>
      </w:r>
    </w:p>
    <w:p w:rsidR="009F5B45" w:rsidRPr="00A5704B" w:rsidRDefault="001B58B5" w:rsidP="00EA4CDF">
      <w:pPr>
        <w:pStyle w:val="Normal18"/>
        <w:widowControl w:val="0"/>
        <w:spacing w:before="0" w:after="0" w:line="440" w:lineRule="exact"/>
        <w:ind w:firstLineChars="200" w:firstLine="640"/>
        <w:rPr>
          <w:rFonts w:ascii="仿宋_GB2312" w:eastAsia="仿宋_GB2312" w:hAnsi="仿宋"/>
          <w:bCs/>
          <w:sz w:val="32"/>
          <w:szCs w:val="32"/>
          <w:lang w:eastAsia="zh-CN"/>
        </w:rPr>
      </w:pPr>
      <w:r>
        <w:rPr>
          <w:rFonts w:ascii="仿宋_GB2312" w:eastAsia="仿宋_GB2312" w:hAnsi="仿宋" w:cs="Times New Roman" w:hint="eastAsia"/>
          <w:bCs/>
          <w:sz w:val="32"/>
          <w:szCs w:val="32"/>
          <w:lang w:eastAsia="zh-CN"/>
        </w:rPr>
        <w:t>3、</w:t>
      </w:r>
      <w:r w:rsidR="00EA4CDF">
        <w:rPr>
          <w:rFonts w:ascii="仿宋_GB2312" w:eastAsia="仿宋_GB2312" w:hAnsi="仿宋" w:cs="Times New Roman" w:hint="eastAsia"/>
          <w:bCs/>
          <w:sz w:val="32"/>
          <w:szCs w:val="32"/>
          <w:lang w:eastAsia="zh-CN"/>
        </w:rPr>
        <w:t>资金投入：</w:t>
      </w:r>
      <w:r w:rsidR="00792397" w:rsidRPr="00A5704B">
        <w:rPr>
          <w:rFonts w:ascii="仿宋_GB2312" w:eastAsia="仿宋_GB2312" w:hAnsi="仿宋" w:cs="Times New Roman" w:hint="eastAsia"/>
          <w:bCs/>
          <w:sz w:val="32"/>
          <w:szCs w:val="32"/>
          <w:lang w:eastAsia="zh-CN"/>
        </w:rPr>
        <w:t>202</w:t>
      </w:r>
      <w:r>
        <w:rPr>
          <w:rFonts w:ascii="仿宋_GB2312" w:eastAsia="仿宋_GB2312" w:hAnsi="仿宋" w:cs="Times New Roman" w:hint="eastAsia"/>
          <w:bCs/>
          <w:sz w:val="32"/>
          <w:szCs w:val="32"/>
          <w:lang w:eastAsia="zh-CN"/>
        </w:rPr>
        <w:t>2</w:t>
      </w:r>
      <w:r w:rsidR="00792397" w:rsidRPr="00A5704B">
        <w:rPr>
          <w:rFonts w:ascii="仿宋_GB2312" w:eastAsia="仿宋_GB2312" w:hAnsi="仿宋" w:hint="eastAsia"/>
          <w:bCs/>
          <w:sz w:val="32"/>
          <w:szCs w:val="32"/>
          <w:lang w:eastAsia="zh-CN"/>
        </w:rPr>
        <w:t>年预算</w:t>
      </w:r>
      <w:r w:rsidR="00A5704B" w:rsidRPr="00A5704B">
        <w:rPr>
          <w:rFonts w:ascii="仿宋_GB2312" w:eastAsia="仿宋_GB2312" w:hAnsi="仿宋" w:hint="eastAsia"/>
          <w:bCs/>
          <w:sz w:val="32"/>
          <w:szCs w:val="32"/>
          <w:lang w:eastAsia="zh-CN"/>
        </w:rPr>
        <w:t>资金</w:t>
      </w:r>
      <w:r w:rsidR="00127C0B">
        <w:rPr>
          <w:rFonts w:ascii="仿宋_GB2312" w:eastAsia="仿宋_GB2312" w:hAnsi="仿宋" w:hint="eastAsia"/>
          <w:bCs/>
          <w:sz w:val="32"/>
          <w:szCs w:val="32"/>
          <w:lang w:eastAsia="zh-CN"/>
        </w:rPr>
        <w:t>155.2</w:t>
      </w:r>
      <w:r w:rsidR="00792397" w:rsidRPr="00A5704B">
        <w:rPr>
          <w:rFonts w:ascii="仿宋_GB2312" w:eastAsia="仿宋_GB2312" w:hAnsi="仿宋" w:hint="eastAsia"/>
          <w:bCs/>
          <w:sz w:val="32"/>
          <w:szCs w:val="32"/>
          <w:lang w:eastAsia="zh-CN"/>
        </w:rPr>
        <w:t>万元</w:t>
      </w:r>
      <w:r w:rsidR="00A5704B" w:rsidRPr="00A5704B">
        <w:rPr>
          <w:rFonts w:ascii="仿宋_GB2312" w:eastAsia="仿宋_GB2312" w:hAnsi="仿宋" w:hint="eastAsia"/>
          <w:bCs/>
          <w:sz w:val="32"/>
          <w:szCs w:val="32"/>
          <w:lang w:eastAsia="zh-CN"/>
        </w:rPr>
        <w:t>，实际使用支出</w:t>
      </w:r>
      <w:r w:rsidR="00127C0B">
        <w:rPr>
          <w:rFonts w:ascii="仿宋_GB2312" w:eastAsia="仿宋_GB2312" w:hAnsi="仿宋" w:hint="eastAsia"/>
          <w:bCs/>
          <w:sz w:val="32"/>
          <w:szCs w:val="32"/>
          <w:lang w:eastAsia="zh-CN"/>
        </w:rPr>
        <w:t>155.2</w:t>
      </w:r>
      <w:r w:rsidR="00A5704B" w:rsidRPr="00A5704B">
        <w:rPr>
          <w:rFonts w:ascii="仿宋_GB2312" w:eastAsia="仿宋_GB2312" w:hAnsi="仿宋" w:hint="eastAsia"/>
          <w:bCs/>
          <w:sz w:val="32"/>
          <w:szCs w:val="32"/>
          <w:lang w:eastAsia="zh-CN"/>
        </w:rPr>
        <w:t>万元</w:t>
      </w:r>
      <w:r w:rsidR="00792397" w:rsidRPr="00A5704B">
        <w:rPr>
          <w:rFonts w:ascii="仿宋_GB2312" w:eastAsia="仿宋_GB2312" w:hAnsi="仿宋" w:hint="eastAsia"/>
          <w:bCs/>
          <w:sz w:val="32"/>
          <w:szCs w:val="32"/>
          <w:lang w:eastAsia="zh-CN"/>
        </w:rPr>
        <w:t>。</w:t>
      </w:r>
      <w:r w:rsidR="00EA4CDF">
        <w:rPr>
          <w:rFonts w:ascii="仿宋_GB2312" w:eastAsia="仿宋_GB2312" w:hAnsi="仿宋" w:hint="eastAsia"/>
          <w:bCs/>
          <w:sz w:val="32"/>
          <w:szCs w:val="32"/>
          <w:lang w:eastAsia="zh-CN"/>
        </w:rPr>
        <w:t>预算执行率达100%。</w:t>
      </w:r>
    </w:p>
    <w:p w:rsidR="00792397" w:rsidRPr="00A5704B" w:rsidRDefault="009F5B45" w:rsidP="00EA4CDF">
      <w:pPr>
        <w:pStyle w:val="Normal18"/>
        <w:widowControl w:val="0"/>
        <w:spacing w:before="0" w:after="0" w:line="440" w:lineRule="exact"/>
        <w:ind w:firstLineChars="200" w:firstLine="643"/>
        <w:rPr>
          <w:rFonts w:ascii="仿宋_GB2312" w:eastAsia="仿宋_GB2312" w:hAnsi="仿宋_GB2312" w:cs="仿宋_GB2312"/>
          <w:color w:val="000000"/>
          <w:sz w:val="32"/>
          <w:szCs w:val="32"/>
          <w:lang w:eastAsia="zh-CN"/>
        </w:rPr>
      </w:pPr>
      <w:r w:rsidRPr="00EA4CDF">
        <w:rPr>
          <w:rFonts w:ascii="仿宋_GB2312" w:eastAsia="仿宋_GB2312" w:hAnsi="仿宋_GB2312" w:cs="仿宋_GB2312" w:hint="eastAsia"/>
          <w:b/>
          <w:color w:val="000000"/>
          <w:sz w:val="32"/>
          <w:szCs w:val="32"/>
          <w:lang w:eastAsia="zh-CN"/>
        </w:rPr>
        <w:t>（二）绩效目标</w:t>
      </w:r>
      <w:r w:rsidRPr="00A5704B">
        <w:rPr>
          <w:rFonts w:ascii="仿宋_GB2312" w:eastAsia="仿宋_GB2312" w:hAnsi="仿宋_GB2312" w:cs="仿宋_GB2312" w:hint="eastAsia"/>
          <w:color w:val="000000"/>
          <w:sz w:val="32"/>
          <w:szCs w:val="32"/>
          <w:lang w:eastAsia="zh-CN"/>
        </w:rPr>
        <w:t>。</w:t>
      </w:r>
    </w:p>
    <w:p w:rsidR="004F3210" w:rsidRDefault="004F3210" w:rsidP="004F3210">
      <w:pPr>
        <w:pStyle w:val="Normal18"/>
        <w:widowControl w:val="0"/>
        <w:spacing w:before="0" w:after="0" w:line="440" w:lineRule="exact"/>
        <w:ind w:firstLineChars="200" w:firstLine="640"/>
        <w:rPr>
          <w:rFonts w:ascii="仿宋_GB2312" w:eastAsia="仿宋_GB2312" w:hint="eastAsia"/>
          <w:sz w:val="32"/>
          <w:szCs w:val="32"/>
          <w:lang w:eastAsia="zh-CN"/>
        </w:rPr>
      </w:pPr>
      <w:r w:rsidRPr="004F3210">
        <w:rPr>
          <w:rFonts w:ascii="仿宋_GB2312" w:eastAsia="仿宋_GB2312" w:hint="eastAsia"/>
          <w:sz w:val="32"/>
          <w:szCs w:val="32"/>
          <w:lang w:eastAsia="zh-CN"/>
        </w:rPr>
        <w:t>保障市场监管执法职责的有效开展，为执法人员配备必要的执法装备和制式服装，提高办公效率，树立部门人员良好形象。</w:t>
      </w:r>
    </w:p>
    <w:p w:rsidR="009F5B45" w:rsidRPr="00EA4CDF" w:rsidRDefault="009F5B45" w:rsidP="004F3210">
      <w:pPr>
        <w:pStyle w:val="Normal18"/>
        <w:widowControl w:val="0"/>
        <w:spacing w:before="0" w:after="0" w:line="440" w:lineRule="exact"/>
        <w:ind w:firstLineChars="200" w:firstLine="643"/>
        <w:rPr>
          <w:rFonts w:ascii="仿宋_GB2312" w:eastAsia="仿宋_GB2312" w:hAnsi="仿宋_GB2312" w:cs="仿宋_GB2312"/>
          <w:b/>
          <w:color w:val="000000"/>
          <w:sz w:val="32"/>
          <w:szCs w:val="32"/>
          <w:lang w:eastAsia="zh-CN"/>
        </w:rPr>
      </w:pPr>
      <w:r w:rsidRPr="00EA4CDF">
        <w:rPr>
          <w:rFonts w:ascii="仿宋_GB2312" w:eastAsia="仿宋_GB2312" w:hAnsi="仿宋_GB2312" w:cs="仿宋_GB2312" w:hint="eastAsia"/>
          <w:b/>
          <w:color w:val="000000"/>
          <w:sz w:val="32"/>
          <w:szCs w:val="32"/>
          <w:lang w:eastAsia="zh-CN"/>
        </w:rPr>
        <w:t>二、评价情况</w:t>
      </w:r>
    </w:p>
    <w:p w:rsidR="009F5B45" w:rsidRPr="00EA4CDF" w:rsidRDefault="009F5B45" w:rsidP="00EA4CDF">
      <w:pPr>
        <w:pStyle w:val="Normal18"/>
        <w:widowControl w:val="0"/>
        <w:spacing w:before="0" w:after="0" w:line="440" w:lineRule="exact"/>
        <w:ind w:firstLineChars="200" w:firstLine="627"/>
        <w:rPr>
          <w:rFonts w:ascii="仿宋_GB2312" w:eastAsia="仿宋_GB2312" w:hAnsi="仿宋_GB2312" w:cs="仿宋_GB2312"/>
          <w:b/>
          <w:color w:val="000000"/>
          <w:spacing w:val="-4"/>
          <w:sz w:val="32"/>
          <w:szCs w:val="32"/>
          <w:lang w:eastAsia="zh-CN"/>
        </w:rPr>
      </w:pPr>
      <w:r w:rsidRPr="00EA4CDF">
        <w:rPr>
          <w:rFonts w:ascii="仿宋_GB2312" w:eastAsia="仿宋_GB2312" w:hAnsi="仿宋_GB2312" w:cs="仿宋_GB2312" w:hint="eastAsia"/>
          <w:b/>
          <w:color w:val="000000"/>
          <w:spacing w:val="-4"/>
          <w:sz w:val="32"/>
          <w:szCs w:val="32"/>
          <w:lang w:eastAsia="zh-CN"/>
        </w:rPr>
        <w:t>（一）项目特点分析。</w:t>
      </w:r>
    </w:p>
    <w:p w:rsidR="00A5704B" w:rsidRDefault="00A5704B" w:rsidP="00EA4CDF">
      <w:pPr>
        <w:pStyle w:val="Normal18"/>
        <w:widowControl w:val="0"/>
        <w:spacing w:before="0" w:after="0" w:line="440" w:lineRule="exact"/>
        <w:ind w:firstLineChars="200" w:firstLine="640"/>
        <w:rPr>
          <w:rFonts w:ascii="仿宋_GB2312" w:eastAsia="仿宋_GB2312"/>
          <w:sz w:val="32"/>
          <w:szCs w:val="32"/>
          <w:lang w:eastAsia="zh-CN"/>
        </w:rPr>
      </w:pPr>
      <w:r w:rsidRPr="00A5704B">
        <w:rPr>
          <w:rFonts w:ascii="仿宋_GB2312" w:eastAsia="仿宋_GB2312" w:hint="eastAsia"/>
          <w:sz w:val="32"/>
          <w:szCs w:val="32"/>
          <w:lang w:eastAsia="zh-CN"/>
        </w:rPr>
        <w:t>为进一步强化预算支出责任，提高财政资金使用效率，发现项目实施过程中存在的不足，为今后项目的顺利开展提供经验，从而规范管理，提高项目管理水平。</w:t>
      </w:r>
    </w:p>
    <w:p w:rsidR="00A5704B" w:rsidRDefault="009F5B45" w:rsidP="00EA4CDF">
      <w:pPr>
        <w:pStyle w:val="Normal18"/>
        <w:widowControl w:val="0"/>
        <w:spacing w:before="0" w:after="0" w:line="440" w:lineRule="exact"/>
        <w:ind w:firstLineChars="200" w:firstLine="624"/>
        <w:rPr>
          <w:rFonts w:ascii="仿宋_GB2312" w:eastAsia="仿宋_GB2312" w:hAnsi="仿宋_GB2312" w:cs="仿宋_GB2312"/>
          <w:color w:val="000000"/>
          <w:spacing w:val="-4"/>
          <w:sz w:val="32"/>
          <w:szCs w:val="32"/>
          <w:lang w:eastAsia="zh-CN"/>
        </w:rPr>
      </w:pPr>
      <w:r w:rsidRPr="00A5704B">
        <w:rPr>
          <w:rFonts w:ascii="仿宋_GB2312" w:eastAsia="仿宋_GB2312" w:hAnsi="仿宋_GB2312" w:cs="仿宋_GB2312" w:hint="eastAsia"/>
          <w:color w:val="000000"/>
          <w:spacing w:val="-4"/>
          <w:sz w:val="32"/>
          <w:szCs w:val="32"/>
          <w:lang w:eastAsia="zh-CN"/>
        </w:rPr>
        <w:t>（二）评价思路方法。</w:t>
      </w:r>
    </w:p>
    <w:p w:rsidR="00EA4CDF" w:rsidRPr="00EA4CDF" w:rsidRDefault="00EA4CDF" w:rsidP="00EA4CDF">
      <w:pPr>
        <w:spacing w:line="440" w:lineRule="exact"/>
        <w:ind w:firstLineChars="200" w:firstLine="640"/>
        <w:rPr>
          <w:rFonts w:ascii="仿宋_GB2312" w:eastAsia="仿宋_GB2312" w:cstheme="minorBidi"/>
          <w:b w:val="0"/>
          <w:sz w:val="32"/>
          <w:szCs w:val="32"/>
        </w:rPr>
      </w:pPr>
      <w:r w:rsidRPr="00EA4CDF">
        <w:rPr>
          <w:rFonts w:ascii="仿宋_GB2312" w:eastAsia="仿宋_GB2312" w:cstheme="minorBidi" w:hint="eastAsia"/>
          <w:b w:val="0"/>
          <w:sz w:val="32"/>
          <w:szCs w:val="32"/>
        </w:rPr>
        <w:t>本次评价项目主要围绕项目决策、过程管理、产出效果和社会效益等方面开展，综合评价资金使用绩效。主要采取比较法，通过对绩效目标和实施效果比较，指标制定上定量与定性相结合，优先定量，综合分析绩效目标实现程度。</w:t>
      </w:r>
    </w:p>
    <w:p w:rsidR="00A5704B" w:rsidRPr="00A5704B" w:rsidRDefault="009F5B45" w:rsidP="00EA4CDF">
      <w:pPr>
        <w:pStyle w:val="Normal18"/>
        <w:widowControl w:val="0"/>
        <w:spacing w:before="0" w:after="0" w:line="440" w:lineRule="exact"/>
        <w:ind w:firstLineChars="200" w:firstLine="624"/>
        <w:rPr>
          <w:rFonts w:ascii="仿宋_GB2312" w:eastAsia="仿宋_GB2312" w:hAnsi="仿宋_GB2312" w:cs="仿宋_GB2312"/>
          <w:color w:val="000000"/>
          <w:spacing w:val="-4"/>
          <w:sz w:val="32"/>
          <w:szCs w:val="32"/>
          <w:lang w:eastAsia="zh-CN"/>
        </w:rPr>
      </w:pPr>
      <w:r w:rsidRPr="00A5704B">
        <w:rPr>
          <w:rFonts w:ascii="仿宋_GB2312" w:eastAsia="仿宋_GB2312" w:hAnsi="仿宋_GB2312" w:cs="仿宋_GB2312" w:hint="eastAsia"/>
          <w:color w:val="000000"/>
          <w:spacing w:val="-4"/>
          <w:sz w:val="32"/>
          <w:szCs w:val="32"/>
          <w:lang w:eastAsia="zh-CN"/>
        </w:rPr>
        <w:lastRenderedPageBreak/>
        <w:t>（三）评价工作情况。</w:t>
      </w:r>
    </w:p>
    <w:p w:rsidR="009F5B45" w:rsidRPr="00A5704B" w:rsidRDefault="00A5704B" w:rsidP="00EA4CDF">
      <w:pPr>
        <w:pStyle w:val="Normal18"/>
        <w:widowControl w:val="0"/>
        <w:spacing w:before="0" w:after="0" w:line="440" w:lineRule="exact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  <w:lang w:eastAsia="zh-CN"/>
        </w:rPr>
      </w:pPr>
      <w:r w:rsidRPr="00A5704B">
        <w:rPr>
          <w:rFonts w:ascii="仿宋_GB2312" w:eastAsia="仿宋_GB2312" w:hint="eastAsia"/>
          <w:sz w:val="32"/>
          <w:szCs w:val="32"/>
          <w:lang w:eastAsia="zh-CN"/>
        </w:rPr>
        <w:t>根据年度财政项目支出绩效评价工作的要求，开展项目绩效评价工作并形成评价报告。</w:t>
      </w:r>
    </w:p>
    <w:p w:rsidR="00A5704B" w:rsidRPr="00A5704B" w:rsidRDefault="009F5B45" w:rsidP="00EA4CDF">
      <w:pPr>
        <w:pStyle w:val="Normal18"/>
        <w:widowControl w:val="0"/>
        <w:spacing w:before="0" w:after="0" w:line="440" w:lineRule="exact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  <w:lang w:eastAsia="zh-CN"/>
        </w:rPr>
      </w:pPr>
      <w:r w:rsidRPr="00A5704B">
        <w:rPr>
          <w:rFonts w:ascii="仿宋_GB2312" w:eastAsia="仿宋_GB2312" w:hAnsi="仿宋_GB2312" w:cs="仿宋_GB2312" w:hint="eastAsia"/>
          <w:color w:val="000000"/>
          <w:sz w:val="32"/>
          <w:szCs w:val="32"/>
          <w:lang w:eastAsia="zh-CN"/>
        </w:rPr>
        <w:t>（四）绩效评价结论。</w:t>
      </w:r>
    </w:p>
    <w:p w:rsidR="00EA4CDF" w:rsidRPr="00AC4B2F" w:rsidRDefault="00EA4CDF" w:rsidP="00EA4CDF">
      <w:pPr>
        <w:pStyle w:val="Normal18"/>
        <w:widowControl w:val="0"/>
        <w:spacing w:before="0" w:after="0" w:line="440" w:lineRule="exact"/>
        <w:ind w:firstLineChars="200" w:firstLine="624"/>
        <w:rPr>
          <w:rFonts w:ascii="仿宋_GB2312" w:eastAsia="仿宋_GB2312" w:hAnsi="仿宋_GB2312" w:cs="仿宋_GB2312"/>
          <w:color w:val="000000"/>
          <w:spacing w:val="-4"/>
          <w:sz w:val="32"/>
          <w:szCs w:val="32"/>
          <w:lang w:eastAsia="zh-CN"/>
        </w:rPr>
      </w:pPr>
      <w:r w:rsidRPr="00AC4B2F">
        <w:rPr>
          <w:rFonts w:ascii="仿宋_GB2312" w:eastAsia="仿宋_GB2312" w:hAnsi="仿宋_GB2312" w:cs="仿宋_GB2312"/>
          <w:color w:val="000000"/>
          <w:spacing w:val="-4"/>
          <w:sz w:val="32"/>
          <w:szCs w:val="32"/>
          <w:lang w:eastAsia="zh-CN"/>
        </w:rPr>
        <w:t>从资产管理、配置、效果等方面，对</w:t>
      </w:r>
      <w:r>
        <w:rPr>
          <w:rFonts w:ascii="仿宋_GB2312" w:eastAsia="仿宋_GB2312" w:hAnsi="仿宋_GB2312" w:cs="仿宋_GB2312"/>
          <w:color w:val="000000"/>
          <w:spacing w:val="-4"/>
          <w:sz w:val="32"/>
          <w:szCs w:val="32"/>
          <w:lang w:eastAsia="zh-CN"/>
        </w:rPr>
        <w:t>基层租赁和维修保障</w:t>
      </w:r>
      <w:r w:rsidRPr="00AC4B2F">
        <w:rPr>
          <w:rFonts w:ascii="仿宋_GB2312" w:eastAsia="仿宋_GB2312" w:hAnsi="仿宋_GB2312" w:cs="仿宋_GB2312" w:hint="eastAsia"/>
          <w:color w:val="000000"/>
          <w:spacing w:val="-4"/>
          <w:sz w:val="32"/>
          <w:szCs w:val="32"/>
          <w:lang w:eastAsia="zh-CN"/>
        </w:rPr>
        <w:t>工作进</w:t>
      </w:r>
      <w:r w:rsidRPr="00AC4B2F">
        <w:rPr>
          <w:rFonts w:ascii="仿宋_GB2312" w:eastAsia="仿宋_GB2312" w:hAnsi="仿宋_GB2312" w:cs="仿宋_GB2312"/>
          <w:color w:val="000000"/>
          <w:spacing w:val="-4"/>
          <w:sz w:val="32"/>
          <w:szCs w:val="32"/>
          <w:lang w:eastAsia="zh-CN"/>
        </w:rPr>
        <w:t>行绩效评价，</w:t>
      </w:r>
      <w:r>
        <w:rPr>
          <w:rFonts w:ascii="仿宋_GB2312" w:eastAsia="仿宋_GB2312" w:hAnsi="仿宋_GB2312" w:cs="仿宋_GB2312"/>
          <w:color w:val="000000"/>
          <w:spacing w:val="-4"/>
          <w:sz w:val="32"/>
          <w:szCs w:val="32"/>
          <w:lang w:eastAsia="zh-CN"/>
        </w:rPr>
        <w:t>综合评价得分</w:t>
      </w:r>
      <w:r>
        <w:rPr>
          <w:rFonts w:ascii="仿宋_GB2312" w:eastAsia="仿宋_GB2312" w:hAnsi="仿宋_GB2312" w:cs="仿宋_GB2312" w:hint="eastAsia"/>
          <w:color w:val="000000"/>
          <w:spacing w:val="-4"/>
          <w:sz w:val="32"/>
          <w:szCs w:val="32"/>
          <w:lang w:eastAsia="zh-CN"/>
        </w:rPr>
        <w:t>100</w:t>
      </w:r>
      <w:r>
        <w:rPr>
          <w:rFonts w:ascii="仿宋_GB2312" w:eastAsia="仿宋_GB2312" w:hAnsi="仿宋_GB2312" w:cs="仿宋_GB2312"/>
          <w:color w:val="000000"/>
          <w:spacing w:val="-4"/>
          <w:sz w:val="32"/>
          <w:szCs w:val="32"/>
          <w:lang w:eastAsia="zh-CN"/>
        </w:rPr>
        <w:t>分，</w:t>
      </w:r>
      <w:r w:rsidRPr="00AC4B2F">
        <w:rPr>
          <w:rFonts w:ascii="仿宋_GB2312" w:eastAsia="仿宋_GB2312" w:hAnsi="仿宋_GB2312" w:cs="仿宋_GB2312"/>
          <w:color w:val="000000"/>
          <w:spacing w:val="-4"/>
          <w:sz w:val="32"/>
          <w:szCs w:val="32"/>
          <w:lang w:eastAsia="zh-CN"/>
        </w:rPr>
        <w:t>评价</w:t>
      </w:r>
      <w:r>
        <w:rPr>
          <w:rFonts w:ascii="仿宋_GB2312" w:eastAsia="仿宋_GB2312" w:hAnsi="仿宋_GB2312" w:cs="仿宋_GB2312"/>
          <w:color w:val="000000"/>
          <w:spacing w:val="-4"/>
          <w:sz w:val="32"/>
          <w:szCs w:val="32"/>
          <w:lang w:eastAsia="zh-CN"/>
        </w:rPr>
        <w:t>等级为“优秀”</w:t>
      </w:r>
      <w:r w:rsidRPr="00AC4B2F">
        <w:rPr>
          <w:rFonts w:ascii="仿宋_GB2312" w:eastAsia="仿宋_GB2312" w:hAnsi="仿宋_GB2312" w:cs="仿宋_GB2312"/>
          <w:color w:val="000000"/>
          <w:spacing w:val="-4"/>
          <w:sz w:val="32"/>
          <w:szCs w:val="32"/>
          <w:lang w:eastAsia="zh-CN"/>
        </w:rPr>
        <w:t>，</w:t>
      </w:r>
      <w:r>
        <w:rPr>
          <w:rFonts w:ascii="仿宋_GB2312" w:eastAsia="仿宋_GB2312" w:hAnsi="仿宋_GB2312" w:cs="仿宋_GB2312" w:hint="eastAsia"/>
          <w:color w:val="000000"/>
          <w:spacing w:val="-4"/>
          <w:sz w:val="32"/>
          <w:szCs w:val="32"/>
          <w:lang w:eastAsia="zh-CN"/>
        </w:rPr>
        <w:t>服务</w:t>
      </w:r>
      <w:r w:rsidRPr="00AC4B2F">
        <w:rPr>
          <w:rFonts w:ascii="仿宋_GB2312" w:eastAsia="仿宋_GB2312" w:hAnsi="仿宋_GB2312" w:cs="仿宋_GB2312"/>
          <w:color w:val="000000"/>
          <w:spacing w:val="-4"/>
          <w:sz w:val="32"/>
          <w:szCs w:val="32"/>
          <w:lang w:eastAsia="zh-CN"/>
        </w:rPr>
        <w:t>满意度≥</w:t>
      </w:r>
      <w:r>
        <w:rPr>
          <w:rFonts w:ascii="仿宋_GB2312" w:eastAsia="仿宋_GB2312" w:hAnsi="仿宋_GB2312" w:cs="仿宋_GB2312" w:hint="eastAsia"/>
          <w:color w:val="000000"/>
          <w:spacing w:val="-4"/>
          <w:sz w:val="32"/>
          <w:szCs w:val="32"/>
          <w:lang w:eastAsia="zh-CN"/>
        </w:rPr>
        <w:t>85</w:t>
      </w:r>
      <w:r w:rsidRPr="00AC4B2F">
        <w:rPr>
          <w:rFonts w:ascii="仿宋_GB2312" w:eastAsia="仿宋_GB2312" w:hAnsi="仿宋_GB2312" w:cs="仿宋_GB2312"/>
          <w:color w:val="000000"/>
          <w:spacing w:val="-4"/>
          <w:sz w:val="32"/>
          <w:szCs w:val="32"/>
          <w:lang w:eastAsia="zh-CN"/>
        </w:rPr>
        <w:t>%</w:t>
      </w:r>
      <w:r w:rsidRPr="00AC4B2F">
        <w:rPr>
          <w:rFonts w:ascii="仿宋_GB2312" w:eastAsia="仿宋_GB2312" w:hAnsi="仿宋_GB2312" w:cs="仿宋_GB2312" w:hint="eastAsia"/>
          <w:color w:val="000000"/>
          <w:spacing w:val="-4"/>
          <w:sz w:val="32"/>
          <w:szCs w:val="32"/>
          <w:lang w:eastAsia="zh-CN"/>
        </w:rPr>
        <w:t>。</w:t>
      </w:r>
    </w:p>
    <w:p w:rsidR="00A5704B" w:rsidRPr="00EA4CDF" w:rsidRDefault="009F5B45" w:rsidP="00EA4CDF">
      <w:pPr>
        <w:pStyle w:val="Normal18"/>
        <w:widowControl w:val="0"/>
        <w:spacing w:before="0" w:after="0" w:line="440" w:lineRule="exact"/>
        <w:ind w:firstLineChars="200" w:firstLine="567"/>
        <w:rPr>
          <w:rFonts w:ascii="仿宋_GB2312" w:eastAsia="仿宋_GB2312" w:hAnsi="仿宋_GB2312" w:cs="仿宋_GB2312"/>
          <w:b/>
          <w:color w:val="000000"/>
          <w:spacing w:val="-19"/>
          <w:sz w:val="32"/>
          <w:szCs w:val="32"/>
          <w:lang w:eastAsia="zh-CN"/>
        </w:rPr>
      </w:pPr>
      <w:r w:rsidRPr="00EA4CDF">
        <w:rPr>
          <w:rFonts w:ascii="仿宋_GB2312" w:eastAsia="仿宋_GB2312" w:hAnsi="仿宋_GB2312" w:cs="仿宋_GB2312" w:hint="eastAsia"/>
          <w:b/>
          <w:color w:val="000000"/>
          <w:spacing w:val="-19"/>
          <w:sz w:val="32"/>
          <w:szCs w:val="32"/>
          <w:lang w:eastAsia="zh-CN"/>
        </w:rPr>
        <w:t>三、项目绩效。</w:t>
      </w:r>
    </w:p>
    <w:p w:rsidR="009F5B45" w:rsidRPr="00A5704B" w:rsidRDefault="00F84051" w:rsidP="00F84051">
      <w:pPr>
        <w:pStyle w:val="Normal18"/>
        <w:widowControl w:val="0"/>
        <w:spacing w:before="0" w:after="0" w:line="440" w:lineRule="exact"/>
        <w:ind w:firstLineChars="200" w:firstLine="640"/>
        <w:rPr>
          <w:rFonts w:ascii="仿宋_GB2312" w:eastAsia="仿宋_GB2312" w:hAnsi="仿宋_GB2312" w:cs="仿宋_GB2312"/>
          <w:color w:val="000000"/>
          <w:spacing w:val="-7"/>
          <w:sz w:val="32"/>
          <w:szCs w:val="32"/>
          <w:lang w:eastAsia="zh-CN"/>
        </w:rPr>
      </w:pPr>
      <w:r w:rsidRPr="00F84051">
        <w:rPr>
          <w:rFonts w:ascii="仿宋_GB2312" w:eastAsia="仿宋_GB2312" w:hint="eastAsia"/>
          <w:sz w:val="32"/>
          <w:szCs w:val="32"/>
          <w:lang w:eastAsia="zh-CN"/>
        </w:rPr>
        <w:t>根据国家财政部、司法部以及江苏省司法厅、省财政厅相关规定，拟在2022年度对符合条件的执法人员首次配发新式市场监管执法制服。同时根据执法基本装备配备指导标准和建立信息监</w:t>
      </w:r>
      <w:r>
        <w:rPr>
          <w:rFonts w:ascii="仿宋_GB2312" w:eastAsia="仿宋_GB2312" w:hint="eastAsia"/>
          <w:sz w:val="32"/>
          <w:szCs w:val="32"/>
          <w:lang w:eastAsia="zh-CN"/>
        </w:rPr>
        <w:t>管标准化平台要求，对移动监管装备进行必要的更新、补充和延续建设。</w:t>
      </w:r>
      <w:r w:rsidR="00A5704B" w:rsidRPr="00A5704B">
        <w:rPr>
          <w:rFonts w:ascii="仿宋_GB2312" w:eastAsia="仿宋_GB2312" w:hint="eastAsia"/>
          <w:sz w:val="32"/>
          <w:szCs w:val="32"/>
          <w:lang w:eastAsia="zh-CN"/>
        </w:rPr>
        <w:t>项目实施准备充分，内部控制管理良好，项目实施各环节严格按照相关制度执行</w:t>
      </w:r>
      <w:r w:rsidR="00A5704B">
        <w:rPr>
          <w:rFonts w:ascii="仿宋_GB2312" w:eastAsia="仿宋_GB2312" w:hint="eastAsia"/>
          <w:sz w:val="32"/>
          <w:szCs w:val="32"/>
          <w:lang w:eastAsia="zh-CN"/>
        </w:rPr>
        <w:t>。</w:t>
      </w:r>
    </w:p>
    <w:p w:rsidR="009F5B45" w:rsidRPr="00EA4CDF" w:rsidRDefault="009F5B45" w:rsidP="00EA4CDF">
      <w:pPr>
        <w:pStyle w:val="Normal18"/>
        <w:widowControl w:val="0"/>
        <w:spacing w:before="0" w:after="0" w:line="440" w:lineRule="exact"/>
        <w:ind w:firstLineChars="200" w:firstLine="631"/>
        <w:rPr>
          <w:rFonts w:ascii="仿宋_GB2312" w:eastAsia="仿宋_GB2312" w:hAnsi="仿宋_GB2312" w:cs="仿宋_GB2312"/>
          <w:b/>
          <w:color w:val="000000"/>
          <w:spacing w:val="-3"/>
          <w:sz w:val="32"/>
          <w:szCs w:val="32"/>
          <w:lang w:eastAsia="zh-CN"/>
        </w:rPr>
      </w:pPr>
      <w:r w:rsidRPr="00EA4CDF">
        <w:rPr>
          <w:rFonts w:ascii="仿宋_GB2312" w:eastAsia="仿宋_GB2312" w:hAnsi="仿宋_GB2312" w:cs="仿宋_GB2312" w:hint="eastAsia"/>
          <w:b/>
          <w:color w:val="000000"/>
          <w:spacing w:val="-3"/>
          <w:sz w:val="32"/>
          <w:szCs w:val="32"/>
          <w:lang w:eastAsia="zh-CN"/>
        </w:rPr>
        <w:t>四、存在问题。</w:t>
      </w:r>
    </w:p>
    <w:p w:rsidR="00A5704B" w:rsidRPr="00A5704B" w:rsidRDefault="00A5704B" w:rsidP="00EA4CDF">
      <w:pPr>
        <w:pStyle w:val="Normal18"/>
        <w:widowControl w:val="0"/>
        <w:spacing w:before="0" w:after="0" w:line="440" w:lineRule="exact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  <w:lang w:eastAsia="zh-CN"/>
        </w:rPr>
      </w:pPr>
      <w:r w:rsidRPr="00A5704B">
        <w:rPr>
          <w:rFonts w:ascii="仿宋_GB2312" w:eastAsia="仿宋_GB2312" w:hAnsi="仿宋_GB2312" w:cs="仿宋_GB2312" w:hint="eastAsia"/>
          <w:color w:val="000000"/>
          <w:sz w:val="32"/>
          <w:szCs w:val="32"/>
          <w:lang w:eastAsia="zh-CN"/>
        </w:rPr>
        <w:t>无</w:t>
      </w:r>
    </w:p>
    <w:p w:rsidR="009F5B45" w:rsidRPr="00EA4CDF" w:rsidRDefault="009F5B45" w:rsidP="00EA4CDF">
      <w:pPr>
        <w:pStyle w:val="Normal18"/>
        <w:widowControl w:val="0"/>
        <w:spacing w:before="0" w:after="0" w:line="440" w:lineRule="exact"/>
        <w:ind w:firstLineChars="200" w:firstLine="643"/>
        <w:rPr>
          <w:rFonts w:ascii="仿宋_GB2312" w:eastAsia="仿宋_GB2312" w:hAnsi="仿宋_GB2312" w:cs="仿宋_GB2312"/>
          <w:b/>
          <w:color w:val="000000"/>
          <w:sz w:val="32"/>
          <w:szCs w:val="32"/>
          <w:lang w:eastAsia="zh-CN"/>
        </w:rPr>
      </w:pPr>
      <w:r w:rsidRPr="00EA4CDF">
        <w:rPr>
          <w:rFonts w:ascii="仿宋_GB2312" w:eastAsia="仿宋_GB2312" w:hAnsi="仿宋_GB2312" w:cs="仿宋_GB2312" w:hint="eastAsia"/>
          <w:b/>
          <w:color w:val="000000"/>
          <w:sz w:val="32"/>
          <w:szCs w:val="32"/>
          <w:lang w:eastAsia="zh-CN"/>
        </w:rPr>
        <w:t>五、有关建议。</w:t>
      </w:r>
    </w:p>
    <w:p w:rsidR="00A5704B" w:rsidRDefault="00A5704B" w:rsidP="00EA4CDF">
      <w:pPr>
        <w:pStyle w:val="Normal18"/>
        <w:widowControl w:val="0"/>
        <w:spacing w:before="0" w:after="0" w:line="440" w:lineRule="exact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  <w:lang w:eastAsia="zh-CN"/>
        </w:rPr>
      </w:pPr>
      <w:r w:rsidRPr="00A5704B">
        <w:rPr>
          <w:rFonts w:ascii="仿宋_GB2312" w:eastAsia="仿宋_GB2312" w:hAnsi="仿宋_GB2312" w:cs="仿宋_GB2312" w:hint="eastAsia"/>
          <w:color w:val="000000"/>
          <w:sz w:val="32"/>
          <w:szCs w:val="32"/>
          <w:lang w:eastAsia="zh-CN"/>
        </w:rPr>
        <w:t>无</w:t>
      </w:r>
    </w:p>
    <w:p w:rsidR="00EA4CDF" w:rsidRPr="00397345" w:rsidRDefault="00EA4CDF" w:rsidP="00EA4CDF">
      <w:pPr>
        <w:pStyle w:val="Normal18"/>
        <w:widowControl w:val="0"/>
        <w:spacing w:before="0" w:after="0" w:line="440" w:lineRule="exact"/>
        <w:ind w:firstLineChars="200" w:firstLine="643"/>
        <w:rPr>
          <w:rFonts w:ascii="仿宋_GB2312" w:eastAsia="仿宋_GB2312" w:hAnsi="仿宋_GB2312" w:cs="仿宋_GB2312"/>
          <w:b/>
          <w:color w:val="000000"/>
          <w:sz w:val="32"/>
          <w:szCs w:val="32"/>
          <w:lang w:eastAsia="zh-CN"/>
        </w:rPr>
      </w:pPr>
      <w:r w:rsidRPr="00397345">
        <w:rPr>
          <w:rFonts w:ascii="仿宋_GB2312" w:eastAsia="仿宋_GB2312" w:hAnsi="仿宋_GB2312" w:cs="仿宋_GB2312" w:hint="eastAsia"/>
          <w:b/>
          <w:color w:val="000000"/>
          <w:sz w:val="32"/>
          <w:szCs w:val="32"/>
          <w:lang w:eastAsia="zh-CN"/>
        </w:rPr>
        <w:t>六、相关信息。</w:t>
      </w:r>
    </w:p>
    <w:p w:rsidR="00EA4CDF" w:rsidRDefault="00EA4CDF" w:rsidP="00EA4CDF">
      <w:pPr>
        <w:pStyle w:val="Normal18"/>
        <w:widowControl w:val="0"/>
        <w:spacing w:before="0" w:after="0" w:line="440" w:lineRule="exact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  <w:lang w:eastAsia="zh-CN"/>
        </w:rPr>
      </w:pPr>
      <w:r w:rsidRPr="00AC4B2F">
        <w:rPr>
          <w:rFonts w:ascii="仿宋_GB2312" w:eastAsia="仿宋_GB2312" w:hAnsi="仿宋_GB2312" w:cs="仿宋_GB2312" w:hint="eastAsia"/>
          <w:color w:val="000000"/>
          <w:sz w:val="32"/>
          <w:szCs w:val="32"/>
          <w:lang w:eastAsia="zh-CN"/>
        </w:rPr>
        <w:t>绩效评价评分表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eastAsia="zh-CN"/>
        </w:rPr>
        <w:t>以评价报告附件的形式反映。</w:t>
      </w:r>
    </w:p>
    <w:p w:rsidR="001F3F6C" w:rsidRDefault="001F3F6C" w:rsidP="00127C0B">
      <w:pPr>
        <w:pStyle w:val="Normal0"/>
        <w:widowControl w:val="0"/>
        <w:spacing w:beforeLines="100" w:afterLines="100" w:line="56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lang w:eastAsia="zh-CN"/>
        </w:rPr>
      </w:pPr>
    </w:p>
    <w:p w:rsidR="001F3F6C" w:rsidRDefault="001F3F6C" w:rsidP="00127C0B">
      <w:pPr>
        <w:pStyle w:val="Normal0"/>
        <w:widowControl w:val="0"/>
        <w:spacing w:beforeLines="100" w:afterLines="100" w:line="56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lang w:eastAsia="zh-CN"/>
        </w:rPr>
      </w:pPr>
    </w:p>
    <w:p w:rsidR="001F3F6C" w:rsidRDefault="001F3F6C" w:rsidP="00127C0B">
      <w:pPr>
        <w:pStyle w:val="Normal0"/>
        <w:widowControl w:val="0"/>
        <w:spacing w:beforeLines="100" w:afterLines="100" w:line="56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lang w:eastAsia="zh-CN"/>
        </w:rPr>
      </w:pPr>
    </w:p>
    <w:p w:rsidR="001F3F6C" w:rsidRDefault="001F3F6C" w:rsidP="00127C0B">
      <w:pPr>
        <w:pStyle w:val="Normal0"/>
        <w:widowControl w:val="0"/>
        <w:spacing w:beforeLines="100" w:afterLines="100" w:line="56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lang w:eastAsia="zh-CN"/>
        </w:rPr>
      </w:pPr>
    </w:p>
    <w:p w:rsidR="001F3F6C" w:rsidRDefault="001F3F6C" w:rsidP="00127C0B">
      <w:pPr>
        <w:pStyle w:val="Normal0"/>
        <w:widowControl w:val="0"/>
        <w:spacing w:beforeLines="100" w:afterLines="100" w:line="56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lang w:eastAsia="zh-CN"/>
        </w:rPr>
      </w:pPr>
    </w:p>
    <w:p w:rsidR="001F3F6C" w:rsidRDefault="001F3F6C" w:rsidP="00127C0B">
      <w:pPr>
        <w:pStyle w:val="Normal0"/>
        <w:widowControl w:val="0"/>
        <w:spacing w:beforeLines="100" w:afterLines="100" w:line="56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lang w:eastAsia="zh-CN"/>
        </w:rPr>
      </w:pPr>
    </w:p>
    <w:p w:rsidR="001F3F6C" w:rsidRDefault="001F3F6C" w:rsidP="00127C0B">
      <w:pPr>
        <w:pStyle w:val="Normal0"/>
        <w:widowControl w:val="0"/>
        <w:spacing w:beforeLines="100" w:afterLines="100" w:line="56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lang w:eastAsia="zh-CN"/>
        </w:rPr>
      </w:pPr>
    </w:p>
    <w:p w:rsidR="001F3F6C" w:rsidRDefault="001F3F6C" w:rsidP="00127C0B">
      <w:pPr>
        <w:pStyle w:val="Normal0"/>
        <w:widowControl w:val="0"/>
        <w:spacing w:beforeLines="100" w:afterLines="100" w:line="56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lang w:eastAsia="zh-CN"/>
        </w:rPr>
      </w:pPr>
    </w:p>
    <w:p w:rsidR="001F3F6C" w:rsidRDefault="001F3F6C" w:rsidP="00127C0B">
      <w:pPr>
        <w:pStyle w:val="Normal0"/>
        <w:widowControl w:val="0"/>
        <w:spacing w:beforeLines="100" w:afterLines="100" w:line="56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lang w:eastAsia="zh-CN"/>
        </w:rPr>
      </w:pPr>
    </w:p>
    <w:p w:rsidR="001F3F6C" w:rsidRDefault="001F3F6C" w:rsidP="00127C0B">
      <w:pPr>
        <w:pStyle w:val="Normal0"/>
        <w:widowControl w:val="0"/>
        <w:spacing w:beforeLines="100" w:afterLines="100" w:line="560" w:lineRule="exact"/>
        <w:rPr>
          <w:rFonts w:ascii="方正小标宋简体" w:eastAsia="方正小标宋简体" w:hAnsi="方正小标宋简体" w:cs="方正小标宋简体"/>
          <w:color w:val="000000"/>
          <w:sz w:val="44"/>
          <w:lang w:eastAsia="zh-CN"/>
        </w:rPr>
      </w:pPr>
    </w:p>
    <w:p w:rsidR="0082254F" w:rsidRDefault="0082254F" w:rsidP="00127C0B">
      <w:pPr>
        <w:pStyle w:val="Normal0"/>
        <w:widowControl w:val="0"/>
        <w:spacing w:beforeLines="100" w:afterLines="100" w:line="560" w:lineRule="exact"/>
        <w:rPr>
          <w:rFonts w:ascii="方正小标宋简体" w:eastAsia="方正小标宋简体" w:hAnsi="方正小标宋简体" w:cs="方正小标宋简体"/>
          <w:color w:val="000000"/>
          <w:sz w:val="44"/>
          <w:lang w:eastAsia="zh-CN"/>
        </w:rPr>
      </w:pPr>
    </w:p>
    <w:p w:rsidR="001F3F6C" w:rsidRPr="001F3F6C" w:rsidRDefault="001F3F6C" w:rsidP="00127C0B">
      <w:pPr>
        <w:pStyle w:val="Normal0"/>
        <w:widowControl w:val="0"/>
        <w:spacing w:beforeLines="100" w:afterLines="100" w:line="560" w:lineRule="exact"/>
        <w:rPr>
          <w:rFonts w:ascii="方正小标宋简体" w:eastAsia="方正小标宋简体" w:hAnsi="方正小标宋简体" w:cs="方正小标宋简体"/>
          <w:color w:val="000000"/>
          <w:sz w:val="30"/>
          <w:szCs w:val="30"/>
          <w:lang w:eastAsia="zh-CN"/>
        </w:rPr>
      </w:pPr>
      <w:r w:rsidRPr="001F3F6C">
        <w:rPr>
          <w:rFonts w:ascii="方正小标宋简体" w:eastAsia="方正小标宋简体" w:hAnsi="方正小标宋简体" w:cs="方正小标宋简体" w:hint="eastAsia"/>
          <w:color w:val="000000"/>
          <w:sz w:val="30"/>
          <w:szCs w:val="30"/>
          <w:lang w:eastAsia="zh-CN"/>
        </w:rPr>
        <w:t>附件</w:t>
      </w:r>
      <w:r>
        <w:rPr>
          <w:rFonts w:ascii="方正小标宋简体" w:eastAsia="方正小标宋简体" w:hAnsi="方正小标宋简体" w:cs="方正小标宋简体" w:hint="eastAsia"/>
          <w:color w:val="000000"/>
          <w:sz w:val="30"/>
          <w:szCs w:val="30"/>
          <w:lang w:eastAsia="zh-CN"/>
        </w:rPr>
        <w:t>：</w:t>
      </w:r>
    </w:p>
    <w:p w:rsidR="001F3F6C" w:rsidRDefault="001F3F6C" w:rsidP="00127C0B">
      <w:pPr>
        <w:pStyle w:val="Normal0"/>
        <w:widowControl w:val="0"/>
        <w:spacing w:beforeLines="100" w:afterLines="100" w:line="56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lang w:eastAsia="zh-CN"/>
        </w:rPr>
      </w:pPr>
    </w:p>
    <w:p w:rsidR="001F3F6C" w:rsidRDefault="001F3F6C" w:rsidP="00127C0B">
      <w:pPr>
        <w:pStyle w:val="Normal0"/>
        <w:widowControl w:val="0"/>
        <w:spacing w:beforeLines="100" w:afterLines="100" w:line="56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lang w:eastAsia="zh-CN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lang w:eastAsia="zh-CN"/>
        </w:rPr>
        <w:t>202</w:t>
      </w:r>
      <w:r w:rsidR="00CA44F6">
        <w:rPr>
          <w:rFonts w:ascii="方正小标宋简体" w:eastAsia="方正小标宋简体" w:hAnsi="方正小标宋简体" w:cs="方正小标宋简体" w:hint="eastAsia"/>
          <w:color w:val="000000"/>
          <w:sz w:val="44"/>
          <w:lang w:eastAsia="zh-CN"/>
        </w:rPr>
        <w:t>2</w:t>
      </w:r>
      <w:r>
        <w:rPr>
          <w:rFonts w:ascii="方正小标宋简体" w:eastAsia="方正小标宋简体" w:hAnsi="方正小标宋简体" w:cs="方正小标宋简体" w:hint="eastAsia"/>
          <w:color w:val="000000"/>
          <w:sz w:val="44"/>
          <w:lang w:eastAsia="zh-CN"/>
        </w:rPr>
        <w:t>年项目支出绩效自评价评分表</w:t>
      </w:r>
    </w:p>
    <w:p w:rsidR="001F3F6C" w:rsidRDefault="001F3F6C" w:rsidP="001F3F6C">
      <w:pPr>
        <w:pStyle w:val="Normal12"/>
        <w:widowControl w:val="0"/>
        <w:spacing w:before="0" w:after="0" w:line="360" w:lineRule="exact"/>
        <w:jc w:val="left"/>
        <w:rPr>
          <w:rFonts w:ascii="宋体" w:eastAsia="宋体" w:hAnsi="宋体" w:cs="宋体"/>
          <w:sz w:val="24"/>
          <w:szCs w:val="24"/>
          <w:lang w:eastAsia="zh-CN"/>
        </w:rPr>
      </w:pPr>
    </w:p>
    <w:p w:rsidR="001F3F6C" w:rsidRDefault="001F3F6C" w:rsidP="001F3F6C">
      <w:pPr>
        <w:pStyle w:val="Normal12"/>
        <w:widowControl w:val="0"/>
        <w:spacing w:before="0" w:after="0" w:line="360" w:lineRule="exact"/>
        <w:jc w:val="left"/>
        <w:rPr>
          <w:rFonts w:ascii="宋体" w:eastAsia="宋体" w:hAnsi="宋体" w:cs="宋体"/>
          <w:sz w:val="20"/>
          <w:szCs w:val="20"/>
          <w:u w:val="single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 w:hint="eastAsia"/>
          <w:color w:val="000000"/>
          <w:sz w:val="20"/>
          <w:szCs w:val="20"/>
          <w:lang w:eastAsia="zh-CN"/>
        </w:rPr>
        <w:t>填报单位</w:t>
      </w:r>
      <w:r>
        <w:rPr>
          <w:rFonts w:ascii="宋体" w:eastAsia="宋体" w:hAnsi="宋体" w:cs="宋体"/>
          <w:sz w:val="24"/>
          <w:szCs w:val="24"/>
          <w:lang w:eastAsia="zh-CN"/>
        </w:rPr>
        <w:t>：</w:t>
      </w:r>
      <w:r w:rsidRPr="00A920FE">
        <w:rPr>
          <w:rFonts w:ascii="宋体" w:eastAsia="宋体" w:hAnsi="宋体" w:cs="宋体"/>
          <w:sz w:val="20"/>
          <w:szCs w:val="20"/>
          <w:u w:val="single"/>
          <w:lang w:eastAsia="zh-CN"/>
        </w:rPr>
        <w:t>如皋市市场监督管理局</w:t>
      </w:r>
      <w:r>
        <w:rPr>
          <w:rFonts w:ascii="宋体" w:eastAsia="宋体" w:hAnsi="宋体" w:cs="宋体" w:hint="eastAsia"/>
          <w:sz w:val="20"/>
          <w:szCs w:val="20"/>
          <w:u w:val="single"/>
          <w:lang w:eastAsia="zh-CN"/>
        </w:rPr>
        <w:t xml:space="preserve">      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 w:rsidR="0082254F">
        <w:rPr>
          <w:rFonts w:ascii="宋体" w:eastAsia="宋体" w:hAnsi="宋体" w:cs="宋体" w:hint="eastAsia"/>
          <w:sz w:val="24"/>
          <w:szCs w:val="24"/>
          <w:lang w:eastAsia="zh-CN"/>
        </w:rPr>
        <w:t xml:space="preserve">            </w:t>
      </w:r>
      <w:r>
        <w:rPr>
          <w:rFonts w:ascii="宋体" w:eastAsia="宋体" w:hAnsi="宋体" w:cs="宋体" w:hint="eastAsia"/>
          <w:color w:val="000000"/>
          <w:sz w:val="20"/>
          <w:szCs w:val="20"/>
          <w:lang w:eastAsia="zh-CN"/>
        </w:rPr>
        <w:t>项目名称：</w:t>
      </w:r>
      <w:r w:rsidR="00F84051">
        <w:rPr>
          <w:rFonts w:ascii="宋体" w:eastAsia="宋体" w:hAnsi="宋体" w:cs="宋体" w:hint="eastAsia"/>
          <w:sz w:val="20"/>
          <w:szCs w:val="20"/>
          <w:u w:val="single"/>
          <w:lang w:eastAsia="zh-CN"/>
        </w:rPr>
        <w:t>市场监管装备经费</w:t>
      </w:r>
    </w:p>
    <w:p w:rsidR="001F3F6C" w:rsidRPr="00A920FE" w:rsidRDefault="001F3F6C" w:rsidP="001F3F6C">
      <w:pPr>
        <w:pStyle w:val="Normal12"/>
        <w:widowControl w:val="0"/>
        <w:spacing w:before="0" w:after="0" w:line="360" w:lineRule="exact"/>
        <w:jc w:val="left"/>
        <w:rPr>
          <w:rFonts w:ascii="宋体" w:eastAsia="宋体" w:hAnsi="宋体" w:cs="宋体"/>
          <w:sz w:val="20"/>
          <w:szCs w:val="20"/>
          <w:u w:val="single"/>
          <w:lang w:eastAsia="zh-CN"/>
        </w:rPr>
      </w:pPr>
    </w:p>
    <w:tbl>
      <w:tblPr>
        <w:tblW w:w="5000" w:type="pct"/>
        <w:tblLook w:val="0000"/>
      </w:tblPr>
      <w:tblGrid>
        <w:gridCol w:w="1073"/>
        <w:gridCol w:w="1278"/>
        <w:gridCol w:w="2276"/>
        <w:gridCol w:w="1282"/>
        <w:gridCol w:w="1282"/>
        <w:gridCol w:w="650"/>
        <w:gridCol w:w="650"/>
        <w:gridCol w:w="1073"/>
      </w:tblGrid>
      <w:tr w:rsidR="0082254F" w:rsidRPr="0082254F" w:rsidTr="0082254F">
        <w:trPr>
          <w:trHeight w:val="227"/>
        </w:trPr>
        <w:tc>
          <w:tcPr>
            <w:tcW w:w="241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color w:val="000000"/>
                <w:sz w:val="20"/>
                <w:szCs w:val="20"/>
              </w:rPr>
              <w:t>评价指标</w:t>
            </w:r>
          </w:p>
        </w:tc>
        <w:tc>
          <w:tcPr>
            <w:tcW w:w="67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color w:val="000000"/>
                <w:sz w:val="20"/>
                <w:szCs w:val="20"/>
              </w:rPr>
              <w:t>年初指标值</w:t>
            </w:r>
          </w:p>
        </w:tc>
        <w:tc>
          <w:tcPr>
            <w:tcW w:w="67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color w:val="000000"/>
                <w:sz w:val="20"/>
                <w:szCs w:val="20"/>
              </w:rPr>
              <w:t>实际完成值</w:t>
            </w:r>
          </w:p>
        </w:tc>
        <w:tc>
          <w:tcPr>
            <w:tcW w:w="34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color w:val="000000"/>
                <w:sz w:val="20"/>
                <w:szCs w:val="20"/>
              </w:rPr>
              <w:t>权重</w:t>
            </w:r>
          </w:p>
        </w:tc>
        <w:tc>
          <w:tcPr>
            <w:tcW w:w="34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56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color w:val="000000"/>
                <w:sz w:val="20"/>
                <w:szCs w:val="20"/>
              </w:rPr>
              <w:t>评分依据</w:t>
            </w:r>
          </w:p>
        </w:tc>
      </w:tr>
      <w:tr w:rsidR="0082254F" w:rsidRPr="0082254F" w:rsidTr="0082254F">
        <w:trPr>
          <w:trHeight w:val="227"/>
        </w:trPr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color w:val="000000"/>
                <w:sz w:val="20"/>
                <w:szCs w:val="20"/>
              </w:rPr>
              <w:t>一级指标</w:t>
            </w:r>
          </w:p>
        </w:tc>
        <w:tc>
          <w:tcPr>
            <w:tcW w:w="66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color w:val="000000"/>
                <w:sz w:val="20"/>
                <w:szCs w:val="20"/>
              </w:rPr>
              <w:t>二级指标</w:t>
            </w:r>
          </w:p>
        </w:tc>
        <w:tc>
          <w:tcPr>
            <w:tcW w:w="1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color w:val="000000"/>
                <w:sz w:val="20"/>
                <w:szCs w:val="20"/>
              </w:rPr>
              <w:t>三级指标</w:t>
            </w:r>
          </w:p>
        </w:tc>
        <w:tc>
          <w:tcPr>
            <w:tcW w:w="67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67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34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34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6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</w:p>
        </w:tc>
      </w:tr>
      <w:tr w:rsidR="0082254F" w:rsidRPr="0082254F" w:rsidTr="0082254F">
        <w:trPr>
          <w:trHeight w:val="227"/>
        </w:trPr>
        <w:tc>
          <w:tcPr>
            <w:tcW w:w="56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color w:val="000000"/>
                <w:sz w:val="20"/>
                <w:szCs w:val="20"/>
              </w:rPr>
              <w:t>决策指标</w:t>
            </w:r>
          </w:p>
        </w:tc>
        <w:tc>
          <w:tcPr>
            <w:tcW w:w="668" w:type="pct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color w:val="000000"/>
                <w:sz w:val="20"/>
                <w:szCs w:val="20"/>
              </w:rPr>
              <w:t>项目立项</w:t>
            </w:r>
          </w:p>
        </w:tc>
        <w:tc>
          <w:tcPr>
            <w:tcW w:w="1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立项依据充分性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充分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充分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</w:p>
        </w:tc>
      </w:tr>
      <w:tr w:rsidR="0082254F" w:rsidRPr="0082254F" w:rsidTr="0082254F">
        <w:trPr>
          <w:trHeight w:val="227"/>
        </w:trPr>
        <w:tc>
          <w:tcPr>
            <w:tcW w:w="5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0"/>
                <w:szCs w:val="20"/>
              </w:rPr>
            </w:pPr>
          </w:p>
        </w:tc>
        <w:tc>
          <w:tcPr>
            <w:tcW w:w="668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0"/>
                <w:szCs w:val="20"/>
              </w:rPr>
            </w:pPr>
          </w:p>
        </w:tc>
        <w:tc>
          <w:tcPr>
            <w:tcW w:w="1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立项程序规范性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规范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规范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</w:p>
        </w:tc>
      </w:tr>
      <w:tr w:rsidR="0082254F" w:rsidRPr="0082254F" w:rsidTr="0082254F">
        <w:trPr>
          <w:trHeight w:val="227"/>
        </w:trPr>
        <w:tc>
          <w:tcPr>
            <w:tcW w:w="5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0"/>
                <w:szCs w:val="20"/>
              </w:rPr>
            </w:pPr>
          </w:p>
        </w:tc>
        <w:tc>
          <w:tcPr>
            <w:tcW w:w="668" w:type="pct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color w:val="000000"/>
                <w:sz w:val="20"/>
                <w:szCs w:val="20"/>
              </w:rPr>
              <w:t>绩效目标</w:t>
            </w:r>
          </w:p>
        </w:tc>
        <w:tc>
          <w:tcPr>
            <w:tcW w:w="1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绩效目标合理性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合理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合理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</w:p>
        </w:tc>
      </w:tr>
      <w:tr w:rsidR="0082254F" w:rsidRPr="0082254F" w:rsidTr="0082254F">
        <w:trPr>
          <w:trHeight w:val="227"/>
        </w:trPr>
        <w:tc>
          <w:tcPr>
            <w:tcW w:w="5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0"/>
                <w:szCs w:val="20"/>
              </w:rPr>
            </w:pPr>
          </w:p>
        </w:tc>
        <w:tc>
          <w:tcPr>
            <w:tcW w:w="668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0"/>
                <w:szCs w:val="20"/>
              </w:rPr>
            </w:pPr>
          </w:p>
        </w:tc>
        <w:tc>
          <w:tcPr>
            <w:tcW w:w="1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绩效指标明确性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明确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明确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</w:p>
        </w:tc>
      </w:tr>
      <w:tr w:rsidR="0082254F" w:rsidRPr="0082254F" w:rsidTr="0082254F">
        <w:trPr>
          <w:trHeight w:val="227"/>
        </w:trPr>
        <w:tc>
          <w:tcPr>
            <w:tcW w:w="5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0"/>
                <w:szCs w:val="20"/>
              </w:rPr>
            </w:pPr>
          </w:p>
        </w:tc>
        <w:tc>
          <w:tcPr>
            <w:tcW w:w="668" w:type="pct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color w:val="000000"/>
                <w:sz w:val="20"/>
                <w:szCs w:val="20"/>
              </w:rPr>
              <w:t>资金投入</w:t>
            </w:r>
          </w:p>
        </w:tc>
        <w:tc>
          <w:tcPr>
            <w:tcW w:w="1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预算编制科学性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科学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科学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</w:p>
        </w:tc>
      </w:tr>
      <w:tr w:rsidR="0082254F" w:rsidRPr="0082254F" w:rsidTr="0082254F">
        <w:trPr>
          <w:trHeight w:val="227"/>
        </w:trPr>
        <w:tc>
          <w:tcPr>
            <w:tcW w:w="5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668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资金分配合理性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合理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合理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</w:p>
        </w:tc>
      </w:tr>
      <w:tr w:rsidR="0082254F" w:rsidRPr="0082254F" w:rsidTr="0082254F">
        <w:trPr>
          <w:trHeight w:val="227"/>
        </w:trPr>
        <w:tc>
          <w:tcPr>
            <w:tcW w:w="56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color w:val="000000"/>
                <w:sz w:val="20"/>
                <w:szCs w:val="20"/>
              </w:rPr>
              <w:t>过程指标</w:t>
            </w:r>
          </w:p>
        </w:tc>
        <w:tc>
          <w:tcPr>
            <w:tcW w:w="668" w:type="pct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color w:val="000000"/>
                <w:sz w:val="20"/>
                <w:szCs w:val="20"/>
              </w:rPr>
              <w:t>资金管理</w:t>
            </w:r>
          </w:p>
        </w:tc>
        <w:tc>
          <w:tcPr>
            <w:tcW w:w="1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资金到位率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</w:p>
        </w:tc>
      </w:tr>
      <w:tr w:rsidR="0082254F" w:rsidRPr="0082254F" w:rsidTr="0082254F">
        <w:trPr>
          <w:trHeight w:val="227"/>
        </w:trPr>
        <w:tc>
          <w:tcPr>
            <w:tcW w:w="5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0"/>
                <w:szCs w:val="20"/>
              </w:rPr>
            </w:pPr>
          </w:p>
        </w:tc>
        <w:tc>
          <w:tcPr>
            <w:tcW w:w="668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0"/>
                <w:szCs w:val="20"/>
              </w:rPr>
            </w:pPr>
          </w:p>
        </w:tc>
        <w:tc>
          <w:tcPr>
            <w:tcW w:w="1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预算执行率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</w:p>
        </w:tc>
      </w:tr>
      <w:tr w:rsidR="0082254F" w:rsidRPr="0082254F" w:rsidTr="0082254F">
        <w:trPr>
          <w:trHeight w:val="227"/>
        </w:trPr>
        <w:tc>
          <w:tcPr>
            <w:tcW w:w="5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0"/>
                <w:szCs w:val="20"/>
              </w:rPr>
            </w:pPr>
          </w:p>
        </w:tc>
        <w:tc>
          <w:tcPr>
            <w:tcW w:w="668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0"/>
                <w:szCs w:val="20"/>
              </w:rPr>
            </w:pPr>
          </w:p>
        </w:tc>
        <w:tc>
          <w:tcPr>
            <w:tcW w:w="1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资金使用合规性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合规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合规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</w:p>
        </w:tc>
      </w:tr>
      <w:tr w:rsidR="0082254F" w:rsidRPr="0082254F" w:rsidTr="0082254F">
        <w:trPr>
          <w:trHeight w:val="227"/>
        </w:trPr>
        <w:tc>
          <w:tcPr>
            <w:tcW w:w="5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0"/>
                <w:szCs w:val="20"/>
              </w:rPr>
            </w:pPr>
          </w:p>
        </w:tc>
        <w:tc>
          <w:tcPr>
            <w:tcW w:w="668" w:type="pct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color w:val="000000"/>
                <w:sz w:val="20"/>
                <w:szCs w:val="20"/>
              </w:rPr>
              <w:t>组织实施</w:t>
            </w:r>
          </w:p>
        </w:tc>
        <w:tc>
          <w:tcPr>
            <w:tcW w:w="1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hint="eastAsia"/>
                <w:b w:val="0"/>
                <w:color w:val="000000"/>
                <w:sz w:val="20"/>
                <w:szCs w:val="20"/>
              </w:rPr>
              <w:t>管理制度健全性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健全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健全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</w:p>
        </w:tc>
      </w:tr>
      <w:tr w:rsidR="0082254F" w:rsidRPr="0082254F" w:rsidTr="0082254F">
        <w:trPr>
          <w:trHeight w:val="365"/>
        </w:trPr>
        <w:tc>
          <w:tcPr>
            <w:tcW w:w="5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668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hint="eastAsia"/>
                <w:b w:val="0"/>
                <w:color w:val="000000"/>
                <w:sz w:val="20"/>
                <w:szCs w:val="20"/>
              </w:rPr>
              <w:t>制度执行有效性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合规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合规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</w:p>
        </w:tc>
      </w:tr>
      <w:tr w:rsidR="0082254F" w:rsidRPr="0082254F" w:rsidTr="0082254F">
        <w:trPr>
          <w:trHeight w:val="227"/>
        </w:trPr>
        <w:tc>
          <w:tcPr>
            <w:tcW w:w="56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color w:val="000000"/>
                <w:sz w:val="20"/>
                <w:szCs w:val="20"/>
              </w:rPr>
              <w:t>产出指标</w:t>
            </w:r>
          </w:p>
        </w:tc>
        <w:tc>
          <w:tcPr>
            <w:tcW w:w="66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color w:val="000000"/>
                <w:sz w:val="20"/>
                <w:szCs w:val="20"/>
              </w:rPr>
              <w:t>数量指标</w:t>
            </w:r>
          </w:p>
        </w:tc>
        <w:tc>
          <w:tcPr>
            <w:tcW w:w="1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hint="eastAsia"/>
                <w:b w:val="0"/>
                <w:color w:val="000000"/>
                <w:sz w:val="20"/>
                <w:szCs w:val="20"/>
              </w:rPr>
              <w:t>合同履约率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2"/>
                <w:szCs w:val="22"/>
              </w:rPr>
            </w:pPr>
          </w:p>
        </w:tc>
      </w:tr>
      <w:tr w:rsidR="0082254F" w:rsidRPr="0082254F" w:rsidTr="0082254F">
        <w:trPr>
          <w:trHeight w:val="227"/>
        </w:trPr>
        <w:tc>
          <w:tcPr>
            <w:tcW w:w="5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0"/>
                <w:szCs w:val="20"/>
              </w:rPr>
            </w:pPr>
          </w:p>
        </w:tc>
        <w:tc>
          <w:tcPr>
            <w:tcW w:w="668" w:type="pct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color w:val="000000"/>
                <w:sz w:val="20"/>
                <w:szCs w:val="20"/>
              </w:rPr>
              <w:t>质量指标</w:t>
            </w:r>
          </w:p>
        </w:tc>
        <w:tc>
          <w:tcPr>
            <w:tcW w:w="1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质量达标率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2"/>
                <w:szCs w:val="22"/>
              </w:rPr>
            </w:pPr>
          </w:p>
        </w:tc>
      </w:tr>
      <w:tr w:rsidR="0082254F" w:rsidRPr="0082254F" w:rsidTr="0082254F">
        <w:trPr>
          <w:trHeight w:val="227"/>
        </w:trPr>
        <w:tc>
          <w:tcPr>
            <w:tcW w:w="5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0"/>
                <w:szCs w:val="20"/>
              </w:rPr>
            </w:pPr>
          </w:p>
        </w:tc>
        <w:tc>
          <w:tcPr>
            <w:tcW w:w="668" w:type="pct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color w:val="000000"/>
                <w:sz w:val="20"/>
                <w:szCs w:val="20"/>
              </w:rPr>
              <w:t>时效指标</w:t>
            </w:r>
          </w:p>
        </w:tc>
        <w:tc>
          <w:tcPr>
            <w:tcW w:w="1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hint="eastAsia"/>
                <w:b w:val="0"/>
                <w:color w:val="000000"/>
                <w:sz w:val="20"/>
                <w:szCs w:val="20"/>
              </w:rPr>
              <w:t>按计划完成率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10</w:t>
            </w: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0</w:t>
            </w:r>
            <w:r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%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10</w:t>
            </w: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0</w:t>
            </w:r>
            <w:r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%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2"/>
                <w:szCs w:val="22"/>
              </w:rPr>
            </w:pPr>
          </w:p>
        </w:tc>
      </w:tr>
      <w:tr w:rsidR="0082254F" w:rsidRPr="0082254F" w:rsidTr="0082254F">
        <w:trPr>
          <w:trHeight w:val="227"/>
        </w:trPr>
        <w:tc>
          <w:tcPr>
            <w:tcW w:w="56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color w:val="000000"/>
                <w:sz w:val="20"/>
                <w:szCs w:val="20"/>
              </w:rPr>
              <w:t>效益指标</w:t>
            </w:r>
          </w:p>
        </w:tc>
        <w:tc>
          <w:tcPr>
            <w:tcW w:w="66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社会效益指标</w:t>
            </w:r>
          </w:p>
        </w:tc>
        <w:tc>
          <w:tcPr>
            <w:tcW w:w="1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F84051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b w:val="0"/>
                <w:color w:val="000000"/>
                <w:sz w:val="20"/>
                <w:szCs w:val="20"/>
              </w:rPr>
              <w:t>执法形象提升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2"/>
                <w:szCs w:val="22"/>
              </w:rPr>
            </w:pPr>
          </w:p>
        </w:tc>
      </w:tr>
      <w:tr w:rsidR="0082254F" w:rsidRPr="0082254F" w:rsidTr="0082254F">
        <w:trPr>
          <w:trHeight w:val="227"/>
        </w:trPr>
        <w:tc>
          <w:tcPr>
            <w:tcW w:w="5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0"/>
                <w:szCs w:val="20"/>
              </w:rPr>
            </w:pPr>
          </w:p>
        </w:tc>
        <w:tc>
          <w:tcPr>
            <w:tcW w:w="66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13"/>
                <w:szCs w:val="13"/>
              </w:rPr>
            </w:pPr>
            <w:r w:rsidRPr="0082254F">
              <w:rPr>
                <w:rFonts w:asciiTheme="minorEastAsia" w:eastAsiaTheme="minorEastAsia" w:hAnsiTheme="minorEastAsia" w:cs="宋体" w:hint="eastAsia"/>
                <w:color w:val="000000"/>
                <w:sz w:val="13"/>
                <w:szCs w:val="13"/>
              </w:rPr>
              <w:t>可持续发展指标</w:t>
            </w:r>
          </w:p>
        </w:tc>
        <w:tc>
          <w:tcPr>
            <w:tcW w:w="1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F84051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b w:val="0"/>
                <w:color w:val="000000"/>
                <w:sz w:val="20"/>
                <w:szCs w:val="20"/>
              </w:rPr>
              <w:t>提升执行监管能力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F84051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提升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F84051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提升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2"/>
                <w:szCs w:val="22"/>
              </w:rPr>
            </w:pPr>
          </w:p>
        </w:tc>
      </w:tr>
      <w:tr w:rsidR="0082254F" w:rsidRPr="0082254F" w:rsidTr="0082254F">
        <w:trPr>
          <w:trHeight w:val="227"/>
        </w:trPr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color w:val="000000"/>
                <w:sz w:val="20"/>
                <w:szCs w:val="20"/>
              </w:rPr>
              <w:t>满意度</w:t>
            </w:r>
          </w:p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color w:val="000000"/>
                <w:sz w:val="20"/>
                <w:szCs w:val="20"/>
              </w:rPr>
              <w:t>指标</w:t>
            </w:r>
          </w:p>
        </w:tc>
        <w:tc>
          <w:tcPr>
            <w:tcW w:w="6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color w:val="000000"/>
                <w:sz w:val="20"/>
                <w:szCs w:val="20"/>
              </w:rPr>
              <w:t>满意度指标</w:t>
            </w:r>
          </w:p>
        </w:tc>
        <w:tc>
          <w:tcPr>
            <w:tcW w:w="1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服务满意率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≥90%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95%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2"/>
                <w:szCs w:val="22"/>
              </w:rPr>
            </w:pPr>
          </w:p>
        </w:tc>
      </w:tr>
      <w:tr w:rsidR="0082254F" w:rsidRPr="0082254F" w:rsidTr="0082254F">
        <w:trPr>
          <w:trHeight w:val="397"/>
        </w:trPr>
        <w:tc>
          <w:tcPr>
            <w:tcW w:w="241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82254F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总计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2254F" w:rsidRPr="0082254F" w:rsidRDefault="0082254F" w:rsidP="0082254F">
            <w:pPr>
              <w:spacing w:line="440" w:lineRule="exact"/>
              <w:rPr>
                <w:rFonts w:asciiTheme="minorEastAsia" w:eastAsiaTheme="minorEastAsia" w:hAnsiTheme="minorEastAsia" w:cs="宋体"/>
                <w:b w:val="0"/>
                <w:color w:val="000000"/>
                <w:sz w:val="21"/>
                <w:szCs w:val="21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1"/>
                <w:szCs w:val="21"/>
              </w:rPr>
              <w:t>100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 w:val="0"/>
                <w:color w:val="000000"/>
                <w:sz w:val="21"/>
                <w:szCs w:val="21"/>
              </w:rPr>
              <w:t>100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2"/>
                <w:szCs w:val="22"/>
              </w:rPr>
            </w:pPr>
          </w:p>
        </w:tc>
      </w:tr>
    </w:tbl>
    <w:p w:rsidR="00EA4CDF" w:rsidRPr="00EA4CDF" w:rsidRDefault="00EA4CDF" w:rsidP="00EA4CDF">
      <w:pPr>
        <w:pStyle w:val="Normal18"/>
        <w:widowControl w:val="0"/>
        <w:spacing w:before="0" w:after="0" w:line="440" w:lineRule="exact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  <w:lang w:eastAsia="zh-CN"/>
        </w:rPr>
      </w:pPr>
    </w:p>
    <w:sectPr w:rsidR="00EA4CDF" w:rsidRPr="00EA4CDF" w:rsidSect="00EA4CDF">
      <w:pgSz w:w="11900" w:h="16820"/>
      <w:pgMar w:top="1134" w:right="1134" w:bottom="1134" w:left="1418" w:header="720" w:footer="720" w:gutter="0"/>
      <w:pgNumType w:fmt="numberInDash" w:start="1"/>
      <w:cols w:space="720"/>
      <w:docGrid w:type="lines" w:linePitch="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2DB5" w:rsidRDefault="006A2DB5" w:rsidP="009F5B45">
      <w:r>
        <w:separator/>
      </w:r>
    </w:p>
  </w:endnote>
  <w:endnote w:type="continuationSeparator" w:id="0">
    <w:p w:rsidR="006A2DB5" w:rsidRDefault="006A2DB5" w:rsidP="009F5B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2DB5" w:rsidRDefault="006A2DB5" w:rsidP="009F5B45">
      <w:r>
        <w:separator/>
      </w:r>
    </w:p>
  </w:footnote>
  <w:footnote w:type="continuationSeparator" w:id="0">
    <w:p w:rsidR="006A2DB5" w:rsidRDefault="006A2DB5" w:rsidP="009F5B4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F5B45"/>
    <w:rsid w:val="000A56DB"/>
    <w:rsid w:val="00127C0B"/>
    <w:rsid w:val="001A52F5"/>
    <w:rsid w:val="001B58B5"/>
    <w:rsid w:val="001F3F6C"/>
    <w:rsid w:val="002B4E30"/>
    <w:rsid w:val="002D55E8"/>
    <w:rsid w:val="003C65A6"/>
    <w:rsid w:val="004F3210"/>
    <w:rsid w:val="00680F1B"/>
    <w:rsid w:val="006A2DB5"/>
    <w:rsid w:val="006A324F"/>
    <w:rsid w:val="00741C79"/>
    <w:rsid w:val="00792397"/>
    <w:rsid w:val="007F60E0"/>
    <w:rsid w:val="0082254F"/>
    <w:rsid w:val="00854E91"/>
    <w:rsid w:val="009E48BC"/>
    <w:rsid w:val="009F5B45"/>
    <w:rsid w:val="00A354D8"/>
    <w:rsid w:val="00A5704B"/>
    <w:rsid w:val="00A920FE"/>
    <w:rsid w:val="00B8148C"/>
    <w:rsid w:val="00C75DD5"/>
    <w:rsid w:val="00CA44F6"/>
    <w:rsid w:val="00E02273"/>
    <w:rsid w:val="00EA4CDF"/>
    <w:rsid w:val="00F840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B45"/>
    <w:pPr>
      <w:jc w:val="both"/>
    </w:pPr>
    <w:rPr>
      <w:rFonts w:eastAsia="仿宋" w:cs="仿宋_GB2312"/>
      <w:b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F5B45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eastAsiaTheme="minorEastAsia" w:cstheme="minorBidi"/>
      <w:b w:val="0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F5B45"/>
    <w:rPr>
      <w:sz w:val="18"/>
      <w:szCs w:val="18"/>
    </w:rPr>
  </w:style>
  <w:style w:type="paragraph" w:styleId="a4">
    <w:name w:val="footer"/>
    <w:basedOn w:val="a"/>
    <w:link w:val="Char0"/>
    <w:unhideWhenUsed/>
    <w:qFormat/>
    <w:rsid w:val="009F5B45"/>
    <w:pPr>
      <w:widowControl w:val="0"/>
      <w:tabs>
        <w:tab w:val="center" w:pos="4153"/>
        <w:tab w:val="right" w:pos="8306"/>
      </w:tabs>
      <w:snapToGrid w:val="0"/>
      <w:jc w:val="left"/>
    </w:pPr>
    <w:rPr>
      <w:rFonts w:eastAsiaTheme="minorEastAsia" w:cstheme="minorBidi"/>
      <w:b w:val="0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F5B45"/>
    <w:rPr>
      <w:sz w:val="18"/>
      <w:szCs w:val="18"/>
    </w:rPr>
  </w:style>
  <w:style w:type="paragraph" w:styleId="a5">
    <w:name w:val="Normal (Web)"/>
    <w:basedOn w:val="a"/>
    <w:rsid w:val="009F5B45"/>
    <w:pPr>
      <w:spacing w:beforeAutospacing="1" w:afterAutospacing="1"/>
      <w:jc w:val="left"/>
    </w:pPr>
    <w:rPr>
      <w:rFonts w:cs="Times New Roman"/>
      <w:sz w:val="24"/>
    </w:rPr>
  </w:style>
  <w:style w:type="paragraph" w:customStyle="1" w:styleId="Normal0">
    <w:name w:val="Normal_0"/>
    <w:qFormat/>
    <w:rsid w:val="009F5B45"/>
    <w:pPr>
      <w:spacing w:before="120" w:after="240"/>
      <w:jc w:val="both"/>
    </w:pPr>
    <w:rPr>
      <w:kern w:val="0"/>
      <w:sz w:val="22"/>
      <w:lang w:eastAsia="en-US"/>
    </w:rPr>
  </w:style>
  <w:style w:type="paragraph" w:customStyle="1" w:styleId="Normal18">
    <w:name w:val="Normal_18"/>
    <w:qFormat/>
    <w:rsid w:val="009F5B45"/>
    <w:pPr>
      <w:spacing w:before="120" w:after="240"/>
      <w:jc w:val="both"/>
    </w:pPr>
    <w:rPr>
      <w:kern w:val="0"/>
      <w:sz w:val="22"/>
      <w:lang w:eastAsia="en-US"/>
    </w:rPr>
  </w:style>
  <w:style w:type="paragraph" w:customStyle="1" w:styleId="Normal12">
    <w:name w:val="Normal_12"/>
    <w:qFormat/>
    <w:rsid w:val="009F5B45"/>
    <w:pPr>
      <w:spacing w:before="120" w:after="240"/>
      <w:jc w:val="both"/>
    </w:pPr>
    <w:rPr>
      <w:kern w:val="0"/>
      <w:sz w:val="22"/>
      <w:lang w:eastAsia="en-US"/>
    </w:rPr>
  </w:style>
  <w:style w:type="character" w:styleId="a6">
    <w:name w:val="Hyperlink"/>
    <w:basedOn w:val="a0"/>
    <w:unhideWhenUsed/>
    <w:rsid w:val="00792397"/>
    <w:rPr>
      <w:color w:val="3A3A3A"/>
      <w:u w:val="none"/>
    </w:rPr>
  </w:style>
  <w:style w:type="paragraph" w:customStyle="1" w:styleId="ql-lineheight-200">
    <w:name w:val="ql-lineheight-200"/>
    <w:basedOn w:val="a"/>
    <w:rsid w:val="00A5704B"/>
    <w:pPr>
      <w:spacing w:before="100" w:beforeAutospacing="1" w:after="100" w:afterAutospacing="1"/>
      <w:jc w:val="left"/>
    </w:pPr>
    <w:rPr>
      <w:rFonts w:ascii="宋体" w:eastAsia="宋体" w:hAnsi="宋体" w:cs="宋体"/>
      <w:b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7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247</Words>
  <Characters>1413</Characters>
  <Application>Microsoft Office Word</Application>
  <DocSecurity>0</DocSecurity>
  <Lines>11</Lines>
  <Paragraphs>3</Paragraphs>
  <ScaleCrop>false</ScaleCrop>
  <Company>user</Company>
  <LinksUpToDate>false</LinksUpToDate>
  <CharactersWithSpaces>1657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顾小燕</dc:creator>
  <cp:lastModifiedBy>顾小燕</cp:lastModifiedBy>
  <cp:revision>15</cp:revision>
  <dcterms:created xsi:type="dcterms:W3CDTF">2022-04-06T10:21:00Z</dcterms:created>
  <dcterms:modified xsi:type="dcterms:W3CDTF">2023-03-20T02:26:00Z</dcterms:modified>
</cp:coreProperties>
</file>