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进口冷链食品集中监管仓经费</w:t>
      </w:r>
      <w:r>
        <w:rPr>
          <w:rFonts w:hint="eastAsia" w:ascii="方正小标宋简体" w:hAnsi="方正小标宋简体" w:eastAsia="方正小标宋简体" w:cs="方正小标宋简体"/>
          <w:color w:val="000000"/>
          <w:sz w:val="44"/>
          <w:lang w:val="en-US" w:eastAsia="zh-CN"/>
        </w:rPr>
        <w:t>和</w:t>
      </w:r>
      <w:r>
        <w:rPr>
          <w:rFonts w:hint="eastAsia" w:ascii="方正小标宋简体" w:hAnsi="方正小标宋简体" w:eastAsia="方正小标宋简体" w:cs="方正小标宋简体"/>
          <w:color w:val="000000"/>
          <w:sz w:val="44"/>
          <w:lang w:eastAsia="zh-CN"/>
        </w:rPr>
        <w:t>进口冷链食品集中监管仓</w:t>
      </w:r>
      <w:r>
        <w:rPr>
          <w:rFonts w:hint="eastAsia" w:ascii="方正小标宋简体" w:hAnsi="方正小标宋简体" w:eastAsia="方正小标宋简体" w:cs="方正小标宋简体"/>
          <w:color w:val="000000"/>
          <w:sz w:val="44"/>
          <w:lang w:val="en-US" w:eastAsia="zh-CN"/>
        </w:rPr>
        <w:t>运行</w:t>
      </w:r>
      <w:r>
        <w:rPr>
          <w:rFonts w:hint="eastAsia" w:ascii="方正小标宋简体" w:hAnsi="方正小标宋简体" w:eastAsia="方正小标宋简体" w:cs="方正小标宋简体"/>
          <w:color w:val="000000"/>
          <w:sz w:val="44"/>
          <w:lang w:eastAsia="zh-CN"/>
        </w:rPr>
        <w:t>经费绩效评价报告</w:t>
      </w:r>
    </w:p>
    <w:p>
      <w:pPr>
        <w:pStyle w:val="10"/>
        <w:widowControl w:val="0"/>
        <w:spacing w:before="0" w:after="0" w:line="400" w:lineRule="exact"/>
        <w:ind w:firstLine="643" w:firstLineChars="200"/>
        <w:rPr>
          <w:rFonts w:ascii="仿宋" w:hAnsi="仿宋" w:eastAsia="仿宋" w:cs="仿宋_GB2312"/>
          <w:b/>
          <w:color w:val="000000"/>
          <w:sz w:val="32"/>
          <w:szCs w:val="32"/>
          <w:lang w:eastAsia="zh-CN"/>
        </w:rPr>
      </w:pPr>
    </w:p>
    <w:p>
      <w:pPr>
        <w:pStyle w:val="10"/>
        <w:widowControl w:val="0"/>
        <w:spacing w:before="0" w:after="0" w:line="400" w:lineRule="exact"/>
        <w:ind w:firstLine="643" w:firstLineChars="200"/>
        <w:rPr>
          <w:rFonts w:ascii="仿宋" w:hAnsi="仿宋" w:eastAsia="仿宋" w:cs="仿宋_GB2312"/>
          <w:b/>
          <w:color w:val="000000"/>
          <w:sz w:val="32"/>
          <w:szCs w:val="32"/>
          <w:lang w:eastAsia="zh-CN"/>
        </w:rPr>
      </w:pPr>
      <w:r>
        <w:rPr>
          <w:rFonts w:hint="eastAsia" w:ascii="仿宋" w:hAnsi="仿宋" w:eastAsia="仿宋" w:cs="仿宋_GB2312"/>
          <w:b/>
          <w:color w:val="000000"/>
          <w:sz w:val="32"/>
          <w:szCs w:val="32"/>
          <w:lang w:eastAsia="zh-CN"/>
        </w:rPr>
        <w:t>一、项目情况</w:t>
      </w:r>
    </w:p>
    <w:p>
      <w:pPr>
        <w:pStyle w:val="10"/>
        <w:widowControl w:val="0"/>
        <w:spacing w:before="0" w:after="0" w:line="400" w:lineRule="exact"/>
        <w:ind w:firstLine="627" w:firstLineChars="200"/>
        <w:rPr>
          <w:rFonts w:ascii="仿宋" w:hAnsi="仿宋" w:eastAsia="仿宋" w:cs="仿宋_GB2312"/>
          <w:color w:val="000000"/>
          <w:sz w:val="32"/>
          <w:szCs w:val="32"/>
          <w:lang w:eastAsia="zh-CN"/>
        </w:rPr>
      </w:pPr>
      <w:r>
        <w:rPr>
          <w:rFonts w:hint="eastAsia" w:ascii="仿宋" w:hAnsi="仿宋" w:eastAsia="仿宋" w:cs="仿宋_GB2312"/>
          <w:b/>
          <w:color w:val="000000"/>
          <w:spacing w:val="-4"/>
          <w:sz w:val="32"/>
          <w:szCs w:val="32"/>
          <w:lang w:eastAsia="zh-CN"/>
        </w:rPr>
        <w:t>（一）项目概况</w:t>
      </w:r>
      <w:r>
        <w:rPr>
          <w:rFonts w:hint="eastAsia" w:ascii="仿宋" w:hAnsi="仿宋" w:eastAsia="仿宋" w:cs="仿宋_GB2312"/>
          <w:color w:val="000000"/>
          <w:spacing w:val="-4"/>
          <w:sz w:val="32"/>
          <w:szCs w:val="32"/>
          <w:lang w:eastAsia="zh-CN"/>
        </w:rPr>
        <w:t>。</w:t>
      </w:r>
    </w:p>
    <w:p>
      <w:pPr>
        <w:pStyle w:val="10"/>
        <w:widowControl w:val="0"/>
        <w:spacing w:before="0" w:after="0" w:line="400" w:lineRule="exact"/>
        <w:ind w:firstLine="643" w:firstLineChars="200"/>
        <w:rPr>
          <w:rFonts w:ascii="仿宋" w:hAnsi="仿宋" w:eastAsia="仿宋" w:cs="仿宋_GB2312"/>
          <w:color w:val="000000"/>
          <w:sz w:val="32"/>
          <w:szCs w:val="32"/>
          <w:lang w:eastAsia="zh-CN"/>
        </w:rPr>
      </w:pPr>
      <w:r>
        <w:rPr>
          <w:rFonts w:hint="eastAsia" w:ascii="仿宋" w:hAnsi="仿宋" w:eastAsia="仿宋" w:cs="仿宋_GB2312"/>
          <w:b/>
          <w:color w:val="000000"/>
          <w:sz w:val="32"/>
          <w:szCs w:val="32"/>
          <w:lang w:eastAsia="zh-CN"/>
        </w:rPr>
        <w:t>项目背景：</w:t>
      </w:r>
      <w:r>
        <w:rPr>
          <w:rFonts w:hint="eastAsia" w:ascii="仿宋" w:hAnsi="仿宋" w:eastAsia="仿宋" w:cs="仿宋"/>
          <w:snapToGrid w:val="0"/>
          <w:sz w:val="32"/>
          <w:szCs w:val="32"/>
          <w:lang w:eastAsia="zh-CN"/>
        </w:rPr>
        <w:t>为进一步落实国务院联防联控机制关于冷链食品疫情防控工作的要求，严格落实进口冷链食品新冠病毒核酸检测和全面消毒防控措施，防范进口冷链食品新冠病毒污染风险，有效保障进口冷链食品安全，根据南通市新冠肺炎疫情防控指挥部办公室《关于印发&lt;南通市进口冷链食品集中监管工作方案&gt;的通知》（通肺炎防控办[2020]70号）和如皋市新冠肺炎疫情防控指挥部办公室《关于印发&lt;如皋市进口冷链食品集中监管工作方案&gt;的通知》（皋肺炎防控办[2020]166号）的文件精神，</w:t>
      </w:r>
      <w:r>
        <w:rPr>
          <w:rFonts w:hint="eastAsia" w:ascii="仿宋" w:hAnsi="仿宋" w:eastAsia="仿宋" w:cs="仿宋_GB2312"/>
          <w:color w:val="000000"/>
          <w:sz w:val="32"/>
          <w:szCs w:val="32"/>
          <w:lang w:eastAsia="zh-CN"/>
        </w:rPr>
        <w:t>我市在如城街道福寿东路6号江苏皋德食材有限公司食材冷链食品物流配送中心设立进口冷链食品集中监管仓，对进入我市储存、加工、销售的进口冷链食品实行集中统一监管。</w:t>
      </w:r>
    </w:p>
    <w:p>
      <w:pPr>
        <w:pStyle w:val="10"/>
        <w:widowControl w:val="0"/>
        <w:spacing w:before="0" w:after="0" w:line="400" w:lineRule="exact"/>
        <w:ind w:firstLine="643" w:firstLineChars="200"/>
        <w:rPr>
          <w:rFonts w:ascii="仿宋" w:hAnsi="仿宋" w:eastAsia="仿宋" w:cs="仿宋"/>
          <w:snapToGrid w:val="0"/>
          <w:sz w:val="32"/>
          <w:szCs w:val="32"/>
          <w:lang w:eastAsia="zh-CN"/>
        </w:rPr>
      </w:pPr>
      <w:r>
        <w:rPr>
          <w:rFonts w:hint="eastAsia" w:ascii="仿宋" w:hAnsi="仿宋" w:eastAsia="仿宋" w:cs="仿宋_GB2312"/>
          <w:b/>
          <w:color w:val="000000"/>
          <w:sz w:val="32"/>
          <w:szCs w:val="32"/>
          <w:lang w:eastAsia="zh-CN"/>
        </w:rPr>
        <w:t>项目主要内容：</w:t>
      </w:r>
      <w:r>
        <w:rPr>
          <w:rFonts w:hint="eastAsia" w:ascii="仿宋" w:hAnsi="仿宋" w:eastAsia="仿宋" w:cs="仿宋_GB2312"/>
          <w:color w:val="000000"/>
          <w:sz w:val="32"/>
          <w:szCs w:val="32"/>
          <w:lang w:eastAsia="zh-CN"/>
        </w:rPr>
        <w:t>冷库租赁费、临时设施租赁费、力资费、消毒费、核酸检测费、封闭管理费、低温消毒剂费用、缠绕膜费用、厢式房提升改造费用。</w:t>
      </w:r>
    </w:p>
    <w:p>
      <w:pPr>
        <w:pStyle w:val="10"/>
        <w:widowControl w:val="0"/>
        <w:spacing w:before="0" w:after="0" w:line="400" w:lineRule="exact"/>
        <w:ind w:firstLine="643" w:firstLineChars="200"/>
        <w:rPr>
          <w:rFonts w:ascii="仿宋" w:hAnsi="仿宋" w:eastAsia="仿宋" w:cs="仿宋"/>
          <w:sz w:val="32"/>
          <w:szCs w:val="32"/>
          <w:lang w:eastAsia="zh-CN"/>
        </w:rPr>
      </w:pPr>
      <w:r>
        <w:rPr>
          <w:rFonts w:hint="eastAsia" w:ascii="仿宋" w:hAnsi="仿宋" w:eastAsia="仿宋" w:cs="仿宋"/>
          <w:b/>
          <w:sz w:val="32"/>
          <w:szCs w:val="32"/>
          <w:lang w:eastAsia="zh-CN"/>
        </w:rPr>
        <w:t>实施方式：</w:t>
      </w:r>
      <w:r>
        <w:rPr>
          <w:rFonts w:hint="eastAsia" w:ascii="仿宋" w:hAnsi="仿宋" w:eastAsia="仿宋" w:cs="仿宋"/>
          <w:sz w:val="32"/>
          <w:szCs w:val="32"/>
          <w:lang w:eastAsia="zh-CN"/>
        </w:rPr>
        <w:t>集中监管仓以政府购买服务的方式由第三方专业机构进行运营管理、核酸检测以及预防性消杀。</w:t>
      </w:r>
    </w:p>
    <w:p>
      <w:pPr>
        <w:pStyle w:val="10"/>
        <w:widowControl w:val="0"/>
        <w:spacing w:before="0" w:after="0" w:line="400" w:lineRule="exact"/>
        <w:ind w:firstLine="643" w:firstLineChars="200"/>
        <w:rPr>
          <w:rFonts w:ascii="仿宋" w:hAnsi="仿宋" w:eastAsia="仿宋" w:cs="仿宋"/>
          <w:sz w:val="32"/>
          <w:szCs w:val="32"/>
          <w:lang w:eastAsia="zh-CN"/>
        </w:rPr>
      </w:pPr>
      <w:r>
        <w:rPr>
          <w:rFonts w:hint="eastAsia" w:ascii="仿宋" w:hAnsi="仿宋" w:eastAsia="仿宋" w:cs="仿宋"/>
          <w:b/>
          <w:sz w:val="32"/>
          <w:szCs w:val="32"/>
          <w:lang w:eastAsia="zh-CN"/>
        </w:rPr>
        <w:t>资金投入情况：</w:t>
      </w:r>
      <w:r>
        <w:rPr>
          <w:rFonts w:hint="eastAsia" w:ascii="仿宋" w:hAnsi="仿宋" w:eastAsia="仿宋" w:cs="仿宋"/>
          <w:sz w:val="32"/>
          <w:szCs w:val="32"/>
          <w:lang w:eastAsia="zh-CN"/>
        </w:rPr>
        <w:t>2022年度，市级财政安排进口冷链食品集中监管仓运行经费预算6456983.62元，用于集中监管仓的日常运行。</w:t>
      </w:r>
    </w:p>
    <w:p>
      <w:pPr>
        <w:pStyle w:val="10"/>
        <w:widowControl w:val="0"/>
        <w:spacing w:before="0" w:after="0" w:line="400" w:lineRule="exact"/>
        <w:ind w:firstLine="643" w:firstLineChars="200"/>
        <w:rPr>
          <w:rFonts w:ascii="仿宋" w:hAnsi="仿宋" w:eastAsia="仿宋" w:cs="仿宋"/>
          <w:sz w:val="32"/>
          <w:szCs w:val="32"/>
          <w:lang w:eastAsia="zh-CN"/>
        </w:rPr>
      </w:pPr>
      <w:r>
        <w:rPr>
          <w:rFonts w:hint="eastAsia" w:ascii="仿宋" w:hAnsi="仿宋" w:eastAsia="仿宋" w:cs="仿宋"/>
          <w:b/>
          <w:sz w:val="32"/>
          <w:szCs w:val="32"/>
          <w:lang w:eastAsia="zh-CN"/>
        </w:rPr>
        <w:t>资金使用情况：</w:t>
      </w:r>
      <w:r>
        <w:rPr>
          <w:rFonts w:hint="eastAsia" w:ascii="仿宋" w:hAnsi="仿宋" w:eastAsia="仿宋" w:cs="仿宋"/>
          <w:sz w:val="32"/>
          <w:szCs w:val="32"/>
          <w:lang w:eastAsia="zh-CN"/>
        </w:rPr>
        <w:t>冷库租赁费支出2632756.13元，临时设施租赁费支出201774.19元，力资费支出1090614.2元，消杀费支出432093.33元，核酸检测费支出630310.87元，封闭管理费用支出559004.9元，低温消毒剂费用支出192700元，缠绕膜费用支出28320元，厢式房提升改造项目支出689410元。</w:t>
      </w:r>
    </w:p>
    <w:p>
      <w:pPr>
        <w:pStyle w:val="10"/>
        <w:widowControl w:val="0"/>
        <w:spacing w:before="0" w:after="0" w:line="400" w:lineRule="exact"/>
        <w:ind w:firstLine="643" w:firstLineChars="200"/>
        <w:rPr>
          <w:rFonts w:ascii="仿宋" w:hAnsi="仿宋" w:eastAsia="仿宋" w:cs="仿宋_GB2312"/>
          <w:b/>
          <w:color w:val="000000"/>
          <w:sz w:val="32"/>
          <w:szCs w:val="32"/>
          <w:lang w:eastAsia="zh-CN"/>
        </w:rPr>
      </w:pPr>
      <w:r>
        <w:rPr>
          <w:rFonts w:hint="eastAsia" w:ascii="仿宋" w:hAnsi="仿宋" w:eastAsia="仿宋" w:cs="仿宋_GB2312"/>
          <w:b/>
          <w:color w:val="000000"/>
          <w:sz w:val="32"/>
          <w:szCs w:val="32"/>
          <w:lang w:eastAsia="zh-CN"/>
        </w:rPr>
        <w:t>（二）绩效目标。</w:t>
      </w:r>
    </w:p>
    <w:p>
      <w:pPr>
        <w:pStyle w:val="10"/>
        <w:widowControl w:val="0"/>
        <w:spacing w:before="0" w:after="0" w:line="400" w:lineRule="exact"/>
        <w:ind w:firstLine="640" w:firstLineChars="200"/>
        <w:rPr>
          <w:rFonts w:ascii="仿宋" w:hAnsi="仿宋" w:eastAsia="仿宋" w:cs="仿宋_GB2312"/>
          <w:color w:val="000000"/>
          <w:sz w:val="32"/>
          <w:szCs w:val="32"/>
          <w:lang w:eastAsia="zh-CN"/>
        </w:rPr>
      </w:pPr>
      <w:r>
        <w:rPr>
          <w:rFonts w:hint="eastAsia" w:ascii="仿宋" w:hAnsi="仿宋" w:eastAsia="仿宋" w:cs="仿宋_GB2312"/>
          <w:color w:val="000000"/>
          <w:sz w:val="32"/>
          <w:szCs w:val="32"/>
          <w:lang w:eastAsia="zh-CN"/>
        </w:rPr>
        <w:t>项目总体目标：切实加强进口冷链食品疫情防控工作部署，落实好各方防控主体责任，防范进口冷链食品新冠病毒污染风险，有效保障进口冷链食品安全。</w:t>
      </w:r>
    </w:p>
    <w:p>
      <w:pPr>
        <w:pStyle w:val="10"/>
        <w:widowControl w:val="0"/>
        <w:spacing w:before="0" w:after="0" w:line="400" w:lineRule="exact"/>
        <w:ind w:firstLine="640" w:firstLineChars="200"/>
        <w:rPr>
          <w:rFonts w:ascii="仿宋" w:hAnsi="仿宋" w:eastAsia="仿宋" w:cs="仿宋_GB2312"/>
          <w:color w:val="000000"/>
          <w:sz w:val="32"/>
          <w:szCs w:val="32"/>
          <w:lang w:eastAsia="zh-CN"/>
        </w:rPr>
      </w:pPr>
      <w:r>
        <w:rPr>
          <w:rFonts w:hint="eastAsia" w:ascii="仿宋" w:hAnsi="仿宋" w:eastAsia="仿宋" w:cs="仿宋_GB2312"/>
          <w:color w:val="000000"/>
          <w:sz w:val="32"/>
          <w:szCs w:val="32"/>
          <w:lang w:eastAsia="zh-CN"/>
        </w:rPr>
        <w:t>项目年度目标：对于进入如皋市市场储存、加工、销售的进口冷链食品，按照核酸全检测、外包装全消杀的集中监管要求，采取针对性防控措施，最大程度防控和阻断疫情通过进口冷链食品传播。</w:t>
      </w:r>
    </w:p>
    <w:p>
      <w:pPr>
        <w:pStyle w:val="10"/>
        <w:widowControl w:val="0"/>
        <w:spacing w:before="0" w:after="0" w:line="400" w:lineRule="exact"/>
        <w:ind w:firstLine="643" w:firstLineChars="200"/>
        <w:rPr>
          <w:rFonts w:ascii="仿宋" w:hAnsi="仿宋" w:eastAsia="仿宋" w:cs="仿宋_GB2312"/>
          <w:b/>
          <w:color w:val="000000"/>
          <w:sz w:val="32"/>
          <w:szCs w:val="32"/>
          <w:lang w:eastAsia="zh-CN"/>
        </w:rPr>
      </w:pPr>
      <w:r>
        <w:rPr>
          <w:rFonts w:hint="eastAsia" w:ascii="仿宋" w:hAnsi="仿宋" w:eastAsia="仿宋" w:cs="仿宋_GB2312"/>
          <w:b/>
          <w:color w:val="000000"/>
          <w:sz w:val="32"/>
          <w:szCs w:val="32"/>
          <w:lang w:eastAsia="zh-CN"/>
        </w:rPr>
        <w:t>二、评价情况</w:t>
      </w:r>
    </w:p>
    <w:p>
      <w:pPr>
        <w:pStyle w:val="10"/>
        <w:widowControl w:val="0"/>
        <w:spacing w:before="0" w:after="0" w:line="400" w:lineRule="exact"/>
        <w:ind w:firstLine="624" w:firstLineChars="200"/>
        <w:rPr>
          <w:rFonts w:ascii="仿宋" w:hAnsi="仿宋" w:eastAsia="仿宋" w:cs="仿宋_GB2312"/>
          <w:color w:val="000000"/>
          <w:sz w:val="32"/>
          <w:szCs w:val="32"/>
          <w:lang w:eastAsia="zh-CN"/>
        </w:rPr>
      </w:pPr>
      <w:r>
        <w:rPr>
          <w:rFonts w:hint="eastAsia" w:ascii="仿宋" w:hAnsi="仿宋" w:eastAsia="仿宋" w:cs="仿宋_GB2312"/>
          <w:color w:val="000000"/>
          <w:spacing w:val="-4"/>
          <w:sz w:val="32"/>
          <w:szCs w:val="32"/>
          <w:lang w:eastAsia="zh-CN"/>
        </w:rPr>
        <w:t>（一）项目特点分析。</w:t>
      </w:r>
      <w:r>
        <w:rPr>
          <w:rFonts w:hint="eastAsia" w:ascii="仿宋" w:hAnsi="仿宋" w:eastAsia="仿宋" w:cs="仿宋_GB2312"/>
          <w:color w:val="000000"/>
          <w:sz w:val="32"/>
          <w:szCs w:val="32"/>
          <w:lang w:eastAsia="zh-CN"/>
        </w:rPr>
        <w:t>为进一步落实国务院联防联控机制关于冷链食品疫情防控工作的要求，严格落实进口冷链食品新冠病毒核酸检测和全面消毒防控措施，防范进口冷链食品新冠病毒污染风险，有效保障进口冷链食品安全，我市设立进口冷链食品集中监管仓，对进入如皋市市场储存、加工、销售的进口冷链食品，按照核酸全检测、外包装全消杀的管理要求，采取针对性防控措施，最大程度防控和阻断疫情通过进口冷链食品传播。</w:t>
      </w:r>
    </w:p>
    <w:p>
      <w:pPr>
        <w:widowControl w:val="0"/>
        <w:spacing w:line="400" w:lineRule="exact"/>
        <w:ind w:firstLine="627" w:firstLineChars="200"/>
        <w:rPr>
          <w:rFonts w:ascii="仿宋" w:hAnsi="仿宋"/>
          <w:color w:val="000000"/>
          <w:spacing w:val="-4"/>
          <w:sz w:val="32"/>
          <w:szCs w:val="32"/>
        </w:rPr>
      </w:pPr>
      <w:r>
        <w:rPr>
          <w:rFonts w:hint="eastAsia" w:ascii="仿宋" w:hAnsi="仿宋"/>
          <w:color w:val="000000"/>
          <w:spacing w:val="-4"/>
          <w:sz w:val="32"/>
          <w:szCs w:val="32"/>
        </w:rPr>
        <w:t>（二）评价思路方法。</w:t>
      </w:r>
    </w:p>
    <w:p>
      <w:pPr>
        <w:widowControl w:val="0"/>
        <w:spacing w:line="40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本次评价项目主要围绕项目决策、过程管理、产出效果和社会效益等方面开展，综合评价资金使用绩效。主要采取比较法，通过对绩效目标和实施效果比较，指标制定上定量与定性相结合，优先定量，综合分析绩效目标实现程度。</w:t>
      </w:r>
    </w:p>
    <w:p>
      <w:pPr>
        <w:pStyle w:val="10"/>
        <w:widowControl w:val="0"/>
        <w:spacing w:before="0" w:after="0" w:line="400" w:lineRule="exact"/>
        <w:ind w:firstLine="627" w:firstLineChars="200"/>
        <w:rPr>
          <w:rFonts w:ascii="仿宋" w:hAnsi="仿宋" w:eastAsia="仿宋" w:cs="仿宋_GB2312"/>
          <w:b/>
          <w:color w:val="000000"/>
          <w:sz w:val="32"/>
          <w:szCs w:val="32"/>
          <w:lang w:eastAsia="zh-CN"/>
        </w:rPr>
      </w:pPr>
      <w:r>
        <w:rPr>
          <w:rFonts w:hint="eastAsia" w:ascii="仿宋" w:hAnsi="仿宋" w:eastAsia="仿宋" w:cs="仿宋_GB2312"/>
          <w:b/>
          <w:color w:val="000000"/>
          <w:spacing w:val="-4"/>
          <w:sz w:val="32"/>
          <w:szCs w:val="32"/>
          <w:lang w:eastAsia="zh-CN"/>
        </w:rPr>
        <w:t>（三）评价工作情况。</w:t>
      </w:r>
    </w:p>
    <w:p>
      <w:pPr>
        <w:widowControl w:val="0"/>
        <w:spacing w:line="400" w:lineRule="exact"/>
        <w:ind w:firstLine="705" w:firstLineChars="250"/>
        <w:rPr>
          <w:rFonts w:ascii="仿宋" w:hAnsi="仿宋"/>
          <w:b w:val="0"/>
          <w:color w:val="000000"/>
          <w:spacing w:val="-19"/>
          <w:sz w:val="32"/>
          <w:szCs w:val="32"/>
        </w:rPr>
      </w:pPr>
      <w:r>
        <w:rPr>
          <w:rFonts w:hint="eastAsia" w:ascii="仿宋" w:hAnsi="仿宋"/>
          <w:b w:val="0"/>
          <w:color w:val="000000"/>
          <w:spacing w:val="-19"/>
          <w:sz w:val="32"/>
          <w:szCs w:val="32"/>
        </w:rPr>
        <w:t>1、资金到位和执行情况分析。预算资金6456983.62元，执行资金</w:t>
      </w:r>
      <w:r>
        <w:rPr>
          <w:rFonts w:hint="eastAsia" w:ascii="仿宋" w:hAnsi="仿宋"/>
          <w:b w:val="0"/>
          <w:color w:val="000000"/>
          <w:sz w:val="32"/>
          <w:szCs w:val="32"/>
        </w:rPr>
        <w:t>6456983.62</w:t>
      </w:r>
      <w:r>
        <w:rPr>
          <w:rFonts w:hint="eastAsia" w:ascii="仿宋_GB2312" w:hAnsi="仿宋_GB2312" w:eastAsia="仿宋_GB2312"/>
          <w:b w:val="0"/>
          <w:color w:val="000000"/>
          <w:spacing w:val="-4"/>
          <w:sz w:val="32"/>
          <w:szCs w:val="32"/>
        </w:rPr>
        <w:t>元</w:t>
      </w:r>
      <w:r>
        <w:rPr>
          <w:rFonts w:hint="eastAsia" w:ascii="仿宋" w:hAnsi="仿宋"/>
          <w:b w:val="0"/>
          <w:color w:val="000000"/>
          <w:spacing w:val="-19"/>
          <w:sz w:val="32"/>
          <w:szCs w:val="32"/>
        </w:rPr>
        <w:t>，执行率100%，预算执行进度与预期相符。</w:t>
      </w:r>
    </w:p>
    <w:p>
      <w:pPr>
        <w:widowControl w:val="0"/>
        <w:spacing w:line="400" w:lineRule="exact"/>
        <w:ind w:firstLine="705" w:firstLineChars="250"/>
        <w:rPr>
          <w:rFonts w:ascii="仿宋" w:hAnsi="仿宋"/>
          <w:b w:val="0"/>
          <w:color w:val="000000"/>
          <w:spacing w:val="-19"/>
          <w:sz w:val="32"/>
          <w:szCs w:val="32"/>
        </w:rPr>
      </w:pPr>
      <w:r>
        <w:rPr>
          <w:rFonts w:hint="eastAsia" w:ascii="仿宋" w:hAnsi="仿宋"/>
          <w:b w:val="0"/>
          <w:color w:val="000000"/>
          <w:spacing w:val="-19"/>
          <w:sz w:val="32"/>
          <w:szCs w:val="32"/>
        </w:rPr>
        <w:t>2、资金管理情况分析。资金使用符合规定用途，无违法违规使用问题。</w:t>
      </w:r>
    </w:p>
    <w:p>
      <w:pPr>
        <w:pStyle w:val="10"/>
        <w:widowControl w:val="0"/>
        <w:spacing w:before="0" w:after="0" w:line="400" w:lineRule="exact"/>
        <w:ind w:firstLine="482" w:firstLineChars="150"/>
        <w:rPr>
          <w:rFonts w:ascii="仿宋" w:hAnsi="仿宋" w:eastAsia="仿宋" w:cs="仿宋_GB2312"/>
          <w:b/>
          <w:color w:val="000000"/>
          <w:sz w:val="32"/>
          <w:szCs w:val="32"/>
          <w:lang w:eastAsia="zh-CN"/>
        </w:rPr>
      </w:pPr>
      <w:r>
        <w:rPr>
          <w:rFonts w:hint="eastAsia" w:ascii="仿宋" w:hAnsi="仿宋" w:eastAsia="仿宋" w:cs="仿宋_GB2312"/>
          <w:b/>
          <w:color w:val="000000"/>
          <w:sz w:val="32"/>
          <w:szCs w:val="32"/>
          <w:lang w:eastAsia="zh-CN"/>
        </w:rPr>
        <w:t>（四）绩效评价结论。</w:t>
      </w:r>
    </w:p>
    <w:p>
      <w:pPr>
        <w:pStyle w:val="10"/>
        <w:widowControl w:val="0"/>
        <w:spacing w:before="0" w:after="0" w:line="400" w:lineRule="exact"/>
        <w:ind w:firstLine="624" w:firstLineChars="200"/>
        <w:rPr>
          <w:rFonts w:ascii="仿宋_GB2312" w:hAnsi="仿宋_GB2312" w:eastAsia="仿宋_GB2312" w:cs="仿宋_GB2312"/>
          <w:color w:val="000000"/>
          <w:spacing w:val="-4"/>
          <w:sz w:val="32"/>
          <w:szCs w:val="32"/>
          <w:lang w:eastAsia="zh-CN"/>
        </w:rPr>
      </w:pPr>
      <w:r>
        <w:rPr>
          <w:rFonts w:ascii="仿宋_GB2312" w:hAnsi="仿宋_GB2312" w:eastAsia="仿宋_GB2312" w:cs="仿宋_GB2312"/>
          <w:color w:val="000000"/>
          <w:spacing w:val="-4"/>
          <w:sz w:val="32"/>
          <w:szCs w:val="32"/>
          <w:lang w:eastAsia="zh-CN"/>
        </w:rPr>
        <w:t>从资产管理、配置、效果等方面，对</w:t>
      </w:r>
      <w:r>
        <w:rPr>
          <w:rFonts w:hint="eastAsia" w:ascii="仿宋_GB2312" w:hAnsi="仿宋_GB2312" w:eastAsia="仿宋_GB2312" w:cs="仿宋_GB2312"/>
          <w:color w:val="000000"/>
          <w:spacing w:val="-4"/>
          <w:sz w:val="32"/>
          <w:szCs w:val="32"/>
          <w:lang w:eastAsia="zh-CN"/>
        </w:rPr>
        <w:t>集中监管仓运行工作进</w:t>
      </w:r>
      <w:r>
        <w:rPr>
          <w:rFonts w:ascii="仿宋_GB2312" w:hAnsi="仿宋_GB2312" w:eastAsia="仿宋_GB2312" w:cs="仿宋_GB2312"/>
          <w:color w:val="000000"/>
          <w:spacing w:val="-4"/>
          <w:sz w:val="32"/>
          <w:szCs w:val="32"/>
          <w:lang w:eastAsia="zh-CN"/>
        </w:rPr>
        <w:t>行绩效评价，综合评价得分</w:t>
      </w:r>
      <w:r>
        <w:rPr>
          <w:rFonts w:hint="eastAsia" w:ascii="仿宋_GB2312" w:hAnsi="仿宋_GB2312" w:eastAsia="仿宋_GB2312" w:cs="仿宋_GB2312"/>
          <w:color w:val="000000"/>
          <w:spacing w:val="-4"/>
          <w:sz w:val="32"/>
          <w:szCs w:val="32"/>
          <w:lang w:eastAsia="zh-CN"/>
        </w:rPr>
        <w:t>100</w:t>
      </w:r>
      <w:r>
        <w:rPr>
          <w:rFonts w:ascii="仿宋_GB2312" w:hAnsi="仿宋_GB2312" w:eastAsia="仿宋_GB2312" w:cs="仿宋_GB2312"/>
          <w:color w:val="000000"/>
          <w:spacing w:val="-4"/>
          <w:sz w:val="32"/>
          <w:szCs w:val="32"/>
          <w:lang w:eastAsia="zh-CN"/>
        </w:rPr>
        <w:t>分，评价结论“优秀”，</w:t>
      </w:r>
      <w:r>
        <w:rPr>
          <w:rFonts w:hint="eastAsia" w:ascii="仿宋_GB2312" w:hAnsi="仿宋_GB2312" w:eastAsia="仿宋_GB2312" w:cs="仿宋_GB2312"/>
          <w:color w:val="000000"/>
          <w:spacing w:val="-4"/>
          <w:sz w:val="32"/>
          <w:szCs w:val="32"/>
          <w:lang w:eastAsia="zh-CN"/>
        </w:rPr>
        <w:t>群众</w:t>
      </w:r>
      <w:r>
        <w:rPr>
          <w:rFonts w:ascii="仿宋_GB2312" w:hAnsi="仿宋_GB2312" w:eastAsia="仿宋_GB2312" w:cs="仿宋_GB2312"/>
          <w:color w:val="000000"/>
          <w:spacing w:val="-4"/>
          <w:sz w:val="32"/>
          <w:szCs w:val="32"/>
          <w:lang w:eastAsia="zh-CN"/>
        </w:rPr>
        <w:t>满意度≥9</w:t>
      </w:r>
      <w:r>
        <w:rPr>
          <w:rFonts w:hint="eastAsia" w:ascii="仿宋_GB2312" w:hAnsi="仿宋_GB2312" w:eastAsia="仿宋_GB2312" w:cs="仿宋_GB2312"/>
          <w:color w:val="000000"/>
          <w:spacing w:val="-4"/>
          <w:sz w:val="32"/>
          <w:szCs w:val="32"/>
          <w:lang w:eastAsia="zh-CN"/>
        </w:rPr>
        <w:t>6</w:t>
      </w:r>
      <w:r>
        <w:rPr>
          <w:rFonts w:ascii="仿宋_GB2312" w:hAnsi="仿宋_GB2312" w:eastAsia="仿宋_GB2312" w:cs="仿宋_GB2312"/>
          <w:color w:val="000000"/>
          <w:spacing w:val="-4"/>
          <w:sz w:val="32"/>
          <w:szCs w:val="32"/>
          <w:lang w:eastAsia="zh-CN"/>
        </w:rPr>
        <w:t>%</w:t>
      </w:r>
      <w:r>
        <w:rPr>
          <w:rFonts w:hint="eastAsia" w:ascii="仿宋_GB2312" w:hAnsi="仿宋_GB2312" w:eastAsia="仿宋_GB2312" w:cs="仿宋_GB2312"/>
          <w:color w:val="000000"/>
          <w:spacing w:val="-4"/>
          <w:sz w:val="32"/>
          <w:szCs w:val="32"/>
          <w:lang w:eastAsia="zh-CN"/>
        </w:rPr>
        <w:t>。</w:t>
      </w:r>
    </w:p>
    <w:p>
      <w:pPr>
        <w:pStyle w:val="10"/>
        <w:widowControl w:val="0"/>
        <w:spacing w:before="0" w:after="0" w:line="400" w:lineRule="exact"/>
        <w:ind w:firstLine="708" w:firstLineChars="250"/>
        <w:rPr>
          <w:rFonts w:ascii="仿宋" w:hAnsi="仿宋" w:eastAsia="仿宋" w:cs="仿宋_GB2312"/>
          <w:color w:val="000000"/>
          <w:spacing w:val="-7"/>
          <w:sz w:val="32"/>
          <w:szCs w:val="32"/>
          <w:lang w:eastAsia="zh-CN"/>
        </w:rPr>
      </w:pPr>
      <w:r>
        <w:rPr>
          <w:rFonts w:hint="eastAsia" w:ascii="仿宋" w:hAnsi="仿宋" w:eastAsia="仿宋" w:cs="仿宋_GB2312"/>
          <w:b/>
          <w:color w:val="000000"/>
          <w:spacing w:val="-19"/>
          <w:sz w:val="32"/>
          <w:szCs w:val="32"/>
          <w:lang w:eastAsia="zh-CN"/>
        </w:rPr>
        <w:t>三、项目绩效。</w:t>
      </w:r>
    </w:p>
    <w:p>
      <w:pPr>
        <w:widowControl w:val="0"/>
        <w:spacing w:line="400" w:lineRule="exact"/>
        <w:ind w:firstLine="643" w:firstLineChars="200"/>
        <w:rPr>
          <w:rFonts w:ascii="仿宋" w:hAnsi="仿宋" w:cs="仿宋"/>
          <w:sz w:val="32"/>
          <w:szCs w:val="32"/>
        </w:rPr>
      </w:pPr>
      <w:r>
        <w:rPr>
          <w:rFonts w:hint="eastAsia" w:ascii="仿宋" w:hAnsi="仿宋" w:cs="仿宋"/>
          <w:sz w:val="32"/>
          <w:szCs w:val="32"/>
        </w:rPr>
        <w:t>（一）项目过程情况</w:t>
      </w:r>
    </w:p>
    <w:p>
      <w:pPr>
        <w:widowControl w:val="0"/>
        <w:spacing w:line="400" w:lineRule="exact"/>
        <w:ind w:firstLine="640" w:firstLineChars="200"/>
        <w:rPr>
          <w:rFonts w:ascii="仿宋" w:hAnsi="仿宋" w:cs="仿宋"/>
          <w:b w:val="0"/>
          <w:sz w:val="32"/>
          <w:szCs w:val="32"/>
        </w:rPr>
      </w:pPr>
      <w:r>
        <w:rPr>
          <w:rFonts w:hint="eastAsia" w:ascii="仿宋" w:hAnsi="仿宋" w:cs="仿宋"/>
          <w:b w:val="0"/>
          <w:sz w:val="32"/>
          <w:szCs w:val="32"/>
        </w:rPr>
        <w:t>1、资金到位率。2022年度</w:t>
      </w:r>
      <w:r>
        <w:rPr>
          <w:rFonts w:hint="eastAsia" w:ascii="仿宋" w:hAnsi="仿宋"/>
          <w:b w:val="0"/>
          <w:color w:val="000000"/>
          <w:spacing w:val="-19"/>
          <w:sz w:val="32"/>
          <w:szCs w:val="32"/>
        </w:rPr>
        <w:t>进口冷链食品集中监管仓运行经费</w:t>
      </w:r>
      <w:r>
        <w:rPr>
          <w:rFonts w:hint="eastAsia" w:ascii="仿宋" w:hAnsi="仿宋" w:cs="仿宋"/>
          <w:b w:val="0"/>
          <w:sz w:val="32"/>
          <w:szCs w:val="32"/>
        </w:rPr>
        <w:t>预算</w:t>
      </w:r>
      <w:r>
        <w:rPr>
          <w:rFonts w:hint="eastAsia" w:ascii="仿宋" w:hAnsi="仿宋"/>
          <w:b w:val="0"/>
          <w:color w:val="000000"/>
          <w:spacing w:val="-19"/>
          <w:sz w:val="32"/>
          <w:szCs w:val="32"/>
        </w:rPr>
        <w:t>6456983.62</w:t>
      </w:r>
      <w:r>
        <w:rPr>
          <w:rFonts w:hint="eastAsia" w:ascii="仿宋" w:hAnsi="仿宋" w:cs="仿宋"/>
          <w:b w:val="0"/>
          <w:sz w:val="32"/>
          <w:szCs w:val="32"/>
        </w:rPr>
        <w:t>元，实际到位</w:t>
      </w:r>
      <w:r>
        <w:rPr>
          <w:rFonts w:hint="eastAsia" w:ascii="仿宋" w:hAnsi="仿宋"/>
          <w:b w:val="0"/>
          <w:color w:val="000000"/>
          <w:spacing w:val="-19"/>
          <w:sz w:val="32"/>
          <w:szCs w:val="32"/>
        </w:rPr>
        <w:t>6456983.62</w:t>
      </w:r>
      <w:r>
        <w:rPr>
          <w:rFonts w:hint="eastAsia" w:ascii="仿宋" w:hAnsi="仿宋" w:cs="仿宋"/>
          <w:b w:val="0"/>
          <w:sz w:val="32"/>
          <w:szCs w:val="32"/>
        </w:rPr>
        <w:t>元，资金到位率100%。</w:t>
      </w:r>
    </w:p>
    <w:p>
      <w:pPr>
        <w:widowControl w:val="0"/>
        <w:spacing w:line="400" w:lineRule="exact"/>
        <w:ind w:firstLine="640" w:firstLineChars="200"/>
        <w:rPr>
          <w:rFonts w:ascii="仿宋" w:hAnsi="仿宋" w:cs="仿宋"/>
          <w:b w:val="0"/>
          <w:sz w:val="32"/>
          <w:szCs w:val="32"/>
        </w:rPr>
      </w:pPr>
      <w:r>
        <w:rPr>
          <w:rFonts w:hint="eastAsia" w:ascii="仿宋" w:hAnsi="仿宋" w:cs="仿宋"/>
          <w:b w:val="0"/>
          <w:sz w:val="32"/>
          <w:szCs w:val="32"/>
        </w:rPr>
        <w:t>2、预算执行率。2022年度</w:t>
      </w:r>
      <w:r>
        <w:rPr>
          <w:rFonts w:hint="eastAsia" w:ascii="仿宋" w:hAnsi="仿宋"/>
          <w:b w:val="0"/>
          <w:color w:val="000000"/>
          <w:spacing w:val="-19"/>
          <w:sz w:val="32"/>
          <w:szCs w:val="32"/>
        </w:rPr>
        <w:t>进口冷链食品集中监管仓运行经费</w:t>
      </w:r>
      <w:r>
        <w:rPr>
          <w:rFonts w:hint="eastAsia" w:ascii="仿宋" w:hAnsi="仿宋" w:cs="仿宋"/>
          <w:b w:val="0"/>
          <w:sz w:val="32"/>
          <w:szCs w:val="32"/>
        </w:rPr>
        <w:t>预算</w:t>
      </w:r>
      <w:r>
        <w:rPr>
          <w:rFonts w:hint="eastAsia" w:ascii="仿宋" w:hAnsi="仿宋"/>
          <w:b w:val="0"/>
          <w:color w:val="000000"/>
          <w:spacing w:val="-19"/>
          <w:sz w:val="32"/>
          <w:szCs w:val="32"/>
        </w:rPr>
        <w:t>6456983.62</w:t>
      </w:r>
      <w:r>
        <w:rPr>
          <w:rFonts w:hint="eastAsia" w:ascii="仿宋" w:hAnsi="仿宋" w:cs="仿宋"/>
          <w:b w:val="0"/>
          <w:sz w:val="32"/>
          <w:szCs w:val="32"/>
        </w:rPr>
        <w:t>元，实际使用</w:t>
      </w:r>
      <w:r>
        <w:rPr>
          <w:rFonts w:hint="eastAsia" w:ascii="仿宋" w:hAnsi="仿宋"/>
          <w:b w:val="0"/>
          <w:color w:val="000000"/>
          <w:spacing w:val="-19"/>
          <w:sz w:val="32"/>
          <w:szCs w:val="32"/>
        </w:rPr>
        <w:t>6456983.62</w:t>
      </w:r>
      <w:r>
        <w:rPr>
          <w:rFonts w:hint="eastAsia" w:ascii="仿宋" w:hAnsi="仿宋" w:cs="仿宋"/>
          <w:b w:val="0"/>
          <w:sz w:val="32"/>
          <w:szCs w:val="32"/>
        </w:rPr>
        <w:t>元，预算执行率为100%。</w:t>
      </w:r>
    </w:p>
    <w:p>
      <w:pPr>
        <w:widowControl w:val="0"/>
        <w:spacing w:line="400" w:lineRule="exact"/>
        <w:ind w:firstLine="640" w:firstLineChars="200"/>
        <w:rPr>
          <w:rFonts w:ascii="仿宋" w:hAnsi="仿宋" w:cs="仿宋"/>
          <w:b w:val="0"/>
          <w:sz w:val="32"/>
          <w:szCs w:val="32"/>
        </w:rPr>
      </w:pPr>
      <w:r>
        <w:rPr>
          <w:rFonts w:hint="eastAsia" w:ascii="仿宋" w:hAnsi="仿宋" w:cs="仿宋"/>
          <w:b w:val="0"/>
          <w:sz w:val="32"/>
          <w:szCs w:val="32"/>
        </w:rPr>
        <w:t>3、资金使用合规性。该项资金在使用过程中符合国家财经法规和财务管理制度以及有关专项资金管理办法的规定，资金的拨付有完整的审批程序和手续，符合项目预算批复或合同规定的用途，不存在截留、挤占、挪用、虚列支出等情况。</w:t>
      </w:r>
    </w:p>
    <w:p>
      <w:pPr>
        <w:widowControl w:val="0"/>
        <w:spacing w:line="400" w:lineRule="exact"/>
        <w:ind w:firstLine="640" w:firstLineChars="200"/>
        <w:rPr>
          <w:rFonts w:ascii="仿宋" w:hAnsi="仿宋" w:cs="仿宋"/>
          <w:b w:val="0"/>
          <w:sz w:val="32"/>
          <w:szCs w:val="32"/>
        </w:rPr>
      </w:pPr>
      <w:r>
        <w:rPr>
          <w:rFonts w:hint="eastAsia" w:ascii="仿宋" w:hAnsi="仿宋" w:cs="仿宋"/>
          <w:b w:val="0"/>
          <w:sz w:val="32"/>
          <w:szCs w:val="32"/>
        </w:rPr>
        <w:t>4、管理制度健全性。该项目已建立基本的业务管理制度，业务管理制度合法、合规。执行中按照局财务管理制度要求，财务管理制度合法、合规、完整。</w:t>
      </w:r>
    </w:p>
    <w:p>
      <w:pPr>
        <w:widowControl w:val="0"/>
        <w:spacing w:line="400" w:lineRule="exact"/>
        <w:ind w:firstLine="640" w:firstLineChars="200"/>
        <w:rPr>
          <w:rFonts w:ascii="仿宋" w:hAnsi="仿宋" w:cs="仿宋"/>
          <w:b w:val="0"/>
          <w:sz w:val="32"/>
          <w:szCs w:val="32"/>
        </w:rPr>
      </w:pPr>
      <w:r>
        <w:rPr>
          <w:rFonts w:hint="eastAsia" w:ascii="仿宋" w:hAnsi="仿宋" w:cs="仿宋"/>
          <w:b w:val="0"/>
          <w:sz w:val="32"/>
          <w:szCs w:val="32"/>
        </w:rPr>
        <w:t>5、制度执行有效性。该项目遵守相关法律法规和相关管理规定，项目支出手续完备，相关台账资料齐全、归档到位，组织调度、协同推进等相关机制落实到位。</w:t>
      </w:r>
    </w:p>
    <w:p>
      <w:pPr>
        <w:widowControl w:val="0"/>
        <w:spacing w:line="400" w:lineRule="exact"/>
        <w:ind w:firstLine="643" w:firstLineChars="200"/>
        <w:rPr>
          <w:rFonts w:ascii="仿宋" w:hAnsi="仿宋" w:cs="仿宋"/>
          <w:sz w:val="32"/>
          <w:szCs w:val="32"/>
        </w:rPr>
      </w:pPr>
      <w:r>
        <w:rPr>
          <w:rFonts w:hint="eastAsia" w:ascii="仿宋" w:hAnsi="仿宋" w:cs="仿宋"/>
          <w:sz w:val="32"/>
          <w:szCs w:val="32"/>
        </w:rPr>
        <w:t>（二）项目产出情况</w:t>
      </w:r>
    </w:p>
    <w:p>
      <w:pPr>
        <w:widowControl w:val="0"/>
        <w:spacing w:line="400" w:lineRule="exact"/>
        <w:ind w:firstLine="640" w:firstLineChars="200"/>
        <w:rPr>
          <w:rFonts w:ascii="仿宋" w:hAnsi="仿宋" w:cs="仿宋"/>
          <w:b w:val="0"/>
          <w:sz w:val="32"/>
          <w:szCs w:val="32"/>
        </w:rPr>
      </w:pPr>
      <w:r>
        <w:rPr>
          <w:rFonts w:hint="eastAsia" w:ascii="仿宋" w:hAnsi="仿宋" w:cs="仿宋"/>
          <w:b w:val="0"/>
          <w:sz w:val="32"/>
          <w:szCs w:val="32"/>
        </w:rPr>
        <w:t>1、质量指标。入仓货物预防性消杀100%，核酸检测100%，三一致核查100%，人物环境同防有效开展，服务合同规范执行。</w:t>
      </w:r>
    </w:p>
    <w:p>
      <w:pPr>
        <w:widowControl w:val="0"/>
        <w:spacing w:line="400" w:lineRule="exact"/>
        <w:ind w:firstLine="640" w:firstLineChars="200"/>
        <w:rPr>
          <w:rFonts w:ascii="仿宋" w:hAnsi="仿宋" w:cs="仿宋"/>
          <w:b w:val="0"/>
          <w:sz w:val="32"/>
          <w:szCs w:val="32"/>
        </w:rPr>
      </w:pPr>
      <w:r>
        <w:rPr>
          <w:rFonts w:hint="eastAsia" w:ascii="仿宋" w:hAnsi="仿宋" w:cs="仿宋"/>
          <w:b w:val="0"/>
          <w:sz w:val="32"/>
          <w:szCs w:val="32"/>
        </w:rPr>
        <w:t>2、时效指标。2022年12月14日前。</w:t>
      </w:r>
    </w:p>
    <w:p>
      <w:pPr>
        <w:widowControl w:val="0"/>
        <w:spacing w:line="400" w:lineRule="exact"/>
        <w:ind w:firstLine="482" w:firstLineChars="150"/>
        <w:rPr>
          <w:rFonts w:ascii="仿宋" w:hAnsi="仿宋" w:cs="仿宋"/>
          <w:sz w:val="32"/>
          <w:szCs w:val="32"/>
        </w:rPr>
      </w:pPr>
      <w:r>
        <w:rPr>
          <w:rFonts w:hint="eastAsia" w:ascii="仿宋" w:hAnsi="仿宋" w:cs="仿宋"/>
          <w:sz w:val="32"/>
          <w:szCs w:val="32"/>
        </w:rPr>
        <w:t>（三）项目效益情况</w:t>
      </w:r>
    </w:p>
    <w:p>
      <w:pPr>
        <w:widowControl w:val="0"/>
        <w:spacing w:line="400" w:lineRule="exact"/>
        <w:ind w:firstLine="640" w:firstLineChars="200"/>
        <w:rPr>
          <w:rFonts w:ascii="仿宋" w:hAnsi="仿宋" w:cs="仿宋"/>
          <w:b w:val="0"/>
          <w:sz w:val="32"/>
          <w:szCs w:val="32"/>
        </w:rPr>
      </w:pPr>
      <w:r>
        <w:rPr>
          <w:rFonts w:hint="eastAsia" w:ascii="仿宋" w:hAnsi="仿宋" w:cs="仿宋"/>
          <w:b w:val="0"/>
          <w:sz w:val="32"/>
          <w:szCs w:val="32"/>
        </w:rPr>
        <w:t>社会效益指标：防范进口冷链食品新冠病毒污染风险，</w:t>
      </w:r>
      <w:r>
        <w:rPr>
          <w:rFonts w:hint="eastAsia" w:ascii="仿宋" w:hAnsi="仿宋"/>
          <w:b w:val="0"/>
          <w:color w:val="000000"/>
          <w:sz w:val="32"/>
          <w:szCs w:val="32"/>
        </w:rPr>
        <w:t>有效保障进口冷链食品安全</w:t>
      </w:r>
      <w:r>
        <w:rPr>
          <w:rFonts w:hint="eastAsia" w:ascii="仿宋" w:hAnsi="仿宋" w:cs="仿宋"/>
          <w:b w:val="0"/>
          <w:sz w:val="32"/>
          <w:szCs w:val="32"/>
        </w:rPr>
        <w:t>。</w:t>
      </w:r>
    </w:p>
    <w:p>
      <w:pPr>
        <w:widowControl w:val="0"/>
        <w:spacing w:line="400" w:lineRule="exact"/>
        <w:ind w:firstLine="482" w:firstLineChars="150"/>
        <w:rPr>
          <w:rFonts w:ascii="仿宋" w:hAnsi="仿宋" w:cs="仿宋"/>
          <w:b w:val="0"/>
          <w:sz w:val="32"/>
          <w:szCs w:val="32"/>
        </w:rPr>
      </w:pPr>
      <w:r>
        <w:rPr>
          <w:rFonts w:hint="eastAsia" w:ascii="仿宋" w:hAnsi="仿宋" w:cs="仿宋"/>
          <w:sz w:val="32"/>
          <w:szCs w:val="32"/>
        </w:rPr>
        <w:t>（四）项目满意度情况</w:t>
      </w:r>
      <w:r>
        <w:rPr>
          <w:rFonts w:hint="eastAsia" w:ascii="仿宋" w:hAnsi="仿宋" w:cs="仿宋"/>
          <w:b w:val="0"/>
          <w:sz w:val="32"/>
          <w:szCs w:val="32"/>
        </w:rPr>
        <w:t>。</w:t>
      </w:r>
    </w:p>
    <w:p>
      <w:pPr>
        <w:widowControl w:val="0"/>
        <w:spacing w:line="400" w:lineRule="exact"/>
        <w:ind w:firstLine="640" w:firstLineChars="200"/>
        <w:rPr>
          <w:rFonts w:ascii="仿宋" w:hAnsi="仿宋" w:cs="仿宋"/>
          <w:b w:val="0"/>
          <w:sz w:val="32"/>
          <w:szCs w:val="32"/>
        </w:rPr>
      </w:pPr>
      <w:r>
        <w:rPr>
          <w:rFonts w:hint="eastAsia" w:ascii="仿宋" w:hAnsi="仿宋" w:cs="仿宋"/>
          <w:b w:val="0"/>
          <w:sz w:val="32"/>
          <w:szCs w:val="32"/>
        </w:rPr>
        <w:t>受益对象对项目实施效果的满意度达96%。</w:t>
      </w:r>
    </w:p>
    <w:p>
      <w:pPr>
        <w:pStyle w:val="10"/>
        <w:widowControl w:val="0"/>
        <w:spacing w:before="0" w:after="0" w:line="400" w:lineRule="exact"/>
        <w:ind w:firstLine="631" w:firstLineChars="200"/>
        <w:rPr>
          <w:rFonts w:ascii="仿宋" w:hAnsi="仿宋" w:eastAsia="仿宋" w:cs="仿宋_GB2312"/>
          <w:b/>
          <w:color w:val="000000"/>
          <w:spacing w:val="-3"/>
          <w:sz w:val="32"/>
          <w:szCs w:val="32"/>
          <w:lang w:eastAsia="zh-CN"/>
        </w:rPr>
      </w:pPr>
      <w:r>
        <w:rPr>
          <w:rFonts w:hint="eastAsia" w:ascii="仿宋" w:hAnsi="仿宋" w:eastAsia="仿宋" w:cs="仿宋_GB2312"/>
          <w:b/>
          <w:color w:val="000000"/>
          <w:spacing w:val="-3"/>
          <w:sz w:val="32"/>
          <w:szCs w:val="32"/>
          <w:lang w:eastAsia="zh-CN"/>
        </w:rPr>
        <w:t>四、存在问题。</w:t>
      </w:r>
    </w:p>
    <w:p>
      <w:pPr>
        <w:pStyle w:val="10"/>
        <w:widowControl w:val="0"/>
        <w:spacing w:before="0" w:after="0" w:line="400" w:lineRule="exact"/>
        <w:ind w:firstLine="628" w:firstLineChars="200"/>
        <w:rPr>
          <w:rFonts w:ascii="仿宋" w:hAnsi="仿宋" w:eastAsia="仿宋" w:cs="仿宋_GB2312"/>
          <w:color w:val="000000"/>
          <w:sz w:val="32"/>
          <w:szCs w:val="32"/>
          <w:lang w:eastAsia="zh-CN"/>
        </w:rPr>
      </w:pPr>
      <w:r>
        <w:rPr>
          <w:rFonts w:hint="eastAsia" w:ascii="仿宋" w:hAnsi="仿宋" w:eastAsia="仿宋" w:cs="仿宋_GB2312"/>
          <w:color w:val="000000"/>
          <w:spacing w:val="-3"/>
          <w:sz w:val="32"/>
          <w:szCs w:val="32"/>
          <w:lang w:eastAsia="zh-CN"/>
        </w:rPr>
        <w:t>无</w:t>
      </w:r>
      <w:r>
        <w:rPr>
          <w:rFonts w:hint="eastAsia" w:ascii="仿宋" w:hAnsi="仿宋" w:eastAsia="仿宋" w:cs="仿宋_GB2312"/>
          <w:color w:val="000000"/>
          <w:sz w:val="32"/>
          <w:szCs w:val="32"/>
          <w:lang w:eastAsia="zh-CN"/>
        </w:rPr>
        <w:t>。</w:t>
      </w:r>
    </w:p>
    <w:p>
      <w:pPr>
        <w:pStyle w:val="10"/>
        <w:widowControl w:val="0"/>
        <w:spacing w:before="0" w:after="0" w:line="400" w:lineRule="exact"/>
        <w:ind w:firstLine="643" w:firstLineChars="200"/>
        <w:rPr>
          <w:rFonts w:ascii="仿宋" w:hAnsi="仿宋" w:eastAsia="仿宋" w:cs="仿宋_GB2312"/>
          <w:b/>
          <w:color w:val="000000"/>
          <w:sz w:val="32"/>
          <w:szCs w:val="32"/>
          <w:lang w:eastAsia="zh-CN"/>
        </w:rPr>
      </w:pPr>
      <w:r>
        <w:rPr>
          <w:rFonts w:hint="eastAsia" w:ascii="仿宋" w:hAnsi="仿宋" w:eastAsia="仿宋" w:cs="仿宋_GB2312"/>
          <w:b/>
          <w:color w:val="000000"/>
          <w:sz w:val="32"/>
          <w:szCs w:val="32"/>
          <w:lang w:eastAsia="zh-CN"/>
        </w:rPr>
        <w:t>五、有关建议。</w:t>
      </w:r>
    </w:p>
    <w:p>
      <w:pPr>
        <w:pStyle w:val="10"/>
        <w:widowControl w:val="0"/>
        <w:spacing w:before="0" w:after="0" w:line="400" w:lineRule="exact"/>
        <w:ind w:firstLine="640" w:firstLineChars="200"/>
        <w:rPr>
          <w:rFonts w:ascii="仿宋" w:hAnsi="仿宋" w:eastAsia="仿宋" w:cs="仿宋_GB2312"/>
          <w:color w:val="000000"/>
          <w:sz w:val="32"/>
          <w:szCs w:val="32"/>
          <w:lang w:eastAsia="zh-CN"/>
        </w:rPr>
      </w:pPr>
      <w:r>
        <w:rPr>
          <w:rFonts w:hint="eastAsia" w:ascii="仿宋" w:hAnsi="仿宋" w:eastAsia="仿宋" w:cs="仿宋_GB2312"/>
          <w:color w:val="000000"/>
          <w:sz w:val="32"/>
          <w:szCs w:val="32"/>
          <w:lang w:eastAsia="zh-CN"/>
        </w:rPr>
        <w:t>无。</w:t>
      </w:r>
    </w:p>
    <w:p>
      <w:pPr>
        <w:pStyle w:val="10"/>
        <w:widowControl w:val="0"/>
        <w:spacing w:before="0" w:after="0" w:line="40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六、相关信息。</w:t>
      </w:r>
    </w:p>
    <w:p>
      <w:pPr>
        <w:pStyle w:val="10"/>
        <w:widowControl w:val="0"/>
        <w:spacing w:before="0" w:after="0" w:line="40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绩效评价评分表以评价报告附件的形式反映。</w:t>
      </w:r>
    </w:p>
    <w:p>
      <w:pPr>
        <w:pStyle w:val="10"/>
        <w:widowControl w:val="0"/>
        <w:spacing w:before="0" w:after="0" w:line="576" w:lineRule="exact"/>
        <w:ind w:firstLine="640" w:firstLineChars="200"/>
        <w:rPr>
          <w:rFonts w:ascii="仿宋" w:hAnsi="仿宋" w:eastAsia="仿宋" w:cs="仿宋_GB2312"/>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p>
    <w:p>
      <w:pPr>
        <w:pStyle w:val="9"/>
        <w:widowControl w:val="0"/>
        <w:spacing w:before="0" w:after="0" w:line="560" w:lineRule="exact"/>
        <w:jc w:val="left"/>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附件：</w:t>
      </w:r>
    </w:p>
    <w:p>
      <w:pPr>
        <w:pStyle w:val="9"/>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2022年项目支出绩效自评价评分表</w:t>
      </w:r>
    </w:p>
    <w:p>
      <w:pPr>
        <w:pStyle w:val="11"/>
        <w:widowControl w:val="0"/>
        <w:spacing w:before="0" w:after="0" w:line="360" w:lineRule="exact"/>
        <w:ind w:left="5040" w:hanging="5040" w:hangingChars="2100"/>
        <w:jc w:val="left"/>
        <w:rPr>
          <w:rFonts w:ascii="黑体" w:hAnsi="黑体" w:eastAsia="黑体" w:cs="黑体"/>
          <w:color w:val="000000"/>
          <w:sz w:val="28"/>
          <w:szCs w:val="28"/>
          <w:lang w:eastAsia="zh-CN"/>
        </w:rPr>
      </w:pP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填报单位</w:t>
      </w:r>
      <w:r>
        <w:rPr>
          <w:rFonts w:ascii="宋体" w:hAnsi="宋体" w:eastAsia="宋体" w:cs="宋体"/>
          <w:sz w:val="24"/>
          <w:szCs w:val="24"/>
          <w:lang w:eastAsia="zh-CN"/>
        </w:rPr>
        <w:t>：</w:t>
      </w:r>
      <w:r>
        <w:rPr>
          <w:rFonts w:ascii="宋体" w:hAnsi="宋体" w:eastAsia="宋体" w:cs="宋体"/>
          <w:sz w:val="21"/>
          <w:szCs w:val="21"/>
          <w:u w:val="single"/>
          <w:lang w:eastAsia="zh-CN"/>
        </w:rPr>
        <w:t>如皋市市场监督管理局</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color w:val="000000"/>
          <w:sz w:val="20"/>
          <w:szCs w:val="20"/>
          <w:lang w:eastAsia="zh-CN"/>
        </w:rPr>
        <w:t>项目名称：</w:t>
      </w:r>
      <w:r>
        <w:rPr>
          <w:rFonts w:hint="eastAsia" w:ascii="宋体" w:hAnsi="宋体" w:eastAsia="宋体" w:cs="宋体"/>
          <w:sz w:val="21"/>
          <w:szCs w:val="21"/>
          <w:u w:val="single"/>
          <w:lang w:eastAsia="zh-CN"/>
        </w:rPr>
        <w:t>进口冷链食品集中监管仓运行经费、</w:t>
      </w:r>
      <w:r>
        <w:rPr>
          <w:rFonts w:hint="eastAsia" w:ascii="宋体" w:hAnsi="宋体" w:eastAsia="宋体" w:cs="宋体"/>
          <w:sz w:val="21"/>
          <w:szCs w:val="21"/>
          <w:u w:val="single"/>
          <w:lang w:val="en-US" w:eastAsia="zh-CN"/>
        </w:rPr>
        <w:t>进口冷链食品集中监管仓</w:t>
      </w:r>
      <w:bookmarkStart w:id="0" w:name="_GoBack"/>
      <w:bookmarkEnd w:id="0"/>
      <w:r>
        <w:rPr>
          <w:rFonts w:hint="eastAsia" w:ascii="宋体" w:hAnsi="宋体" w:eastAsia="宋体" w:cs="宋体"/>
          <w:sz w:val="21"/>
          <w:szCs w:val="21"/>
          <w:u w:val="single"/>
          <w:lang w:val="en-US" w:eastAsia="zh-CN"/>
        </w:rPr>
        <w:t>经费</w:t>
      </w:r>
      <w:r>
        <w:rPr>
          <w:rFonts w:hint="eastAsia" w:ascii="宋体" w:hAnsi="宋体" w:eastAsia="宋体" w:cs="宋体"/>
          <w:sz w:val="21"/>
          <w:szCs w:val="21"/>
          <w:u w:val="single"/>
          <w:lang w:eastAsia="zh-CN"/>
        </w:rPr>
        <w:t xml:space="preserve">  </w:t>
      </w:r>
    </w:p>
    <w:tbl>
      <w:tblPr>
        <w:tblStyle w:val="5"/>
        <w:tblW w:w="0" w:type="auto"/>
        <w:jc w:val="center"/>
        <w:tblLayout w:type="autofit"/>
        <w:tblCellMar>
          <w:top w:w="0" w:type="dxa"/>
          <w:left w:w="108" w:type="dxa"/>
          <w:bottom w:w="0" w:type="dxa"/>
          <w:right w:w="108" w:type="dxa"/>
        </w:tblCellMar>
      </w:tblPr>
      <w:tblGrid>
        <w:gridCol w:w="1016"/>
        <w:gridCol w:w="1370"/>
        <w:gridCol w:w="2663"/>
        <w:gridCol w:w="1224"/>
        <w:gridCol w:w="1224"/>
        <w:gridCol w:w="600"/>
        <w:gridCol w:w="600"/>
        <w:gridCol w:w="867"/>
      </w:tblGrid>
      <w:tr>
        <w:tblPrEx>
          <w:tblCellMar>
            <w:top w:w="0" w:type="dxa"/>
            <w:left w:w="108" w:type="dxa"/>
            <w:bottom w:w="0" w:type="dxa"/>
            <w:right w:w="108" w:type="dxa"/>
          </w:tblCellMar>
        </w:tblPrEx>
        <w:trPr>
          <w:trHeight w:val="454"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评价指标</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年初指标值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实际完成值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权重</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得分</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评分依据</w:t>
            </w: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一级指标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三级指标</w:t>
            </w: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决策指标</w:t>
            </w: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项目立项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立项依据充分性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立项程序规范性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绩效指标明确性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明确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明确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资金投入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预算编制科学性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资金分配合理性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过程指标</w:t>
            </w: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资金到位率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组织实施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管理制度健全性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制度执行有效性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件件预防性消杀</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批批核酸检测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进仓货物三一致核查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人物环境同防</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合同执行规范性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年度工作完成时间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2022.12.31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2022.12.14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防范进口冷链食品新冠病毒污染风险</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服务对象满意度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r>
              <w:rPr>
                <w:rFonts w:hint="eastAsia" w:ascii="宋体" w:hAnsi="宋体" w:eastAsia="宋体" w:cs="宋体"/>
                <w:color w:val="000000"/>
                <w:sz w:val="22"/>
                <w:szCs w:val="22"/>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bl>
    <w:p>
      <w:pPr>
        <w:pStyle w:val="10"/>
        <w:widowControl w:val="0"/>
        <w:spacing w:before="0" w:after="0" w:line="576" w:lineRule="exact"/>
        <w:ind w:firstLine="640" w:firstLineChars="200"/>
        <w:rPr>
          <w:rFonts w:ascii="仿宋" w:hAnsi="仿宋" w:eastAsia="仿宋" w:cs="仿宋_GB2312"/>
          <w:color w:val="000000"/>
          <w:sz w:val="32"/>
          <w:szCs w:val="32"/>
          <w:lang w:eastAsia="zh-CN"/>
        </w:rPr>
      </w:pPr>
    </w:p>
    <w:sectPr>
      <w:pgSz w:w="11900" w:h="16820"/>
      <w:pgMar w:top="1134" w:right="1134" w:bottom="1134" w:left="1418" w:header="720" w:footer="720" w:gutter="0"/>
      <w:pgNumType w:fmt="numberInDash" w:start="1"/>
      <w:cols w:space="720" w:num="1"/>
      <w:docGrid w:type="lines"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Q5YTdkNDkzODdhNjIwMDY1OWEyNWFjNTViZGZhZjcifQ=="/>
  </w:docVars>
  <w:rsids>
    <w:rsidRoot w:val="009F5B45"/>
    <w:rsid w:val="00010929"/>
    <w:rsid w:val="00022214"/>
    <w:rsid w:val="000318C1"/>
    <w:rsid w:val="000A56DB"/>
    <w:rsid w:val="000D561F"/>
    <w:rsid w:val="00152EC5"/>
    <w:rsid w:val="001654C0"/>
    <w:rsid w:val="00176FCD"/>
    <w:rsid w:val="0028240C"/>
    <w:rsid w:val="002B66F8"/>
    <w:rsid w:val="002C5D13"/>
    <w:rsid w:val="002D6E66"/>
    <w:rsid w:val="00312959"/>
    <w:rsid w:val="00355EE1"/>
    <w:rsid w:val="00381150"/>
    <w:rsid w:val="003B0233"/>
    <w:rsid w:val="003B71F4"/>
    <w:rsid w:val="004E23E5"/>
    <w:rsid w:val="004F24EB"/>
    <w:rsid w:val="005C383E"/>
    <w:rsid w:val="005C60AA"/>
    <w:rsid w:val="006431C8"/>
    <w:rsid w:val="006768E9"/>
    <w:rsid w:val="006E7CE6"/>
    <w:rsid w:val="007016B7"/>
    <w:rsid w:val="0076371A"/>
    <w:rsid w:val="00850085"/>
    <w:rsid w:val="008B04EA"/>
    <w:rsid w:val="009170A0"/>
    <w:rsid w:val="0093142C"/>
    <w:rsid w:val="009612B1"/>
    <w:rsid w:val="009A1D25"/>
    <w:rsid w:val="009B3197"/>
    <w:rsid w:val="009C6A67"/>
    <w:rsid w:val="009D19E0"/>
    <w:rsid w:val="009F5B45"/>
    <w:rsid w:val="00A84673"/>
    <w:rsid w:val="00A876C8"/>
    <w:rsid w:val="00AD7C48"/>
    <w:rsid w:val="00AF61DB"/>
    <w:rsid w:val="00B243C6"/>
    <w:rsid w:val="00B7025B"/>
    <w:rsid w:val="00CA6E9C"/>
    <w:rsid w:val="00CB3092"/>
    <w:rsid w:val="00CD7210"/>
    <w:rsid w:val="00D05CCB"/>
    <w:rsid w:val="00D36962"/>
    <w:rsid w:val="00D75538"/>
    <w:rsid w:val="00DA6377"/>
    <w:rsid w:val="00E02273"/>
    <w:rsid w:val="00E57F95"/>
    <w:rsid w:val="00E83F89"/>
    <w:rsid w:val="00F529B7"/>
    <w:rsid w:val="00FA589A"/>
    <w:rsid w:val="00FC14F7"/>
    <w:rsid w:val="00FE3C49"/>
    <w:rsid w:val="06BA394C"/>
    <w:rsid w:val="11EA0C19"/>
    <w:rsid w:val="1C7319C3"/>
    <w:rsid w:val="213320AD"/>
    <w:rsid w:val="26C43706"/>
    <w:rsid w:val="27163983"/>
    <w:rsid w:val="39807543"/>
    <w:rsid w:val="5DFF6FBF"/>
    <w:rsid w:val="5F17346F"/>
    <w:rsid w:val="714B5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仿宋" w:cs="仿宋_GB2312" w:asciiTheme="minorHAnsi" w:hAnsiTheme="minorHAnsi"/>
      <w:b/>
      <w:sz w:val="28"/>
      <w:szCs w:val="28"/>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widowControl w:val="0"/>
      <w:tabs>
        <w:tab w:val="center" w:pos="4153"/>
        <w:tab w:val="right" w:pos="8306"/>
      </w:tabs>
      <w:snapToGrid w:val="0"/>
      <w:jc w:val="left"/>
    </w:pPr>
    <w:rPr>
      <w:rFonts w:eastAsiaTheme="minorEastAsia" w:cstheme="minorBidi"/>
      <w:b w:val="0"/>
      <w:kern w:val="2"/>
      <w:sz w:val="18"/>
      <w:szCs w:val="18"/>
    </w:rPr>
  </w:style>
  <w:style w:type="paragraph" w:styleId="3">
    <w:name w:val="header"/>
    <w:basedOn w:val="1"/>
    <w:link w:val="7"/>
    <w:semiHidden/>
    <w:unhideWhenUsed/>
    <w:qFormat/>
    <w:uiPriority w:val="99"/>
    <w:pPr>
      <w:widowControl w:val="0"/>
      <w:pBdr>
        <w:bottom w:val="single" w:color="auto" w:sz="6" w:space="1"/>
      </w:pBdr>
      <w:tabs>
        <w:tab w:val="center" w:pos="4153"/>
        <w:tab w:val="right" w:pos="8306"/>
      </w:tabs>
      <w:snapToGrid w:val="0"/>
      <w:jc w:val="center"/>
    </w:pPr>
    <w:rPr>
      <w:rFonts w:eastAsiaTheme="minorEastAsia" w:cstheme="minorBidi"/>
      <w:b w:val="0"/>
      <w:kern w:val="2"/>
      <w:sz w:val="18"/>
      <w:szCs w:val="18"/>
    </w:rPr>
  </w:style>
  <w:style w:type="paragraph" w:styleId="4">
    <w:name w:val="Normal (Web)"/>
    <w:basedOn w:val="1"/>
    <w:qFormat/>
    <w:uiPriority w:val="0"/>
    <w:pPr>
      <w:spacing w:beforeAutospacing="1" w:afterAutospacing="1"/>
      <w:jc w:val="left"/>
    </w:pPr>
    <w:rPr>
      <w:rFonts w:cs="Times New Roman"/>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customStyle="1" w:styleId="9">
    <w:name w:val="Normal_0"/>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10">
    <w:name w:val="Normal_18"/>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11">
    <w:name w:val="Normal_12"/>
    <w:qFormat/>
    <w:uiPriority w:val="0"/>
    <w:pPr>
      <w:spacing w:before="120" w:after="240"/>
      <w:jc w:val="both"/>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Company>
  <Pages>4</Pages>
  <Words>2173</Words>
  <Characters>2410</Characters>
  <Lines>18</Lines>
  <Paragraphs>5</Paragraphs>
  <TotalTime>2</TotalTime>
  <ScaleCrop>false</ScaleCrop>
  <LinksUpToDate>false</LinksUpToDate>
  <CharactersWithSpaces>2420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2022-03-24T07:39:00Z</dcterms:created>
  <dc:creator>顾小燕</dc:creator>
  <cp:lastModifiedBy>飞飞</cp:lastModifiedBy>
  <dcterms:modified xsi:type="dcterms:W3CDTF">2023-09-12T09:49:48Z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C9A17F58974E48C78E66CF5B17DBA842</vt:lpwstr>
  </property>
</Properties>
</file>