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ascii="宋体" w:hAnsi="宋体" w:eastAsia="宋体" w:cs="宋体"/>
          <w:color w:val="000000"/>
          <w:sz w:val="18"/>
          <w:lang w:eastAsia="zh-CN"/>
        </w:rPr>
      </w:pPr>
      <w:r>
        <w:rPr>
          <w:rFonts w:ascii="APQONC+å®ä½" w:hAnsi="APQONC+å®ä½" w:cs="APQONC+å®ä½"/>
          <w:color w:val="000000"/>
          <w:sz w:val="18"/>
          <w:lang w:eastAsia="zh-CN"/>
        </w:rPr>
        <w:t>填报单位：</w:t>
      </w:r>
      <w:r>
        <w:rPr>
          <w:rFonts w:hint="eastAsia" w:ascii="宋体" w:hAnsi="宋体" w:eastAsia="宋体" w:cs="宋体"/>
          <w:color w:val="000000"/>
          <w:sz w:val="18"/>
          <w:u w:val="single"/>
          <w:lang w:eastAsia="zh-CN"/>
        </w:rPr>
        <w:t xml:space="preserve">  如皋市市场监督管理局  </w:t>
      </w:r>
    </w:p>
    <w:p>
      <w:pPr>
        <w:pStyle w:val="9"/>
        <w:widowControl w:val="0"/>
        <w:spacing w:before="0" w:after="0" w:line="500" w:lineRule="exact"/>
        <w:jc w:val="left"/>
        <w:rPr>
          <w:rFonts w:ascii="宋体" w:hAnsi="宋体" w:eastAsia="宋体" w:cs="宋体"/>
          <w:color w:val="000000"/>
          <w:sz w:val="18"/>
          <w:lang w:eastAsia="zh-CN"/>
        </w:rPr>
      </w:pPr>
      <w:r>
        <w:rPr>
          <w:rFonts w:ascii="APQONC+å®ä½" w:hAnsi="APQONC+å®ä½" w:cs="APQONC+å®ä½"/>
          <w:color w:val="000000"/>
          <w:sz w:val="18"/>
          <w:lang w:eastAsia="zh-CN"/>
        </w:rPr>
        <w:t>项目名称：</w:t>
      </w:r>
      <w:r>
        <w:rPr>
          <w:rFonts w:hint="eastAsia" w:ascii="宋体" w:hAnsi="宋体" w:eastAsia="宋体" w:cs="宋体"/>
          <w:color w:val="000000"/>
          <w:sz w:val="18"/>
          <w:u w:val="single"/>
          <w:lang w:eastAsia="zh-CN"/>
        </w:rPr>
        <w:t xml:space="preserve">国家基本公共服务标准化试点创建经费 </w:t>
      </w:r>
    </w:p>
    <w:p>
      <w:pPr>
        <w:pStyle w:val="9"/>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hint="eastAsia" w:ascii="宋体" w:hAnsi="宋体" w:eastAsia="宋体" w:cs="宋体"/>
          <w:color w:val="000000"/>
          <w:sz w:val="18"/>
          <w:u w:val="single"/>
          <w:lang w:eastAsia="zh-CN"/>
        </w:rPr>
        <w:t>2022年</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2022年1月</w:t>
      </w:r>
      <w:r>
        <w:rPr>
          <w:rFonts w:hint="eastAsia" w:ascii="宋体" w:hAnsi="宋体" w:eastAsia="宋体" w:cs="宋体"/>
          <w:color w:val="000000"/>
          <w:sz w:val="18"/>
          <w:lang w:eastAsia="zh-CN"/>
        </w:rPr>
        <w:t xml:space="preserve"> </w:t>
      </w:r>
      <w:r>
        <w:rPr>
          <w:rFonts w:hint="eastAsia" w:ascii="宋体" w:hAnsi="宋体" w:eastAsia="宋体" w:cs="宋体"/>
          <w:color w:val="000000"/>
          <w:spacing w:val="1"/>
          <w:sz w:val="18"/>
          <w:lang w:eastAsia="zh-CN"/>
        </w:rPr>
        <w:t xml:space="preserve"> </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u w:val="single"/>
          <w:lang w:eastAsia="zh-CN"/>
        </w:rPr>
        <w:t>2022年12月</w:t>
      </w:r>
    </w:p>
    <w:p>
      <w:pPr>
        <w:pStyle w:val="9"/>
        <w:widowControl w:val="0"/>
        <w:pBdr>
          <w:top w:val="single" w:color="auto" w:sz="4" w:space="0"/>
          <w:left w:val="single" w:color="auto" w:sz="4" w:space="0"/>
          <w:bottom w:val="single" w:color="auto" w:sz="4" w:space="0"/>
          <w:right w:val="single" w:color="auto" w:sz="4" w:space="0"/>
        </w:pBdr>
        <w:spacing w:before="0" w:after="0" w:line="560" w:lineRule="exact"/>
        <w:ind w:firstLine="480" w:firstLineChars="200"/>
        <w:jc w:val="center"/>
        <w:rPr>
          <w:rFonts w:ascii="黑体" w:hAnsi="黑体" w:eastAsia="黑体" w:cs="黑体"/>
          <w:color w:val="000000"/>
          <w:sz w:val="24"/>
        </w:rPr>
      </w:pPr>
      <w:r>
        <w:rPr>
          <w:rFonts w:hint="eastAsia" w:ascii="黑体" w:hAnsi="黑体" w:eastAsia="黑体" w:cs="黑体"/>
          <w:color w:val="000000"/>
          <w:sz w:val="24"/>
        </w:rPr>
        <w:t>项目自评价情况</w:t>
      </w:r>
    </w:p>
    <w:p>
      <w:pPr>
        <w:pStyle w:val="9"/>
        <w:widowControl w:val="0"/>
        <w:numPr>
          <w:ilvl w:val="0"/>
          <w:numId w:val="1"/>
        </w:numPr>
        <w:pBdr>
          <w:top w:val="single" w:color="auto" w:sz="4" w:space="0"/>
          <w:left w:val="single" w:color="auto" w:sz="4" w:space="0"/>
          <w:bottom w:val="single" w:color="auto" w:sz="4" w:space="0"/>
          <w:right w:val="single" w:color="auto" w:sz="4" w:space="0"/>
        </w:pBdr>
        <w:spacing w:before="0" w:after="0" w:line="30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项目概况（项目政策、资金分配使用、项目实施情况等）</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00" w:firstLineChars="200"/>
        <w:jc w:val="left"/>
        <w:rPr>
          <w:rFonts w:ascii="宋体" w:hAnsi="宋体" w:eastAsia="宋体" w:cs="宋体"/>
          <w:color w:val="000000" w:themeColor="text1"/>
          <w:sz w:val="20"/>
          <w:szCs w:val="21"/>
          <w:lang w:eastAsia="zh-CN"/>
        </w:rPr>
      </w:pPr>
      <w:r>
        <w:rPr>
          <w:rFonts w:hint="eastAsia" w:ascii="宋体" w:hAnsi="宋体" w:eastAsia="宋体" w:cs="宋体"/>
          <w:color w:val="000000" w:themeColor="text1"/>
          <w:sz w:val="20"/>
          <w:szCs w:val="21"/>
          <w:lang w:eastAsia="zh-CN"/>
        </w:rPr>
        <w:t>2020年3月我市获批创建首批国家基本公共服务标准化试点，全国共49家单位51个项目获批，创建时间2年，旨以服务民生为根本、以群众满意为标准，建立健全学有所教、劳有所得、文体服务保障等领域基本公共服务标准体系，以标准化手段优化资源配置、规范服务流程、提升服务质量、明确责权关系、创新治理方式。通过标准制定和组织实施，让学有所教、劳有所得和文体服务保障等基本公共服务覆盖全民、兜住底线、均等享有，使市民获得感、幸福感、安全感更加充实、更有保障、更可持续。2022年，国家基本公共服务标准化试点创建经费支出30万元，主要用于标准化专家咨询、标准实施监督检查辅导、体系标准评价改进、满意度测评辅导、验收准备等环节。该项目年度资金总额30万元，已下达30万元，年度预算执行率为100%。</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22" w:firstLineChars="200"/>
        <w:jc w:val="left"/>
        <w:rPr>
          <w:rFonts w:ascii="APQONC+å®ä½"/>
          <w:b/>
          <w:color w:val="000000"/>
          <w:sz w:val="21"/>
          <w:lang w:eastAsia="zh-CN"/>
        </w:rPr>
      </w:pPr>
      <w:r>
        <w:rPr>
          <w:rFonts w:ascii="APQONC+å®ä½" w:hAnsi="APQONC+å®ä½" w:cs="APQONC+å®ä½"/>
          <w:b/>
          <w:color w:val="000000"/>
          <w:sz w:val="21"/>
          <w:lang w:eastAsia="zh-CN"/>
        </w:rPr>
        <w:t>二、评价情况（评价思路、方式、做法，以及评价指标体系设置情况和评价结论等）</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根据项目情况，针对经费特点，围绕预算绩效管理重点任务，研究制定了国家基本公共服务标准化试点创建工作经费指标体系，从投入、管理、产出、效益、满意度等多个维度设置了一级指标5个、二级指标11个，三级指标21个。在对照绩效目标编报，在认真进行情况搜集和核实的基础上，形成自评价结论，评价综合得分100分，等次优秀，服务对象满意度≥95%。</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22" w:firstLineChars="200"/>
        <w:jc w:val="left"/>
        <w:rPr>
          <w:rFonts w:ascii="APQONC+å®ä½"/>
          <w:b/>
          <w:color w:val="000000"/>
          <w:sz w:val="21"/>
          <w:lang w:eastAsia="zh-CN"/>
        </w:rPr>
      </w:pPr>
      <w:r>
        <w:rPr>
          <w:rFonts w:ascii="APQONC+å®ä½" w:hAnsi="APQONC+å®ä½" w:cs="APQONC+å®ä½"/>
          <w:b/>
          <w:color w:val="000000"/>
          <w:sz w:val="21"/>
          <w:lang w:eastAsia="zh-CN"/>
        </w:rPr>
        <w:t>三、项目绩效（通过绩效评价发现、总结的项目绩效）</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00" w:firstLineChars="200"/>
        <w:jc w:val="left"/>
        <w:rPr>
          <w:rFonts w:ascii="宋体" w:hAnsi="宋体" w:eastAsia="宋体" w:cs="宋体"/>
          <w:color w:val="000000" w:themeColor="text1"/>
          <w:sz w:val="20"/>
          <w:szCs w:val="21"/>
          <w:lang w:eastAsia="zh-CN"/>
        </w:rPr>
      </w:pPr>
      <w:r>
        <w:rPr>
          <w:rFonts w:hint="eastAsia" w:ascii="宋体" w:hAnsi="宋体" w:eastAsia="宋体" w:cs="宋体"/>
          <w:color w:val="000000" w:themeColor="text1"/>
          <w:sz w:val="20"/>
          <w:szCs w:val="21"/>
          <w:lang w:eastAsia="zh-CN"/>
        </w:rPr>
        <w:t>如皋市通过健全学有所教、劳有所得和文体服务保障等基本公共服务标准体系，收集制定324项标准，开展标准化建设专题宣传40次，设立宣传栏19处，开展标准化宣传咨询活动25次，绘制《思维导图》，编制《工作手册》，以“一套工作机制、一张事项清单、一个标准体系、一系列服务标准、一个数据库”五个一典型做法，实现“教育更均衡、就业创业服务更高效、公共文体供给更便捷”三大成效，探索形成了一条基本公共服务普惠化兜底、品质化提升、品牌化引领的“如皋路径”。</w:t>
      </w:r>
      <w:r>
        <w:rPr>
          <w:rFonts w:hint="eastAsia" w:ascii="宋体" w:hAnsi="宋体" w:eastAsia="宋体" w:cs="宋体"/>
          <w:b/>
          <w:bCs/>
          <w:color w:val="000000" w:themeColor="text1"/>
          <w:sz w:val="20"/>
          <w:szCs w:val="21"/>
          <w:lang w:eastAsia="zh-CN"/>
        </w:rPr>
        <w:t>一是“学有所教”擘画更均衡如皋样本。</w:t>
      </w:r>
      <w:r>
        <w:rPr>
          <w:rFonts w:hint="eastAsia" w:ascii="宋体" w:hAnsi="宋体" w:eastAsia="宋体" w:cs="宋体"/>
          <w:color w:val="000000" w:themeColor="text1"/>
          <w:sz w:val="20"/>
          <w:szCs w:val="21"/>
          <w:lang w:eastAsia="zh-CN"/>
        </w:rPr>
        <w:t>编制实施“学科联盟”“教师流动”“活动单导学”等标准，在如皋市域内实现了学校办学条件、教师队伍、管理水平的优质均衡，教育部召开“县域教育管理与教育质量研讨会”，如皋市作为教育部遴选的全国7家教育高质量发展县区之一，在大会上做经验介绍。“活动单导学”获基础教育教学成果国家级二等奖、省一等奖。承办江苏省“‘双减’一周年：区域义务教育优质均衡发展专题座谈研讨活动”，“双减”成效获教育部、省教育厅点赞。</w:t>
      </w:r>
      <w:r>
        <w:rPr>
          <w:rFonts w:hint="eastAsia" w:ascii="宋体" w:hAnsi="宋体" w:eastAsia="宋体" w:cs="宋体"/>
          <w:b/>
          <w:bCs/>
          <w:color w:val="000000" w:themeColor="text1"/>
          <w:sz w:val="20"/>
          <w:szCs w:val="21"/>
          <w:lang w:eastAsia="zh-CN"/>
        </w:rPr>
        <w:t>二是“劳有所得”打造更高效如皋品牌。</w:t>
      </w:r>
      <w:r>
        <w:rPr>
          <w:rFonts w:hint="eastAsia" w:ascii="宋体" w:hAnsi="宋体" w:eastAsia="宋体" w:cs="宋体"/>
          <w:color w:val="000000" w:themeColor="text1"/>
          <w:sz w:val="20"/>
          <w:szCs w:val="21"/>
          <w:lang w:eastAsia="zh-CN"/>
        </w:rPr>
        <w:t>编制实施《“如皋智聘”市场服务规范》等标准，打造如皋人社“e路通”快捷高效便民服务标准化品牌。创新“嵌入式”劳动保障书面审查服务标准模式，有效推动和促进了用人单位劳动保障守法诚信建设和构建和谐劳动关系。《中国劳动保障报》“理论.实践”栏目以《基层人社部门如何实现公共服务标准化——以江苏省如皋人社“e路通”为例》大幅版面宣传如皋经验。</w:t>
      </w:r>
      <w:r>
        <w:rPr>
          <w:rFonts w:hint="eastAsia" w:ascii="宋体" w:hAnsi="宋体" w:eastAsia="宋体" w:cs="宋体"/>
          <w:b/>
          <w:bCs/>
          <w:color w:val="000000" w:themeColor="text1"/>
          <w:sz w:val="20"/>
          <w:szCs w:val="21"/>
          <w:lang w:eastAsia="zh-CN"/>
        </w:rPr>
        <w:t>三是“闲有所乐”探索更便捷如皋模式。</w:t>
      </w:r>
      <w:r>
        <w:rPr>
          <w:rFonts w:hint="eastAsia" w:ascii="宋体" w:hAnsi="宋体" w:eastAsia="宋体" w:cs="宋体"/>
          <w:color w:val="000000" w:themeColor="text1"/>
          <w:sz w:val="20"/>
          <w:szCs w:val="21"/>
          <w:lang w:eastAsia="zh-CN"/>
        </w:rPr>
        <w:t>研制《雉水之夜建设规范》《农村电影公益放映服务规范》等标准，强化公共文化的供给侧改革，由政府“送”向群众“点”、由群众“看”向群众“演”转变，群众文化活动“量”“质”并举，基层满意度不断提高。研制实施《农家书屋管理规范》系列标准，创新“百物百面”书屋无限潜能新模式，丰富公共文体服务产品，提升公共文体供给质量。如皋市连续两年获评中宣部、农业农村部“我爱阅读100天”读书活动全国百强荣誉称号，红色阅读主题公交登上央视“朝闻天下”栏目，农家书屋“百屋百面，激发书屋无限潜能的‘如皋模式’”做法入选江苏省委宣传部农家书屋创新示范案例选编。</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14" w:firstLineChars="200"/>
        <w:jc w:val="left"/>
        <w:rPr>
          <w:rFonts w:ascii="APQONC+å®ä½" w:hAnsi="APQONC+å®ä½" w:cs="APQONC+å®ä½"/>
          <w:b/>
          <w:color w:val="000000"/>
          <w:sz w:val="21"/>
          <w:lang w:eastAsia="zh-CN"/>
        </w:rPr>
      </w:pPr>
      <w:r>
        <w:rPr>
          <w:rFonts w:ascii="APQONC+å®ä½" w:hAnsi="APQONC+å®ä½" w:cs="APQONC+å®ä½"/>
          <w:b/>
          <w:color w:val="000000"/>
          <w:spacing w:val="-2"/>
          <w:sz w:val="21"/>
          <w:lang w:eastAsia="zh-CN"/>
        </w:rPr>
        <w:t>四、存在问题（通过绩效评价所发现的问题，原则上按照决策、过程、产出、效益分别归类分</w:t>
      </w:r>
      <w:r>
        <w:rPr>
          <w:rFonts w:ascii="APQONC+å®ä½" w:hAnsi="APQONC+å®ä½" w:cs="APQONC+å®ä½"/>
          <w:b/>
          <w:color w:val="000000"/>
          <w:sz w:val="21"/>
          <w:lang w:eastAsia="zh-CN"/>
        </w:rPr>
        <w:t>条撰写）</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无。</w:t>
      </w:r>
    </w:p>
    <w:p>
      <w:pPr>
        <w:pStyle w:val="9"/>
        <w:widowControl w:val="0"/>
        <w:numPr>
          <w:ilvl w:val="0"/>
          <w:numId w:val="2"/>
        </w:numPr>
        <w:pBdr>
          <w:top w:val="single" w:color="auto" w:sz="4" w:space="0"/>
          <w:left w:val="single" w:color="auto" w:sz="4" w:space="0"/>
          <w:bottom w:val="single" w:color="auto" w:sz="4" w:space="0"/>
          <w:right w:val="single" w:color="auto" w:sz="4" w:space="0"/>
        </w:pBdr>
        <w:spacing w:before="0" w:after="0" w:line="30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有关建议（针对存在的问题，分别提出相关完善或整改建议）</w:t>
      </w:r>
    </w:p>
    <w:p>
      <w:pPr>
        <w:pStyle w:val="9"/>
        <w:widowControl w:val="0"/>
        <w:pBdr>
          <w:top w:val="single" w:color="auto" w:sz="4" w:space="0"/>
          <w:left w:val="single" w:color="auto" w:sz="4" w:space="0"/>
          <w:bottom w:val="single" w:color="auto" w:sz="4" w:space="0"/>
          <w:right w:val="single" w:color="auto" w:sz="4" w:space="0"/>
        </w:pBdr>
        <w:spacing w:before="0" w:after="0" w:line="30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无。</w:t>
      </w:r>
    </w:p>
    <w:p>
      <w:pPr>
        <w:pStyle w:val="9"/>
        <w:widowControl w:val="0"/>
        <w:pBdr>
          <w:top w:val="single" w:color="auto" w:sz="4" w:space="0"/>
          <w:left w:val="single" w:color="auto" w:sz="4" w:space="0"/>
          <w:bottom w:val="single" w:color="auto" w:sz="4" w:space="0"/>
          <w:right w:val="single" w:color="auto" w:sz="4" w:space="0"/>
        </w:pBdr>
        <w:spacing w:before="0" w:after="0" w:line="560" w:lineRule="exact"/>
        <w:jc w:val="left"/>
        <w:rPr>
          <w:rFonts w:ascii="APQONC+å®ä½" w:hAnsi="APQONC+å®ä½" w:cs="APQONC+å®ä½"/>
          <w:color w:val="000000"/>
          <w:sz w:val="21"/>
          <w:lang w:eastAsia="zh-CN"/>
        </w:rPr>
        <w:sectPr>
          <w:pgSz w:w="11900" w:h="16820"/>
          <w:pgMar w:top="1609" w:right="1474" w:bottom="1191" w:left="1644" w:header="720" w:footer="720" w:gutter="0"/>
          <w:pgNumType w:fmt="numberInDash" w:start="1"/>
          <w:cols w:space="720" w:num="1"/>
          <w:docGrid w:linePitch="1" w:charSpace="0"/>
        </w:sect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0"/>
        <w:widowControl w:val="0"/>
        <w:spacing w:before="0" w:after="0" w:line="360" w:lineRule="exact"/>
        <w:jc w:val="left"/>
        <w:rPr>
          <w:rFonts w:ascii="黑体" w:hAnsi="黑体" w:eastAsia="黑体" w:cs="黑体"/>
          <w:color w:val="000000"/>
          <w:sz w:val="28"/>
          <w:szCs w:val="28"/>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color w:val="000000"/>
          <w:sz w:val="18"/>
          <w:u w:val="single"/>
          <w:lang w:eastAsia="zh-CN"/>
        </w:rPr>
        <w:t>如皋市市场监督管理局</w:t>
      </w:r>
      <w:r>
        <w:rPr>
          <w:rFonts w:ascii="宋体" w:hAnsi="宋体" w:eastAsia="宋体" w:cs="宋体"/>
          <w:sz w:val="24"/>
          <w:szCs w:val="24"/>
          <w:lang w:eastAsia="zh-CN"/>
        </w:rPr>
        <w:t xml:space="preserve">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18"/>
          <w:u w:val="single"/>
          <w:lang w:eastAsia="zh-CN"/>
        </w:rPr>
        <w:t>国家基本公共服务标准化试点创建经费</w:t>
      </w:r>
      <w:bookmarkStart w:id="0" w:name="_GoBack"/>
      <w:bookmarkEnd w:id="0"/>
    </w:p>
    <w:tbl>
      <w:tblPr>
        <w:tblStyle w:val="4"/>
        <w:tblW w:w="9174" w:type="dxa"/>
        <w:jc w:val="center"/>
        <w:tblLayout w:type="fixed"/>
        <w:tblCellMar>
          <w:top w:w="0" w:type="dxa"/>
          <w:left w:w="108" w:type="dxa"/>
          <w:bottom w:w="0" w:type="dxa"/>
          <w:right w:w="108" w:type="dxa"/>
        </w:tblCellMar>
      </w:tblPr>
      <w:tblGrid>
        <w:gridCol w:w="669"/>
        <w:gridCol w:w="1020"/>
        <w:gridCol w:w="2223"/>
        <w:gridCol w:w="1255"/>
        <w:gridCol w:w="1268"/>
        <w:gridCol w:w="750"/>
        <w:gridCol w:w="750"/>
        <w:gridCol w:w="1239"/>
      </w:tblGrid>
      <w:tr>
        <w:tblPrEx>
          <w:tblCellMar>
            <w:top w:w="0" w:type="dxa"/>
            <w:left w:w="108" w:type="dxa"/>
            <w:bottom w:w="0" w:type="dxa"/>
            <w:right w:w="108" w:type="dxa"/>
          </w:tblCellMar>
        </w:tblPrEx>
        <w:trPr>
          <w:trHeight w:val="227" w:hRule="atLeast"/>
          <w:jc w:val="center"/>
        </w:trPr>
        <w:tc>
          <w:tcPr>
            <w:tcW w:w="39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1255"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1268"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750"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750"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1239" w:type="dxa"/>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1255"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1268"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750"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1239" w:type="dxa"/>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立项依据充分性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充分</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充分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立项程序规范性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规范</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规范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绩效目标合理性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合理</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绩效指标明确性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明确</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明确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预算编制科学性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科学</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科学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资金分配合理性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合理</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资金到位率</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预算执行率</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7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资金使用合规性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合规</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合规</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管理制度健全性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健全</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健全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制度执行有效性</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有效</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18"/>
                <w:szCs w:val="18"/>
              </w:rPr>
              <w:t>有效</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4</w:t>
            </w:r>
          </w:p>
        </w:tc>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标准覆盖率</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标准实施率</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98%</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98%</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标准化业务知识培训</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4次</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6次</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通过终期考核验收</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通过</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themeColor="text1"/>
                <w:sz w:val="20"/>
                <w:szCs w:val="20"/>
              </w:rPr>
            </w:pPr>
            <w:r>
              <w:rPr>
                <w:rFonts w:hint="eastAsia" w:ascii="宋体" w:hAnsi="宋体" w:eastAsia="宋体" w:cs="宋体"/>
                <w:b w:val="0"/>
                <w:bCs/>
                <w:color w:val="000000" w:themeColor="text1"/>
                <w:sz w:val="20"/>
                <w:szCs w:val="20"/>
              </w:rPr>
              <w:t>因疫情影响，上级延迟验收，已做好验收准备。</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按顺序进度推进</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100%</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学有所教、劳有所得和文体服务保障等基本公共服务均等化、普惠化和快捷化水平</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不断提高</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不断提高</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20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20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如皋12333年度综合服务满意度</w:t>
            </w: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95%</w:t>
            </w: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b w:val="0"/>
                <w:bCs/>
                <w:color w:val="000000"/>
                <w:sz w:val="20"/>
                <w:szCs w:val="20"/>
              </w:rPr>
            </w:pPr>
            <w:r>
              <w:rPr>
                <w:rFonts w:hint="eastAsia" w:ascii="宋体" w:hAnsi="宋体" w:eastAsia="宋体" w:cs="宋体"/>
                <w:b w:val="0"/>
                <w:bCs/>
                <w:color w:val="000000"/>
                <w:sz w:val="20"/>
                <w:szCs w:val="20"/>
              </w:rPr>
              <w:t>95%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6</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left"/>
              <w:textAlignment w:val="center"/>
              <w:rPr>
                <w:rFonts w:ascii="宋体" w:hAnsi="宋体" w:eastAsia="宋体" w:cs="宋体"/>
                <w:color w:val="000000"/>
                <w:sz w:val="20"/>
                <w:szCs w:val="20"/>
              </w:rPr>
            </w:pPr>
          </w:p>
        </w:tc>
        <w:tc>
          <w:tcPr>
            <w:tcW w:w="12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126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r>
              <w:rPr>
                <w:rFonts w:hint="eastAsia" w:ascii="宋体" w:hAnsi="宋体" w:eastAsia="宋体" w:cs="宋体"/>
                <w:b w:val="0"/>
                <w:bCs/>
                <w:color w:val="000000"/>
                <w:sz w:val="18"/>
                <w:szCs w:val="18"/>
              </w:rPr>
              <w:t>100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b w:val="0"/>
                <w:bCs/>
                <w:color w:val="000000"/>
                <w:sz w:val="18"/>
                <w:szCs w:val="18"/>
              </w:rPr>
            </w:pPr>
          </w:p>
        </w:tc>
      </w:tr>
    </w:tbl>
    <w:p>
      <w:pPr>
        <w:pStyle w:val="8"/>
        <w:widowControl w:val="0"/>
        <w:spacing w:before="0" w:after="0" w:line="560" w:lineRule="exact"/>
        <w:jc w:val="left"/>
        <w:rPr>
          <w:rFonts w:ascii="仿宋_GB2312" w:hAnsi="仿宋_GB2312" w:eastAsia="仿宋_GB2312" w:cs="仿宋_GB2312"/>
          <w:color w:val="000000"/>
          <w:sz w:val="32"/>
          <w:szCs w:val="32"/>
          <w:lang w:eastAsia="zh-CN"/>
        </w:rPr>
      </w:pP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script"/>
    <w:pitch w:val="default"/>
    <w:sig w:usb0="00000000" w:usb1="00000000" w:usb2="0000000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4183"/>
    <w:multiLevelType w:val="singleLevel"/>
    <w:tmpl w:val="30534183"/>
    <w:lvl w:ilvl="0" w:tentative="0">
      <w:start w:val="5"/>
      <w:numFmt w:val="chineseCounting"/>
      <w:suff w:val="nothing"/>
      <w:lvlText w:val="%1、"/>
      <w:lvlJc w:val="left"/>
      <w:rPr>
        <w:rFonts w:hint="eastAsia"/>
      </w:rPr>
    </w:lvl>
  </w:abstractNum>
  <w:abstractNum w:abstractNumId="1">
    <w:nsid w:val="36BF715F"/>
    <w:multiLevelType w:val="singleLevel"/>
    <w:tmpl w:val="36BF71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82796D"/>
    <w:rsid w:val="000A56DB"/>
    <w:rsid w:val="001053D6"/>
    <w:rsid w:val="00245A29"/>
    <w:rsid w:val="00285A7C"/>
    <w:rsid w:val="002F3F1C"/>
    <w:rsid w:val="003004D7"/>
    <w:rsid w:val="004C24D4"/>
    <w:rsid w:val="00604DE4"/>
    <w:rsid w:val="00727FA7"/>
    <w:rsid w:val="0082796D"/>
    <w:rsid w:val="008D6883"/>
    <w:rsid w:val="00A06CA3"/>
    <w:rsid w:val="00A416C2"/>
    <w:rsid w:val="00AD6FB3"/>
    <w:rsid w:val="00AE2A56"/>
    <w:rsid w:val="00C64FB1"/>
    <w:rsid w:val="00E37A21"/>
    <w:rsid w:val="00EB1AB7"/>
    <w:rsid w:val="01610878"/>
    <w:rsid w:val="0A0C4FCD"/>
    <w:rsid w:val="0AB63A17"/>
    <w:rsid w:val="19A5620F"/>
    <w:rsid w:val="1A163D48"/>
    <w:rsid w:val="22AC5722"/>
    <w:rsid w:val="23DD4FEC"/>
    <w:rsid w:val="350F1139"/>
    <w:rsid w:val="489238C0"/>
    <w:rsid w:val="496B24D0"/>
    <w:rsid w:val="51124B24"/>
    <w:rsid w:val="63BE0AEA"/>
    <w:rsid w:val="78F74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sz w:val="28"/>
      <w:szCs w:val="28"/>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3</Pages>
  <Words>2082</Words>
  <Characters>2165</Characters>
  <Lines>16</Lines>
  <Paragraphs>4</Paragraphs>
  <TotalTime>1</TotalTime>
  <ScaleCrop>false</ScaleCrop>
  <LinksUpToDate>false</LinksUpToDate>
  <CharactersWithSpaces>2184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2022-03-24T07:37:00Z</dcterms:created>
  <dc:creator>顾小燕</dc:creator>
  <cp:lastModifiedBy>飞飞</cp:lastModifiedBy>
  <dcterms:modified xsi:type="dcterms:W3CDTF">2023-09-13T03:48:26Z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E8108361CFFC424381290129FE068B32</vt:lpwstr>
  </property>
</Properties>
</file>