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36"/>
          <w:szCs w:val="36"/>
          <w:highlight w:val="none"/>
          <w:lang w:eastAsia="zh-CN"/>
        </w:rPr>
      </w:pPr>
      <w:bookmarkStart w:id="0" w:name="_Toc2064"/>
      <w:bookmarkStart w:id="1" w:name="_Toc28359012"/>
      <w:bookmarkStart w:id="2" w:name="_Toc28359089"/>
      <w:bookmarkStart w:id="3" w:name="_Toc35393798"/>
      <w:bookmarkStart w:id="4" w:name="_Toc636"/>
      <w:bookmarkStart w:id="5" w:name="_Toc35393629"/>
      <w:bookmarkStart w:id="6" w:name="_Toc12332"/>
      <w:r>
        <w:rPr>
          <w:rFonts w:hint="eastAsia" w:ascii="仿宋" w:hAnsi="仿宋" w:eastAsia="仿宋" w:cs="仿宋"/>
          <w:b/>
          <w:sz w:val="36"/>
          <w:szCs w:val="36"/>
          <w:highlight w:val="none"/>
          <w:lang w:val="en-US" w:eastAsia="zh-CN"/>
        </w:rPr>
        <w:t>南通市如皋生态环境</w:t>
      </w:r>
      <w:r>
        <w:rPr>
          <w:rFonts w:hint="eastAsia" w:ascii="仿宋" w:hAnsi="仿宋" w:eastAsia="仿宋" w:cs="仿宋"/>
          <w:b/>
          <w:sz w:val="36"/>
          <w:szCs w:val="36"/>
          <w:highlight w:val="none"/>
          <w:lang w:eastAsia="zh-CN"/>
        </w:rPr>
        <w:t>局高风险遗留地块土壤污染风险</w:t>
      </w:r>
    </w:p>
    <w:p>
      <w:pPr>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lang w:eastAsia="zh-CN"/>
        </w:rPr>
        <w:t>管控排查</w:t>
      </w:r>
      <w:r>
        <w:rPr>
          <w:rFonts w:hint="eastAsia" w:ascii="仿宋" w:hAnsi="仿宋" w:eastAsia="仿宋" w:cs="仿宋"/>
          <w:b/>
          <w:sz w:val="36"/>
          <w:szCs w:val="36"/>
          <w:highlight w:val="none"/>
          <w:lang w:val="en-US" w:eastAsia="zh-CN"/>
        </w:rPr>
        <w:t>竞争性谈判采购</w:t>
      </w:r>
      <w:r>
        <w:rPr>
          <w:rFonts w:hint="eastAsia" w:ascii="仿宋" w:hAnsi="仿宋" w:eastAsia="仿宋" w:cs="仿宋"/>
          <w:b/>
          <w:sz w:val="36"/>
          <w:szCs w:val="36"/>
          <w:highlight w:val="none"/>
        </w:rPr>
        <w:t>文件</w:t>
      </w:r>
    </w:p>
    <w:p>
      <w:pPr>
        <w:pStyle w:val="10"/>
        <w:keepNext w:val="0"/>
        <w:keepLines w:val="0"/>
        <w:pageBreakBefore w:val="0"/>
        <w:kinsoku/>
        <w:wordWrap/>
        <w:overflowPunct/>
        <w:topLinePunct w:val="0"/>
        <w:autoSpaceDE/>
        <w:autoSpaceDN/>
        <w:bidi w:val="0"/>
        <w:snapToGrid/>
        <w:spacing w:after="0" w:line="500" w:lineRule="exact"/>
        <w:outlineLvl w:val="1"/>
        <w:rPr>
          <w:rFonts w:hint="eastAsia" w:ascii="黑体" w:hAnsi="黑体" w:eastAsia="黑体"/>
          <w:sz w:val="28"/>
          <w:szCs w:val="28"/>
          <w:highlight w:val="none"/>
        </w:rPr>
      </w:pPr>
    </w:p>
    <w:p>
      <w:pPr>
        <w:pStyle w:val="10"/>
        <w:keepNext w:val="0"/>
        <w:keepLines w:val="0"/>
        <w:pageBreakBefore w:val="0"/>
        <w:kinsoku/>
        <w:wordWrap/>
        <w:overflowPunct/>
        <w:topLinePunct w:val="0"/>
        <w:autoSpaceDE/>
        <w:autoSpaceDN/>
        <w:bidi w:val="0"/>
        <w:snapToGrid/>
        <w:spacing w:after="0" w:line="500" w:lineRule="exact"/>
        <w:outlineLvl w:val="1"/>
        <w:rPr>
          <w:rFonts w:ascii="黑体" w:hAnsi="黑体" w:eastAsia="黑体"/>
          <w:b/>
          <w:sz w:val="28"/>
          <w:szCs w:val="28"/>
          <w:highlight w:val="none"/>
        </w:rPr>
      </w:pPr>
      <w:r>
        <w:rPr>
          <w:rFonts w:hint="eastAsia" w:ascii="黑体" w:hAnsi="黑体" w:eastAsia="黑体"/>
          <w:sz w:val="28"/>
          <w:szCs w:val="28"/>
          <w:highlight w:val="none"/>
        </w:rPr>
        <w:t>一、项目基本情况</w:t>
      </w:r>
      <w:bookmarkEnd w:id="0"/>
      <w:bookmarkEnd w:id="1"/>
      <w:bookmarkEnd w:id="2"/>
      <w:bookmarkEnd w:id="3"/>
      <w:bookmarkEnd w:id="4"/>
      <w:bookmarkEnd w:id="5"/>
      <w:bookmarkEnd w:id="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Times New Roman"/>
          <w:sz w:val="28"/>
          <w:szCs w:val="28"/>
          <w:highlight w:val="none"/>
          <w:lang w:val="en-US" w:eastAsia="zh-CN"/>
        </w:rPr>
      </w:pPr>
      <w:r>
        <w:rPr>
          <w:rFonts w:hint="eastAsia" w:ascii="仿宋" w:hAnsi="仿宋" w:eastAsia="仿宋" w:cs="仿宋"/>
          <w:sz w:val="28"/>
          <w:szCs w:val="28"/>
          <w:highlight w:val="none"/>
        </w:rPr>
        <w:t>（一）项目名称</w:t>
      </w:r>
      <w:r>
        <w:rPr>
          <w:rFonts w:hint="eastAsia" w:ascii="仿宋" w:hAnsi="仿宋" w:eastAsia="仿宋"/>
          <w:sz w:val="28"/>
          <w:szCs w:val="28"/>
          <w:highlight w:val="none"/>
          <w:lang w:val="en-US" w:eastAsia="zh-CN"/>
        </w:rPr>
        <w:t>：</w:t>
      </w:r>
      <w:r>
        <w:rPr>
          <w:rFonts w:hint="eastAsia" w:ascii="仿宋" w:hAnsi="仿宋" w:eastAsia="仿宋" w:cs="Times New Roman"/>
          <w:sz w:val="28"/>
          <w:szCs w:val="28"/>
          <w:highlight w:val="none"/>
          <w:lang w:val="en-US" w:eastAsia="zh-CN"/>
        </w:rPr>
        <w:t>高风险遗留地块土壤污染风险管控排查</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（二）采购人：</w:t>
      </w:r>
      <w:r>
        <w:rPr>
          <w:rFonts w:hint="eastAsia" w:ascii="仿宋" w:hAnsi="仿宋" w:eastAsia="仿宋"/>
          <w:sz w:val="28"/>
          <w:szCs w:val="28"/>
          <w:highlight w:val="none"/>
          <w:lang w:val="en-US" w:eastAsia="zh-CN"/>
        </w:rPr>
        <w:t>南通市如皋生态环境局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（三）计划编号</w:t>
      </w:r>
      <w:r>
        <w:rPr>
          <w:rFonts w:hint="eastAsia" w:ascii="仿宋" w:hAnsi="仿宋" w:eastAsia="仿宋"/>
          <w:sz w:val="28"/>
          <w:szCs w:val="28"/>
          <w:highlight w:val="none"/>
          <w:lang w:eastAsia="zh-CN"/>
        </w:rPr>
        <w:t>：</w:t>
      </w:r>
      <w:r>
        <w:rPr>
          <w:rFonts w:hint="eastAsia" w:ascii="仿宋" w:hAnsi="仿宋" w:eastAsia="仿宋"/>
          <w:sz w:val="28"/>
          <w:szCs w:val="28"/>
          <w:highlight w:val="none"/>
          <w:lang w:eastAsia="zh-CN"/>
        </w:rPr>
        <w:t>320682-2023-04-0481</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（四）预算金额：人民币</w:t>
      </w:r>
      <w:r>
        <w:rPr>
          <w:rFonts w:hint="eastAsia" w:ascii="仿宋" w:hAnsi="仿宋" w:eastAsia="仿宋" w:cs="仿宋"/>
          <w:sz w:val="28"/>
          <w:szCs w:val="28"/>
          <w:highlight w:val="none"/>
          <w:lang w:val="en-US" w:eastAsia="zh-CN"/>
        </w:rPr>
        <w:t>6.2</w:t>
      </w:r>
      <w:r>
        <w:rPr>
          <w:rFonts w:hint="eastAsia" w:ascii="仿宋" w:hAnsi="仿宋" w:eastAsia="仿宋" w:cs="仿宋"/>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（五）最高限价：人民币</w:t>
      </w:r>
      <w:r>
        <w:rPr>
          <w:rFonts w:hint="eastAsia" w:ascii="仿宋" w:hAnsi="仿宋" w:eastAsia="仿宋" w:cs="仿宋"/>
          <w:sz w:val="28"/>
          <w:szCs w:val="28"/>
          <w:highlight w:val="none"/>
          <w:lang w:val="en-US" w:eastAsia="zh-CN"/>
        </w:rPr>
        <w:t>6.2</w:t>
      </w:r>
      <w:r>
        <w:rPr>
          <w:rFonts w:hint="eastAsia" w:ascii="仿宋" w:hAnsi="仿宋" w:eastAsia="仿宋" w:cs="仿宋"/>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ascii="仿宋" w:hAnsi="仿宋" w:eastAsia="仿宋" w:cs="仿宋"/>
          <w:sz w:val="28"/>
          <w:szCs w:val="28"/>
          <w:highlight w:val="none"/>
        </w:rPr>
      </w:pPr>
      <w:r>
        <w:rPr>
          <w:rFonts w:hint="eastAsia" w:ascii="仿宋" w:hAnsi="仿宋" w:eastAsia="仿宋" w:cs="仿宋"/>
          <w:sz w:val="28"/>
          <w:szCs w:val="28"/>
          <w:highlight w:val="none"/>
        </w:rPr>
        <w:t>（六）采购需求：</w:t>
      </w:r>
      <w:r>
        <w:rPr>
          <w:rFonts w:hint="eastAsia" w:ascii="仿宋" w:hAnsi="仿宋" w:eastAsia="仿宋" w:cs="仿宋"/>
          <w:sz w:val="28"/>
          <w:szCs w:val="28"/>
          <w:highlight w:val="none"/>
        </w:rPr>
        <w:t>根据《省生态环境厅关于开展高风险遗留地块土壤污染风险管控指导帮扶工作的通知》（苏环便函〔2023〕308号）要求，对如皋市62个高风险遗留地块</w:t>
      </w:r>
      <w:r>
        <w:rPr>
          <w:rFonts w:hint="eastAsia" w:ascii="仿宋" w:hAnsi="仿宋" w:eastAsia="仿宋" w:cs="仿宋"/>
          <w:sz w:val="28"/>
          <w:szCs w:val="28"/>
          <w:highlight w:val="none"/>
          <w:lang w:val="en-US" w:eastAsia="zh-CN"/>
        </w:rPr>
        <w:t>(附件1)</w:t>
      </w:r>
      <w:r>
        <w:rPr>
          <w:rFonts w:hint="eastAsia" w:ascii="仿宋" w:hAnsi="仿宋" w:eastAsia="仿宋" w:cs="仿宋"/>
          <w:sz w:val="28"/>
          <w:szCs w:val="28"/>
          <w:highlight w:val="none"/>
        </w:rPr>
        <w:t>开展土壤污染风险管控现状排查并编制现状排查及风险管控情况报告。报告内容包括地块基本情况、地块现状、土壤污染状况调查情况、地块周边情况、地块规划用途、地块风险管控措施落实情况等内容，并填写</w:t>
      </w:r>
      <w:r>
        <w:rPr>
          <w:rFonts w:hint="eastAsia" w:ascii="仿宋" w:hAnsi="仿宋" w:eastAsia="仿宋" w:cs="Times New Roman"/>
          <w:sz w:val="28"/>
          <w:szCs w:val="28"/>
          <w:highlight w:val="none"/>
          <w:lang w:val="en-US" w:eastAsia="zh-CN"/>
        </w:rPr>
        <w:t>高风险遗留地块现状排查信息表</w:t>
      </w:r>
      <w:r>
        <w:rPr>
          <w:rFonts w:hint="eastAsia" w:ascii="仿宋" w:hAnsi="仿宋" w:eastAsia="仿宋" w:cs="仿宋"/>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rPr>
        <w:t>（七）合同履行期限：</w:t>
      </w:r>
      <w:r>
        <w:rPr>
          <w:rFonts w:hint="eastAsia" w:ascii="仿宋" w:hAnsi="仿宋" w:eastAsia="仿宋" w:cs="仿宋"/>
          <w:sz w:val="28"/>
          <w:szCs w:val="28"/>
          <w:highlight w:val="none"/>
          <w:lang w:val="en-US" w:eastAsia="zh-CN"/>
        </w:rPr>
        <w:t>具体根据采购人通知。</w:t>
      </w:r>
    </w:p>
    <w:p>
      <w:pPr>
        <w:keepNext w:val="0"/>
        <w:keepLines w:val="0"/>
        <w:pageBreakBefore w:val="0"/>
        <w:kinsoku/>
        <w:wordWrap/>
        <w:overflowPunct/>
        <w:topLinePunct w:val="0"/>
        <w:autoSpaceDE/>
        <w:autoSpaceDN/>
        <w:bidi w:val="0"/>
        <w:snapToGrid/>
        <w:spacing w:line="500" w:lineRule="exact"/>
        <w:outlineLvl w:val="1"/>
        <w:rPr>
          <w:rFonts w:ascii="黑体" w:hAnsi="黑体" w:eastAsia="黑体"/>
          <w:sz w:val="28"/>
          <w:szCs w:val="28"/>
          <w:highlight w:val="none"/>
        </w:rPr>
      </w:pPr>
      <w:bookmarkStart w:id="7" w:name="_Toc35393799"/>
      <w:bookmarkStart w:id="8" w:name="_Toc10603"/>
      <w:bookmarkStart w:id="9" w:name="_Toc28359090"/>
      <w:bookmarkStart w:id="10" w:name="_Toc31237"/>
      <w:bookmarkStart w:id="11" w:name="_Toc28359013"/>
      <w:bookmarkStart w:id="12" w:name="_Toc35393630"/>
      <w:r>
        <w:rPr>
          <w:rFonts w:hint="eastAsia" w:ascii="黑体" w:hAnsi="黑体" w:eastAsia="黑体"/>
          <w:sz w:val="28"/>
          <w:szCs w:val="28"/>
          <w:highlight w:val="none"/>
        </w:rPr>
        <w:t>二、投标供应商的资格要求：</w:t>
      </w:r>
      <w:bookmarkEnd w:id="7"/>
      <w:bookmarkEnd w:id="8"/>
      <w:bookmarkEnd w:id="9"/>
      <w:bookmarkEnd w:id="10"/>
      <w:bookmarkEnd w:id="11"/>
      <w:bookmarkEnd w:id="12"/>
    </w:p>
    <w:p>
      <w:pPr>
        <w:keepNext w:val="0"/>
        <w:keepLines w:val="0"/>
        <w:pageBreakBefore w:val="0"/>
        <w:kinsoku/>
        <w:wordWrap/>
        <w:overflowPunct/>
        <w:topLinePunct w:val="0"/>
        <w:autoSpaceDE/>
        <w:autoSpaceDN/>
        <w:bidi w:val="0"/>
        <w:adjustRightInd/>
        <w:snapToGrid/>
        <w:spacing w:line="500" w:lineRule="exact"/>
        <w:ind w:firstLine="560" w:firstLineChars="200"/>
        <w:outlineLvl w:val="9"/>
        <w:rPr>
          <w:rFonts w:hint="eastAsia" w:ascii="仿宋" w:hAnsi="仿宋" w:eastAsia="仿宋"/>
          <w:sz w:val="28"/>
          <w:szCs w:val="28"/>
          <w:highlight w:val="none"/>
        </w:rPr>
      </w:pPr>
      <w:bookmarkStart w:id="13" w:name="_Toc11066"/>
      <w:bookmarkStart w:id="14" w:name="_Toc35393631"/>
      <w:bookmarkStart w:id="15" w:name="_Toc28359091"/>
      <w:bookmarkStart w:id="16" w:name="_Toc28359014"/>
      <w:bookmarkStart w:id="17" w:name="_Toc7886"/>
      <w:bookmarkStart w:id="18" w:name="_Toc12499"/>
      <w:bookmarkStart w:id="19" w:name="_Toc35393800"/>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一</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基本</w:t>
      </w:r>
      <w:r>
        <w:rPr>
          <w:rFonts w:hint="eastAsia" w:ascii="仿宋" w:hAnsi="仿宋" w:eastAsia="仿宋"/>
          <w:sz w:val="28"/>
          <w:szCs w:val="28"/>
          <w:highlight w:val="none"/>
        </w:rPr>
        <w:t>条件：</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outlineLvl w:val="9"/>
        <w:rPr>
          <w:rFonts w:ascii="仿宋" w:hAnsi="仿宋" w:eastAsia="仿宋" w:cs="Times New Roman"/>
          <w:kern w:val="2"/>
          <w:sz w:val="28"/>
          <w:szCs w:val="28"/>
          <w:highlight w:val="none"/>
        </w:rPr>
      </w:pPr>
      <w:r>
        <w:rPr>
          <w:rFonts w:hint="eastAsia" w:ascii="仿宋" w:hAnsi="仿宋" w:eastAsia="仿宋" w:cs="Times New Roman"/>
          <w:kern w:val="2"/>
          <w:sz w:val="28"/>
          <w:szCs w:val="28"/>
          <w:highlight w:val="none"/>
          <w:lang w:val="en-US" w:eastAsia="zh-CN"/>
        </w:rPr>
        <w:t>1.</w:t>
      </w:r>
      <w:r>
        <w:rPr>
          <w:rFonts w:hint="eastAsia" w:ascii="仿宋" w:hAnsi="仿宋" w:eastAsia="仿宋" w:cs="Times New Roman"/>
          <w:kern w:val="2"/>
          <w:sz w:val="28"/>
          <w:szCs w:val="28"/>
          <w:highlight w:val="none"/>
        </w:rPr>
        <w:t>具有独立承担民事责任的能力;</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outlineLvl w:val="9"/>
        <w:rPr>
          <w:rFonts w:hint="eastAsia" w:ascii="仿宋" w:hAnsi="仿宋" w:eastAsia="仿宋" w:cs="Times New Roman"/>
          <w:kern w:val="2"/>
          <w:sz w:val="28"/>
          <w:szCs w:val="28"/>
          <w:highlight w:val="none"/>
        </w:rPr>
      </w:pPr>
      <w:r>
        <w:rPr>
          <w:rFonts w:hint="eastAsia" w:ascii="仿宋" w:hAnsi="仿宋" w:eastAsia="仿宋" w:cs="Times New Roman"/>
          <w:kern w:val="2"/>
          <w:sz w:val="28"/>
          <w:szCs w:val="28"/>
          <w:highlight w:val="none"/>
          <w:lang w:val="en-US" w:eastAsia="zh-CN"/>
        </w:rPr>
        <w:t>2.</w:t>
      </w:r>
      <w:r>
        <w:rPr>
          <w:rFonts w:hint="eastAsia" w:ascii="仿宋" w:hAnsi="仿宋" w:eastAsia="仿宋" w:cs="Times New Roman"/>
          <w:kern w:val="2"/>
          <w:sz w:val="28"/>
          <w:szCs w:val="28"/>
          <w:highlight w:val="none"/>
        </w:rPr>
        <w:t>具有良好的商业信誉和健全的财务会计制度;</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outlineLvl w:val="9"/>
        <w:rPr>
          <w:rFonts w:hint="eastAsia" w:ascii="仿宋" w:hAnsi="仿宋" w:eastAsia="仿宋" w:cs="Times New Roman"/>
          <w:kern w:val="2"/>
          <w:sz w:val="28"/>
          <w:szCs w:val="28"/>
          <w:highlight w:val="none"/>
        </w:rPr>
      </w:pPr>
      <w:r>
        <w:rPr>
          <w:rFonts w:hint="eastAsia" w:ascii="仿宋" w:hAnsi="仿宋" w:eastAsia="仿宋" w:cs="Times New Roman"/>
          <w:kern w:val="2"/>
          <w:sz w:val="28"/>
          <w:szCs w:val="28"/>
          <w:highlight w:val="none"/>
          <w:lang w:val="en-US" w:eastAsia="zh-CN"/>
        </w:rPr>
        <w:t>3.</w:t>
      </w:r>
      <w:r>
        <w:rPr>
          <w:rFonts w:hint="eastAsia" w:ascii="仿宋" w:hAnsi="仿宋" w:eastAsia="仿宋" w:cs="Times New Roman"/>
          <w:kern w:val="2"/>
          <w:sz w:val="28"/>
          <w:szCs w:val="28"/>
          <w:highlight w:val="none"/>
        </w:rPr>
        <w:t>具有履行合同所必需的设备和专业技术能力;</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outlineLvl w:val="9"/>
        <w:rPr>
          <w:rFonts w:hint="eastAsia" w:ascii="仿宋" w:hAnsi="仿宋" w:eastAsia="仿宋" w:cs="Times New Roman"/>
          <w:kern w:val="2"/>
          <w:sz w:val="28"/>
          <w:szCs w:val="28"/>
          <w:highlight w:val="none"/>
        </w:rPr>
      </w:pPr>
      <w:r>
        <w:rPr>
          <w:rFonts w:hint="eastAsia" w:ascii="仿宋" w:hAnsi="仿宋" w:eastAsia="仿宋" w:cs="Times New Roman"/>
          <w:kern w:val="2"/>
          <w:sz w:val="28"/>
          <w:szCs w:val="28"/>
          <w:highlight w:val="none"/>
          <w:lang w:val="en-US" w:eastAsia="zh-CN"/>
        </w:rPr>
        <w:t>4.</w:t>
      </w:r>
      <w:r>
        <w:rPr>
          <w:rFonts w:hint="eastAsia" w:ascii="仿宋" w:hAnsi="仿宋" w:eastAsia="仿宋" w:cs="Times New Roman"/>
          <w:kern w:val="2"/>
          <w:sz w:val="28"/>
          <w:szCs w:val="28"/>
          <w:highlight w:val="none"/>
        </w:rPr>
        <w:t>有依法缴纳税收和社会保障资金的良好记录;</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outlineLvl w:val="9"/>
        <w:rPr>
          <w:rFonts w:hint="eastAsia" w:ascii="仿宋" w:hAnsi="仿宋" w:eastAsia="仿宋" w:cs="Times New Roman"/>
          <w:kern w:val="2"/>
          <w:sz w:val="28"/>
          <w:szCs w:val="28"/>
          <w:highlight w:val="none"/>
        </w:rPr>
      </w:pPr>
      <w:r>
        <w:rPr>
          <w:rFonts w:hint="eastAsia" w:ascii="仿宋" w:hAnsi="仿宋" w:eastAsia="仿宋" w:cs="Times New Roman"/>
          <w:kern w:val="2"/>
          <w:sz w:val="28"/>
          <w:szCs w:val="28"/>
          <w:highlight w:val="none"/>
          <w:lang w:val="en-US" w:eastAsia="zh-CN"/>
        </w:rPr>
        <w:t>5.</w:t>
      </w:r>
      <w:r>
        <w:rPr>
          <w:rFonts w:hint="eastAsia" w:ascii="仿宋" w:hAnsi="仿宋" w:eastAsia="仿宋" w:cs="Times New Roman"/>
          <w:kern w:val="2"/>
          <w:sz w:val="28"/>
          <w:szCs w:val="28"/>
          <w:highlight w:val="none"/>
        </w:rPr>
        <w:t>参加</w:t>
      </w:r>
      <w:r>
        <w:rPr>
          <w:rFonts w:hint="eastAsia" w:ascii="仿宋" w:hAnsi="仿宋" w:eastAsia="仿宋" w:cs="Times New Roman"/>
          <w:kern w:val="2"/>
          <w:sz w:val="28"/>
          <w:szCs w:val="28"/>
          <w:highlight w:val="none"/>
          <w:lang w:eastAsia="zh-CN"/>
        </w:rPr>
        <w:t>采购</w:t>
      </w:r>
      <w:r>
        <w:rPr>
          <w:rFonts w:hint="eastAsia" w:ascii="仿宋" w:hAnsi="仿宋" w:eastAsia="仿宋" w:cs="Times New Roman"/>
          <w:kern w:val="2"/>
          <w:sz w:val="28"/>
          <w:szCs w:val="28"/>
          <w:highlight w:val="none"/>
        </w:rPr>
        <w:t>活动前三年内，在经营活动中没有重大违法记录;</w:t>
      </w:r>
    </w:p>
    <w:p>
      <w:pPr>
        <w:pStyle w:val="1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outlineLvl w:val="9"/>
        <w:rPr>
          <w:rFonts w:hint="eastAsia" w:ascii="仿宋" w:hAnsi="仿宋" w:eastAsia="仿宋" w:cs="Times New Roman"/>
          <w:kern w:val="2"/>
          <w:sz w:val="28"/>
          <w:szCs w:val="28"/>
          <w:highlight w:val="none"/>
        </w:rPr>
      </w:pPr>
      <w:r>
        <w:rPr>
          <w:rFonts w:hint="eastAsia" w:ascii="仿宋" w:hAnsi="仿宋" w:eastAsia="仿宋" w:cs="Times New Roman"/>
          <w:kern w:val="2"/>
          <w:sz w:val="28"/>
          <w:szCs w:val="28"/>
          <w:highlight w:val="none"/>
          <w:lang w:val="en-US" w:eastAsia="zh-CN"/>
        </w:rPr>
        <w:t>6.</w:t>
      </w:r>
      <w:r>
        <w:rPr>
          <w:rFonts w:hint="eastAsia" w:ascii="仿宋" w:hAnsi="仿宋" w:eastAsia="仿宋" w:cs="Times New Roman"/>
          <w:kern w:val="2"/>
          <w:sz w:val="28"/>
          <w:szCs w:val="28"/>
          <w:highlight w:val="none"/>
        </w:rPr>
        <w:t>法律、行政法规规定的其他条件。</w:t>
      </w:r>
    </w:p>
    <w:p>
      <w:pPr>
        <w:pStyle w:val="10"/>
        <w:keepNext w:val="0"/>
        <w:keepLines w:val="0"/>
        <w:pageBreakBefore w:val="0"/>
        <w:widowControl/>
        <w:kinsoku/>
        <w:wordWrap/>
        <w:overflowPunct/>
        <w:topLinePunct w:val="0"/>
        <w:autoSpaceDE/>
        <w:autoSpaceDN/>
        <w:bidi w:val="0"/>
        <w:adjustRightInd/>
        <w:snapToGrid/>
        <w:spacing w:after="0" w:line="500" w:lineRule="exact"/>
        <w:ind w:firstLine="562" w:firstLineChars="200"/>
        <w:textAlignment w:val="auto"/>
        <w:outlineLvl w:val="1"/>
        <w:rPr>
          <w:rFonts w:hint="eastAsia" w:ascii="仿宋" w:hAnsi="仿宋" w:eastAsia="仿宋" w:cs="宋体"/>
          <w:b/>
          <w:bCs/>
          <w:kern w:val="0"/>
          <w:sz w:val="28"/>
          <w:szCs w:val="28"/>
          <w:highlight w:val="none"/>
          <w:lang w:val="en-US" w:eastAsia="zh-CN"/>
        </w:rPr>
      </w:pPr>
      <w:r>
        <w:rPr>
          <w:rFonts w:hint="eastAsia" w:ascii="仿宋" w:hAnsi="仿宋" w:eastAsia="仿宋" w:cs="宋体"/>
          <w:b/>
          <w:bCs/>
          <w:kern w:val="0"/>
          <w:sz w:val="28"/>
          <w:szCs w:val="28"/>
          <w:highlight w:val="none"/>
        </w:rPr>
        <w:t>（</w:t>
      </w:r>
      <w:r>
        <w:rPr>
          <w:rFonts w:hint="eastAsia" w:ascii="仿宋" w:hAnsi="仿宋" w:eastAsia="仿宋" w:cs="宋体"/>
          <w:b/>
          <w:bCs/>
          <w:kern w:val="0"/>
          <w:sz w:val="28"/>
          <w:szCs w:val="28"/>
          <w:highlight w:val="none"/>
          <w:lang w:val="en-US" w:eastAsia="zh-CN"/>
        </w:rPr>
        <w:t>二</w:t>
      </w:r>
      <w:r>
        <w:rPr>
          <w:rFonts w:hint="eastAsia" w:ascii="仿宋" w:hAnsi="仿宋" w:eastAsia="仿宋" w:cs="宋体"/>
          <w:b/>
          <w:bCs/>
          <w:kern w:val="0"/>
          <w:sz w:val="28"/>
          <w:szCs w:val="28"/>
          <w:highlight w:val="none"/>
        </w:rPr>
        <w:t>）</w:t>
      </w:r>
      <w:r>
        <w:rPr>
          <w:rFonts w:hint="eastAsia" w:ascii="仿宋" w:hAnsi="仿宋" w:eastAsia="仿宋" w:cs="宋体"/>
          <w:b/>
          <w:bCs/>
          <w:kern w:val="0"/>
          <w:sz w:val="28"/>
          <w:szCs w:val="28"/>
          <w:highlight w:val="none"/>
          <w:lang w:val="en-US" w:eastAsia="zh-CN"/>
        </w:rPr>
        <w:t>特定资格要求：</w:t>
      </w:r>
    </w:p>
    <w:p>
      <w:pPr>
        <w:pStyle w:val="2"/>
        <w:keepNext w:val="0"/>
        <w:keepLines w:val="0"/>
        <w:pageBreakBefore w:val="0"/>
        <w:kinsoku/>
        <w:wordWrap/>
        <w:overflowPunct/>
        <w:topLinePunct w:val="0"/>
        <w:autoSpaceDE/>
        <w:autoSpaceDN/>
        <w:bidi w:val="0"/>
        <w:snapToGrid/>
        <w:spacing w:line="500" w:lineRule="exact"/>
        <w:ind w:firstLine="560" w:firstLineChars="200"/>
        <w:rPr>
          <w:rFonts w:hint="eastAsia" w:ascii="仿宋" w:hAnsi="仿宋" w:eastAsia="仿宋"/>
          <w:iCs/>
          <w:sz w:val="28"/>
          <w:szCs w:val="28"/>
          <w:highlight w:val="none"/>
          <w:lang w:val="en-US" w:eastAsia="zh-CN"/>
        </w:rPr>
      </w:pPr>
      <w:r>
        <w:rPr>
          <w:rFonts w:hint="eastAsia" w:ascii="仿宋" w:hAnsi="仿宋" w:eastAsia="仿宋"/>
          <w:iCs/>
          <w:sz w:val="28"/>
          <w:szCs w:val="28"/>
          <w:highlight w:val="none"/>
          <w:lang w:val="en-US" w:eastAsia="zh-CN"/>
        </w:rPr>
        <w:t>项目负责人需为环境类高级工程师（提供用工合同），</w:t>
      </w:r>
      <w:r>
        <w:rPr>
          <w:rFonts w:hint="eastAsia" w:ascii="仿宋" w:hAnsi="仿宋" w:eastAsia="仿宋"/>
          <w:sz w:val="28"/>
          <w:szCs w:val="28"/>
          <w:highlight w:val="none"/>
          <w:lang w:val="en-US" w:eastAsia="zh-CN"/>
        </w:rPr>
        <w:t>编制完成的土壤污染现状排查及风险管控情况报告</w:t>
      </w:r>
      <w:r>
        <w:rPr>
          <w:rFonts w:hint="eastAsia" w:ascii="仿宋" w:hAnsi="仿宋" w:eastAsia="仿宋"/>
          <w:iCs/>
          <w:sz w:val="28"/>
          <w:szCs w:val="28"/>
          <w:highlight w:val="none"/>
          <w:lang w:val="en-US" w:eastAsia="zh-CN"/>
        </w:rPr>
        <w:t>需经项目负责人的审核把关。（格式见附件2）</w:t>
      </w:r>
    </w:p>
    <w:p>
      <w:pPr>
        <w:pStyle w:val="10"/>
        <w:keepNext w:val="0"/>
        <w:keepLines w:val="0"/>
        <w:pageBreakBefore w:val="0"/>
        <w:kinsoku/>
        <w:wordWrap/>
        <w:overflowPunct/>
        <w:topLinePunct w:val="0"/>
        <w:autoSpaceDE/>
        <w:autoSpaceDN/>
        <w:bidi w:val="0"/>
        <w:snapToGrid/>
        <w:spacing w:after="0" w:line="500" w:lineRule="exact"/>
        <w:outlineLvl w:val="1"/>
        <w:rPr>
          <w:rFonts w:ascii="黑体" w:hAnsi="黑体" w:eastAsia="黑体"/>
          <w:sz w:val="28"/>
          <w:szCs w:val="28"/>
          <w:highlight w:val="none"/>
        </w:rPr>
      </w:pPr>
      <w:r>
        <w:rPr>
          <w:rFonts w:hint="eastAsia" w:ascii="黑体" w:hAnsi="黑体" w:eastAsia="黑体"/>
          <w:sz w:val="28"/>
          <w:szCs w:val="28"/>
          <w:highlight w:val="none"/>
        </w:rPr>
        <w:t>三、</w:t>
      </w:r>
      <w:bookmarkEnd w:id="13"/>
      <w:bookmarkEnd w:id="14"/>
      <w:bookmarkEnd w:id="15"/>
      <w:bookmarkEnd w:id="16"/>
      <w:bookmarkEnd w:id="17"/>
      <w:bookmarkEnd w:id="18"/>
      <w:bookmarkEnd w:id="19"/>
      <w:r>
        <w:rPr>
          <w:rFonts w:hint="eastAsia" w:ascii="黑体" w:hAnsi="黑体" w:eastAsia="黑体"/>
          <w:sz w:val="28"/>
          <w:szCs w:val="28"/>
          <w:highlight w:val="none"/>
        </w:rPr>
        <w:t>项目需求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黑体" w:hAnsi="黑体" w:eastAsia="黑体"/>
          <w:sz w:val="28"/>
          <w:szCs w:val="28"/>
          <w:highlight w:val="none"/>
        </w:rPr>
      </w:pPr>
      <w:bookmarkStart w:id="20" w:name="_Toc26271"/>
      <w:bookmarkStart w:id="21" w:name="_Toc12782"/>
      <w:r>
        <w:rPr>
          <w:rFonts w:hint="eastAsia" w:ascii="黑体" w:hAnsi="黑体" w:eastAsia="黑体"/>
          <w:sz w:val="28"/>
          <w:szCs w:val="28"/>
          <w:highlight w:val="none"/>
        </w:rPr>
        <w:t>（一）项目简介：</w:t>
      </w:r>
      <w:bookmarkEnd w:id="20"/>
      <w:bookmarkEnd w:id="21"/>
    </w:p>
    <w:p>
      <w:pPr>
        <w:keepNext w:val="0"/>
        <w:keepLines w:val="0"/>
        <w:pageBreakBefore w:val="0"/>
        <w:kinsoku/>
        <w:wordWrap/>
        <w:overflowPunct/>
        <w:topLinePunct w:val="0"/>
        <w:autoSpaceDE/>
        <w:autoSpaceDN/>
        <w:bidi w:val="0"/>
        <w:snapToGrid/>
        <w:spacing w:line="500" w:lineRule="exact"/>
        <w:ind w:firstLine="560" w:firstLineChars="200"/>
        <w:jc w:val="both"/>
        <w:rPr>
          <w:rFonts w:hint="eastAsia" w:ascii="仿宋" w:hAnsi="仿宋" w:eastAsia="仿宋"/>
          <w:sz w:val="28"/>
          <w:szCs w:val="28"/>
          <w:highlight w:val="none"/>
          <w:lang w:val="en-US" w:eastAsia="zh-CN"/>
        </w:rPr>
      </w:pPr>
      <w:bookmarkStart w:id="22" w:name="_Toc22309"/>
      <w:bookmarkStart w:id="23" w:name="_Toc27799"/>
      <w:r>
        <w:rPr>
          <w:rFonts w:hint="eastAsia" w:ascii="仿宋" w:hAnsi="仿宋" w:eastAsia="仿宋"/>
          <w:sz w:val="28"/>
          <w:szCs w:val="28"/>
          <w:highlight w:val="none"/>
          <w:lang w:val="en-US" w:eastAsia="zh-CN"/>
        </w:rPr>
        <w:t>为扎实推进中央生态环境保护督察反馈问题整改，严格落实《关于进一步加强化工等企业关闭遗留地块土壤污染风险管控工作的通知》(苏环办〔2022〕341号)要求，对高风险遗留地块开展土壤污染风险管控现状排查并编制现状排查及风险管控情况报告。</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黑体" w:hAnsi="黑体" w:eastAsia="黑体"/>
          <w:sz w:val="28"/>
          <w:szCs w:val="28"/>
          <w:highlight w:val="none"/>
        </w:rPr>
      </w:pPr>
      <w:r>
        <w:rPr>
          <w:rFonts w:hint="eastAsia" w:ascii="黑体" w:hAnsi="黑体" w:eastAsia="黑体"/>
          <w:sz w:val="28"/>
          <w:szCs w:val="28"/>
          <w:highlight w:val="none"/>
        </w:rPr>
        <w:t>（二）采购内容：</w:t>
      </w:r>
      <w:bookmarkEnd w:id="22"/>
      <w:bookmarkEnd w:id="23"/>
    </w:p>
    <w:p>
      <w:pPr>
        <w:keepNext w:val="0"/>
        <w:keepLines w:val="0"/>
        <w:pageBreakBefore w:val="0"/>
        <w:kinsoku/>
        <w:wordWrap/>
        <w:overflowPunct/>
        <w:topLinePunct w:val="0"/>
        <w:autoSpaceDE/>
        <w:autoSpaceDN/>
        <w:bidi w:val="0"/>
        <w:snapToGrid/>
        <w:spacing w:line="500" w:lineRule="exact"/>
        <w:ind w:firstLine="560" w:firstLineChars="200"/>
        <w:jc w:val="both"/>
        <w:rPr>
          <w:rFonts w:hint="eastAsia" w:ascii="仿宋" w:hAnsi="仿宋" w:eastAsia="仿宋"/>
          <w:sz w:val="28"/>
          <w:szCs w:val="28"/>
          <w:highlight w:val="none"/>
          <w:lang w:val="en-US" w:eastAsia="zh-CN"/>
        </w:rPr>
      </w:pPr>
      <w:bookmarkStart w:id="24" w:name="_Toc30794"/>
      <w:bookmarkStart w:id="25" w:name="_Toc24997"/>
      <w:r>
        <w:rPr>
          <w:rFonts w:hint="eastAsia" w:ascii="仿宋" w:hAnsi="仿宋" w:eastAsia="仿宋"/>
          <w:sz w:val="28"/>
          <w:szCs w:val="28"/>
          <w:highlight w:val="none"/>
          <w:lang w:val="en-US" w:eastAsia="zh-CN"/>
        </w:rPr>
        <w:t>根据《省生态环境厅关于开展高风险遗留地块土壤污染风险管控指导帮扶工作的通知》（苏环便函〔2023〕308号）要求，对如皋市62个高风险遗留地块（附件1）开展土壤污染风险管控现状排查并编制现状排查及风险管控情况报告。报告内容包括地块基本情况、地块现状、土壤污染状况调查情况、地块周边情况、地块规划用途、地块风险管控措施落实情况等内容，并填写高分线遗留地块现状排查信息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黑体" w:hAnsi="黑体" w:eastAsia="黑体"/>
          <w:sz w:val="28"/>
          <w:szCs w:val="28"/>
          <w:highlight w:val="none"/>
        </w:rPr>
      </w:pPr>
      <w:r>
        <w:rPr>
          <w:rFonts w:hint="eastAsia" w:ascii="黑体" w:hAnsi="黑体" w:eastAsia="黑体"/>
          <w:sz w:val="28"/>
          <w:szCs w:val="28"/>
          <w:highlight w:val="none"/>
        </w:rPr>
        <w:t>（三）</w:t>
      </w:r>
      <w:r>
        <w:rPr>
          <w:rFonts w:hint="eastAsia" w:ascii="黑体" w:hAnsi="黑体" w:eastAsia="黑体"/>
          <w:sz w:val="28"/>
          <w:szCs w:val="28"/>
          <w:highlight w:val="none"/>
          <w:lang w:eastAsia="zh-CN"/>
        </w:rPr>
        <w:t>服务</w:t>
      </w:r>
      <w:r>
        <w:rPr>
          <w:rFonts w:hint="eastAsia" w:ascii="黑体" w:hAnsi="黑体" w:eastAsia="黑体"/>
          <w:sz w:val="28"/>
          <w:szCs w:val="28"/>
          <w:highlight w:val="none"/>
        </w:rPr>
        <w:t>要求：</w:t>
      </w:r>
      <w:bookmarkEnd w:id="24"/>
      <w:bookmarkEnd w:id="25"/>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sz w:val="28"/>
          <w:szCs w:val="28"/>
          <w:highlight w:val="none"/>
        </w:rPr>
      </w:pPr>
      <w:bookmarkStart w:id="26" w:name="_Toc28359092"/>
      <w:bookmarkStart w:id="27" w:name="_Toc28359015"/>
      <w:bookmarkStart w:id="28" w:name="_Toc35393632"/>
      <w:bookmarkStart w:id="29" w:name="_Toc7659"/>
      <w:bookmarkStart w:id="30" w:name="_Toc35393801"/>
      <w:bookmarkStart w:id="31" w:name="_Toc29639"/>
      <w:bookmarkStart w:id="32" w:name="_Toc12912"/>
      <w:r>
        <w:rPr>
          <w:rFonts w:hint="eastAsia" w:ascii="仿宋" w:hAnsi="仿宋" w:eastAsia="仿宋"/>
          <w:sz w:val="28"/>
          <w:szCs w:val="28"/>
          <w:highlight w:val="none"/>
          <w:lang w:val="en-US" w:eastAsia="zh-CN"/>
        </w:rPr>
        <w:t>1.</w:t>
      </w:r>
      <w:r>
        <w:rPr>
          <w:rFonts w:hint="eastAsia" w:ascii="仿宋" w:hAnsi="仿宋" w:eastAsia="仿宋"/>
          <w:sz w:val="28"/>
          <w:szCs w:val="28"/>
          <w:highlight w:val="none"/>
        </w:rPr>
        <w:t>服务管理：严格按照相关技术规范以及省</w:t>
      </w:r>
      <w:r>
        <w:rPr>
          <w:rFonts w:hint="eastAsia" w:ascii="仿宋" w:hAnsi="仿宋" w:eastAsia="仿宋"/>
          <w:sz w:val="28"/>
          <w:szCs w:val="28"/>
          <w:highlight w:val="none"/>
          <w:lang w:eastAsia="zh-CN"/>
        </w:rPr>
        <w:t>、</w:t>
      </w:r>
      <w:r>
        <w:rPr>
          <w:rFonts w:hint="eastAsia" w:ascii="仿宋" w:hAnsi="仿宋" w:eastAsia="仿宋"/>
          <w:sz w:val="28"/>
          <w:szCs w:val="28"/>
          <w:highlight w:val="none"/>
        </w:rPr>
        <w:t>市等</w:t>
      </w:r>
      <w:r>
        <w:rPr>
          <w:rFonts w:hint="eastAsia" w:ascii="仿宋" w:hAnsi="仿宋" w:eastAsia="仿宋"/>
          <w:sz w:val="28"/>
          <w:szCs w:val="28"/>
          <w:highlight w:val="none"/>
          <w:lang w:eastAsia="zh-CN"/>
        </w:rPr>
        <w:t>相关</w:t>
      </w:r>
      <w:r>
        <w:rPr>
          <w:rFonts w:hint="eastAsia" w:ascii="仿宋" w:hAnsi="仿宋" w:eastAsia="仿宋"/>
          <w:sz w:val="28"/>
          <w:szCs w:val="28"/>
          <w:highlight w:val="none"/>
        </w:rPr>
        <w:t>规定开展</w:t>
      </w:r>
      <w:r>
        <w:rPr>
          <w:rFonts w:hint="eastAsia" w:ascii="仿宋" w:hAnsi="仿宋" w:eastAsia="仿宋"/>
          <w:sz w:val="28"/>
          <w:szCs w:val="28"/>
          <w:highlight w:val="none"/>
          <w:lang w:eastAsia="zh-CN"/>
        </w:rPr>
        <w:t>排查</w:t>
      </w:r>
      <w:r>
        <w:rPr>
          <w:rFonts w:hint="eastAsia" w:ascii="仿宋" w:hAnsi="仿宋" w:eastAsia="仿宋"/>
          <w:sz w:val="28"/>
          <w:szCs w:val="28"/>
          <w:highlight w:val="none"/>
        </w:rPr>
        <w:t>工作，确保报告的准确性、规范性，负责内部质量控制并对</w:t>
      </w:r>
      <w:r>
        <w:rPr>
          <w:rFonts w:hint="eastAsia" w:ascii="仿宋" w:hAnsi="仿宋" w:eastAsia="仿宋"/>
          <w:sz w:val="28"/>
          <w:szCs w:val="28"/>
          <w:highlight w:val="none"/>
          <w:lang w:eastAsia="zh-CN"/>
        </w:rPr>
        <w:t>报告</w:t>
      </w:r>
      <w:r>
        <w:rPr>
          <w:rFonts w:hint="eastAsia" w:ascii="仿宋" w:hAnsi="仿宋" w:eastAsia="仿宋"/>
          <w:sz w:val="28"/>
          <w:szCs w:val="28"/>
          <w:highlight w:val="none"/>
        </w:rPr>
        <w:t>质量负责。接受南通市如皋生态环境局的质量检查和工作安排</w:t>
      </w:r>
      <w:r>
        <w:rPr>
          <w:rFonts w:hint="eastAsia" w:ascii="仿宋" w:hAnsi="仿宋" w:eastAsia="仿宋"/>
          <w:sz w:val="28"/>
          <w:szCs w:val="28"/>
          <w:highlight w:val="none"/>
          <w:lang w:eastAsia="zh-CN"/>
        </w:rPr>
        <w:t>，</w:t>
      </w:r>
      <w:r>
        <w:rPr>
          <w:rFonts w:hint="eastAsia" w:ascii="仿宋" w:hAnsi="仿宋" w:eastAsia="仿宋"/>
          <w:sz w:val="28"/>
          <w:szCs w:val="28"/>
          <w:highlight w:val="none"/>
        </w:rPr>
        <w:t>应对可能发生的企业申诉、复议、答辩等活动，并承担相应的法律责任。</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sz w:val="28"/>
          <w:szCs w:val="28"/>
          <w:highlight w:val="none"/>
        </w:rPr>
      </w:pPr>
      <w:r>
        <w:rPr>
          <w:rFonts w:hint="eastAsia" w:ascii="仿宋" w:hAnsi="仿宋" w:eastAsia="仿宋"/>
          <w:sz w:val="28"/>
          <w:szCs w:val="28"/>
          <w:highlight w:val="none"/>
          <w:lang w:val="en-US" w:eastAsia="zh-CN"/>
        </w:rPr>
        <w:t>2.</w:t>
      </w:r>
      <w:r>
        <w:rPr>
          <w:rFonts w:hint="eastAsia" w:ascii="仿宋" w:hAnsi="仿宋" w:eastAsia="仿宋"/>
          <w:sz w:val="28"/>
          <w:szCs w:val="28"/>
          <w:highlight w:val="none"/>
          <w:lang w:eastAsia="zh-CN"/>
        </w:rPr>
        <w:t>工作</w:t>
      </w:r>
      <w:r>
        <w:rPr>
          <w:rFonts w:hint="eastAsia" w:ascii="仿宋" w:hAnsi="仿宋" w:eastAsia="仿宋"/>
          <w:sz w:val="28"/>
          <w:szCs w:val="28"/>
          <w:highlight w:val="none"/>
        </w:rPr>
        <w:t>方案：制定详细的</w:t>
      </w:r>
      <w:r>
        <w:rPr>
          <w:rFonts w:hint="eastAsia" w:ascii="仿宋" w:hAnsi="仿宋" w:eastAsia="仿宋"/>
          <w:sz w:val="28"/>
          <w:szCs w:val="28"/>
          <w:highlight w:val="none"/>
          <w:lang w:eastAsia="zh-CN"/>
        </w:rPr>
        <w:t>工作</w:t>
      </w:r>
      <w:r>
        <w:rPr>
          <w:rFonts w:hint="eastAsia" w:ascii="仿宋" w:hAnsi="仿宋" w:eastAsia="仿宋"/>
          <w:sz w:val="28"/>
          <w:szCs w:val="28"/>
          <w:highlight w:val="none"/>
        </w:rPr>
        <w:t>方案，</w:t>
      </w:r>
      <w:r>
        <w:rPr>
          <w:rFonts w:hint="eastAsia" w:ascii="仿宋" w:hAnsi="仿宋" w:eastAsia="仿宋"/>
          <w:sz w:val="28"/>
          <w:szCs w:val="28"/>
          <w:highlight w:val="none"/>
          <w:lang w:eastAsia="zh-CN"/>
        </w:rPr>
        <w:t>包括人员安排、工作进度和</w:t>
      </w:r>
      <w:r>
        <w:rPr>
          <w:rFonts w:hint="eastAsia" w:ascii="仿宋" w:hAnsi="仿宋" w:eastAsia="仿宋"/>
          <w:sz w:val="28"/>
          <w:szCs w:val="28"/>
          <w:highlight w:val="none"/>
          <w:lang w:val="en-US" w:eastAsia="zh-CN"/>
        </w:rPr>
        <w:t>工作</w:t>
      </w:r>
      <w:r>
        <w:rPr>
          <w:rFonts w:hint="eastAsia" w:ascii="仿宋" w:hAnsi="仿宋" w:eastAsia="仿宋"/>
          <w:sz w:val="28"/>
          <w:szCs w:val="28"/>
          <w:highlight w:val="none"/>
        </w:rPr>
        <w:t>保障</w:t>
      </w:r>
      <w:r>
        <w:rPr>
          <w:rFonts w:hint="eastAsia" w:ascii="仿宋" w:hAnsi="仿宋" w:eastAsia="仿宋"/>
          <w:sz w:val="28"/>
          <w:szCs w:val="28"/>
          <w:highlight w:val="none"/>
          <w:lang w:eastAsia="zh-CN"/>
        </w:rPr>
        <w:t>等措施。</w:t>
      </w:r>
      <w:r>
        <w:rPr>
          <w:rFonts w:hint="eastAsia" w:ascii="仿宋" w:hAnsi="仿宋" w:eastAsia="仿宋"/>
          <w:sz w:val="28"/>
          <w:szCs w:val="28"/>
          <w:highlight w:val="none"/>
        </w:rPr>
        <w:t>应安排专门的车辆及人员开展</w:t>
      </w:r>
      <w:r>
        <w:rPr>
          <w:rFonts w:hint="eastAsia" w:ascii="仿宋" w:hAnsi="仿宋" w:eastAsia="仿宋"/>
          <w:sz w:val="28"/>
          <w:szCs w:val="28"/>
          <w:highlight w:val="none"/>
          <w:lang w:eastAsia="zh-CN"/>
        </w:rPr>
        <w:t>排查工作</w:t>
      </w:r>
      <w:r>
        <w:rPr>
          <w:rFonts w:hint="eastAsia" w:ascii="仿宋" w:hAnsi="仿宋" w:eastAsia="仿宋"/>
          <w:sz w:val="28"/>
          <w:szCs w:val="28"/>
          <w:highlight w:val="none"/>
        </w:rPr>
        <w:t>，熟悉国家、省、市相关文件、规范</w:t>
      </w:r>
      <w:r>
        <w:rPr>
          <w:rFonts w:hint="eastAsia" w:ascii="仿宋" w:hAnsi="仿宋" w:eastAsia="仿宋"/>
          <w:sz w:val="28"/>
          <w:szCs w:val="28"/>
          <w:highlight w:val="none"/>
          <w:lang w:eastAsia="zh-CN"/>
        </w:rPr>
        <w:t>及相关规定</w:t>
      </w:r>
      <w:r>
        <w:rPr>
          <w:rFonts w:hint="eastAsia" w:ascii="仿宋" w:hAnsi="仿宋" w:eastAsia="仿宋"/>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sz w:val="28"/>
          <w:szCs w:val="28"/>
          <w:highlight w:val="none"/>
        </w:rPr>
      </w:pP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报送要求：</w:t>
      </w:r>
      <w:r>
        <w:rPr>
          <w:rFonts w:hint="eastAsia" w:ascii="仿宋" w:hAnsi="仿宋" w:eastAsia="仿宋"/>
          <w:sz w:val="28"/>
          <w:szCs w:val="28"/>
          <w:highlight w:val="none"/>
          <w:lang w:val="en-US" w:eastAsia="zh-CN"/>
        </w:rPr>
        <w:t>5月20日前，</w:t>
      </w:r>
      <w:r>
        <w:rPr>
          <w:rFonts w:hint="eastAsia" w:ascii="仿宋" w:hAnsi="仿宋" w:eastAsia="仿宋"/>
          <w:sz w:val="28"/>
          <w:szCs w:val="28"/>
          <w:highlight w:val="none"/>
          <w:lang w:eastAsia="zh-CN"/>
        </w:rPr>
        <w:t>按照附件</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lang w:eastAsia="zh-CN"/>
        </w:rPr>
        <w:t>要求提交排查报告</w:t>
      </w:r>
      <w:r>
        <w:rPr>
          <w:rFonts w:hint="eastAsia" w:ascii="仿宋" w:hAnsi="仿宋" w:eastAsia="仿宋"/>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sz w:val="28"/>
          <w:szCs w:val="28"/>
          <w:highlight w:val="none"/>
        </w:rPr>
      </w:pPr>
      <w:r>
        <w:rPr>
          <w:rFonts w:hint="eastAsia" w:ascii="仿宋" w:hAnsi="仿宋" w:eastAsia="仿宋"/>
          <w:sz w:val="28"/>
          <w:szCs w:val="28"/>
          <w:highlight w:val="none"/>
          <w:lang w:val="en-US" w:eastAsia="zh-CN"/>
        </w:rPr>
        <w:t>4.相关资料要求：</w:t>
      </w:r>
      <w:r>
        <w:rPr>
          <w:rFonts w:hint="eastAsia" w:ascii="仿宋" w:hAnsi="仿宋" w:eastAsia="仿宋"/>
          <w:sz w:val="28"/>
          <w:szCs w:val="28"/>
          <w:highlight w:val="none"/>
        </w:rPr>
        <w:t>供应商应按采购单位要求存档保管，并应及时满足采购单位对调查及评估资料有关调用、审核等要求。供应商须对采购单位提供的数据、材料及评估结果、检测结果具有保密义务（提供的</w:t>
      </w:r>
      <w:r>
        <w:rPr>
          <w:rFonts w:hint="eastAsia" w:ascii="仿宋" w:hAnsi="仿宋" w:eastAsia="仿宋"/>
          <w:sz w:val="28"/>
          <w:szCs w:val="28"/>
          <w:highlight w:val="none"/>
          <w:lang w:val="en-US" w:eastAsia="zh-CN"/>
        </w:rPr>
        <w:t>高风险遗留地块清单</w:t>
      </w:r>
      <w:r>
        <w:rPr>
          <w:rFonts w:hint="eastAsia" w:ascii="仿宋" w:hAnsi="仿宋" w:eastAsia="仿宋"/>
          <w:sz w:val="28"/>
          <w:szCs w:val="28"/>
          <w:highlight w:val="none"/>
        </w:rPr>
        <w:t>以及</w:t>
      </w:r>
      <w:r>
        <w:rPr>
          <w:rFonts w:hint="eastAsia" w:ascii="仿宋" w:hAnsi="仿宋" w:eastAsia="仿宋"/>
          <w:sz w:val="28"/>
          <w:szCs w:val="28"/>
          <w:highlight w:val="none"/>
          <w:lang w:eastAsia="zh-CN"/>
        </w:rPr>
        <w:t>相关</w:t>
      </w:r>
      <w:r>
        <w:rPr>
          <w:rFonts w:hint="eastAsia" w:ascii="仿宋" w:hAnsi="仿宋" w:eastAsia="仿宋"/>
          <w:sz w:val="28"/>
          <w:szCs w:val="28"/>
          <w:highlight w:val="none"/>
        </w:rPr>
        <w:t>联系方式禁止以任何方式泄密），如发现有泄密行为，采购单位有权解除合同并追究其相关责任。</w:t>
      </w:r>
    </w:p>
    <w:p>
      <w:pPr>
        <w:pStyle w:val="10"/>
        <w:keepNext w:val="0"/>
        <w:keepLines w:val="0"/>
        <w:pageBreakBefore w:val="0"/>
        <w:kinsoku/>
        <w:wordWrap/>
        <w:overflowPunct/>
        <w:topLinePunct w:val="0"/>
        <w:autoSpaceDE/>
        <w:autoSpaceDN/>
        <w:bidi w:val="0"/>
        <w:snapToGrid/>
        <w:spacing w:after="0" w:line="500" w:lineRule="exact"/>
        <w:outlineLvl w:val="1"/>
        <w:rPr>
          <w:rFonts w:ascii="黑体" w:hAnsi="黑体" w:eastAsia="黑体"/>
          <w:sz w:val="28"/>
          <w:szCs w:val="28"/>
          <w:highlight w:val="none"/>
        </w:rPr>
      </w:pPr>
      <w:r>
        <w:rPr>
          <w:rFonts w:hint="eastAsia" w:ascii="黑体" w:hAnsi="黑体" w:eastAsia="黑体"/>
          <w:sz w:val="28"/>
          <w:szCs w:val="28"/>
          <w:highlight w:val="none"/>
        </w:rPr>
        <w:t>四、投标文件提交</w:t>
      </w:r>
      <w:bookmarkEnd w:id="26"/>
      <w:bookmarkEnd w:id="27"/>
      <w:bookmarkEnd w:id="28"/>
      <w:bookmarkEnd w:id="29"/>
      <w:bookmarkEnd w:id="30"/>
      <w:bookmarkEnd w:id="31"/>
      <w:bookmarkEnd w:id="32"/>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ascii="仿宋" w:hAnsi="仿宋" w:eastAsia="仿宋"/>
          <w:bCs/>
          <w:color w:val="auto"/>
          <w:sz w:val="28"/>
          <w:szCs w:val="28"/>
          <w:highlight w:val="none"/>
          <w:u w:val="single"/>
        </w:rPr>
      </w:pPr>
      <w:r>
        <w:rPr>
          <w:rFonts w:hint="eastAsia" w:ascii="仿宋" w:hAnsi="仿宋" w:eastAsia="仿宋"/>
          <w:color w:val="auto"/>
          <w:sz w:val="28"/>
          <w:szCs w:val="28"/>
          <w:highlight w:val="none"/>
        </w:rPr>
        <w:t>（一）截止时间：</w:t>
      </w:r>
      <w:r>
        <w:rPr>
          <w:rFonts w:hint="eastAsia" w:ascii="仿宋" w:hAnsi="仿宋" w:eastAsia="仿宋"/>
          <w:b/>
          <w:bCs/>
          <w:color w:val="auto"/>
          <w:sz w:val="28"/>
          <w:szCs w:val="28"/>
          <w:highlight w:val="none"/>
        </w:rPr>
        <w:t>202</w:t>
      </w:r>
      <w:r>
        <w:rPr>
          <w:rFonts w:hint="eastAsia" w:ascii="仿宋" w:hAnsi="仿宋" w:eastAsia="仿宋"/>
          <w:b/>
          <w:bCs/>
          <w:color w:val="auto"/>
          <w:sz w:val="28"/>
          <w:szCs w:val="28"/>
          <w:highlight w:val="none"/>
          <w:lang w:val="en-US" w:eastAsia="zh-CN"/>
        </w:rPr>
        <w:t>3</w:t>
      </w:r>
      <w:r>
        <w:rPr>
          <w:rFonts w:hint="eastAsia" w:ascii="仿宋" w:hAnsi="仿宋" w:eastAsia="仿宋"/>
          <w:b/>
          <w:bCs/>
          <w:color w:val="auto"/>
          <w:sz w:val="28"/>
          <w:szCs w:val="28"/>
          <w:highlight w:val="none"/>
        </w:rPr>
        <w:t>年</w:t>
      </w:r>
      <w:r>
        <w:rPr>
          <w:rFonts w:hint="eastAsia" w:ascii="仿宋" w:hAnsi="仿宋" w:eastAsia="仿宋"/>
          <w:b/>
          <w:bCs/>
          <w:color w:val="auto"/>
          <w:sz w:val="28"/>
          <w:szCs w:val="28"/>
          <w:highlight w:val="none"/>
          <w:lang w:val="en-US" w:eastAsia="zh-CN"/>
        </w:rPr>
        <w:t>4</w:t>
      </w:r>
      <w:r>
        <w:rPr>
          <w:rFonts w:hint="eastAsia" w:ascii="仿宋" w:hAnsi="仿宋" w:eastAsia="仿宋"/>
          <w:b/>
          <w:bCs/>
          <w:color w:val="auto"/>
          <w:sz w:val="28"/>
          <w:szCs w:val="28"/>
          <w:highlight w:val="none"/>
        </w:rPr>
        <w:t>月</w:t>
      </w:r>
      <w:r>
        <w:rPr>
          <w:rFonts w:hint="eastAsia" w:ascii="仿宋" w:hAnsi="仿宋" w:eastAsia="仿宋"/>
          <w:b/>
          <w:bCs/>
          <w:color w:val="auto"/>
          <w:sz w:val="28"/>
          <w:szCs w:val="28"/>
          <w:highlight w:val="none"/>
          <w:lang w:val="en-US" w:eastAsia="zh-CN"/>
        </w:rPr>
        <w:t>28</w:t>
      </w:r>
      <w:r>
        <w:rPr>
          <w:rFonts w:hint="eastAsia" w:ascii="仿宋" w:hAnsi="仿宋" w:eastAsia="仿宋"/>
          <w:b/>
          <w:bCs/>
          <w:color w:val="auto"/>
          <w:sz w:val="28"/>
          <w:szCs w:val="28"/>
          <w:highlight w:val="none"/>
        </w:rPr>
        <w:t>日</w:t>
      </w:r>
      <w:r>
        <w:rPr>
          <w:rFonts w:hint="eastAsia" w:ascii="仿宋" w:hAnsi="仿宋" w:eastAsia="仿宋"/>
          <w:b/>
          <w:bCs/>
          <w:color w:val="auto"/>
          <w:sz w:val="28"/>
          <w:szCs w:val="28"/>
          <w:highlight w:val="none"/>
          <w:lang w:val="en-US" w:eastAsia="zh-CN"/>
        </w:rPr>
        <w:t>14</w:t>
      </w:r>
      <w:r>
        <w:rPr>
          <w:rFonts w:hint="eastAsia" w:ascii="仿宋" w:hAnsi="仿宋" w:eastAsia="仿宋"/>
          <w:b/>
          <w:bCs/>
          <w:color w:val="auto"/>
          <w:sz w:val="28"/>
          <w:szCs w:val="28"/>
          <w:highlight w:val="none"/>
        </w:rPr>
        <w:t>点</w:t>
      </w:r>
      <w:r>
        <w:rPr>
          <w:rFonts w:hint="eastAsia" w:ascii="仿宋" w:hAnsi="仿宋" w:eastAsia="仿宋"/>
          <w:b/>
          <w:bCs/>
          <w:color w:val="auto"/>
          <w:sz w:val="28"/>
          <w:szCs w:val="28"/>
          <w:highlight w:val="none"/>
          <w:lang w:val="en-US" w:eastAsia="zh-CN"/>
        </w:rPr>
        <w:t>00</w:t>
      </w:r>
      <w:r>
        <w:rPr>
          <w:rFonts w:hint="eastAsia" w:ascii="仿宋" w:hAnsi="仿宋" w:eastAsia="仿宋"/>
          <w:b/>
          <w:bCs/>
          <w:color w:val="auto"/>
          <w:sz w:val="28"/>
          <w:szCs w:val="28"/>
          <w:highlight w:val="none"/>
        </w:rPr>
        <w:t>分（北京时间）</w:t>
      </w:r>
      <w:r>
        <w:rPr>
          <w:rFonts w:hint="eastAsia" w:ascii="仿宋" w:hAnsi="仿宋" w:eastAsia="仿宋"/>
          <w:bCs/>
          <w:color w:val="auto"/>
          <w:sz w:val="28"/>
          <w:szCs w:val="28"/>
          <w:highlight w:val="none"/>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highlight w:val="none"/>
        </w:rPr>
      </w:pPr>
      <w:r>
        <w:rPr>
          <w:rFonts w:hint="eastAsia" w:ascii="仿宋" w:hAnsi="仿宋" w:eastAsia="仿宋"/>
          <w:sz w:val="28"/>
          <w:szCs w:val="28"/>
          <w:highlight w:val="none"/>
        </w:rPr>
        <w:t>（二）提交地点：</w:t>
      </w:r>
      <w:r>
        <w:rPr>
          <w:rFonts w:hint="eastAsia" w:ascii="仿宋" w:hAnsi="仿宋" w:eastAsia="仿宋"/>
          <w:sz w:val="28"/>
          <w:szCs w:val="28"/>
          <w:highlight w:val="none"/>
          <w:lang w:val="en-US" w:eastAsia="zh-CN"/>
        </w:rPr>
        <w:t>南通市如皋生态环境局319会议室</w:t>
      </w:r>
      <w:r>
        <w:rPr>
          <w:rFonts w:hint="eastAsia" w:ascii="仿宋" w:hAnsi="仿宋" w:eastAsia="仿宋"/>
          <w:sz w:val="28"/>
          <w:szCs w:val="28"/>
          <w:highlight w:val="none"/>
        </w:rPr>
        <w:t>；</w:t>
      </w:r>
    </w:p>
    <w:p>
      <w:pPr>
        <w:pStyle w:val="10"/>
        <w:keepNext w:val="0"/>
        <w:keepLines w:val="0"/>
        <w:pageBreakBefore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bCs/>
          <w:sz w:val="28"/>
          <w:szCs w:val="28"/>
          <w:highlight w:val="none"/>
          <w:lang w:eastAsia="zh-CN"/>
        </w:rPr>
      </w:pPr>
      <w:bookmarkStart w:id="33" w:name="_Toc2387"/>
      <w:bookmarkStart w:id="34" w:name="_Toc2858"/>
      <w:bookmarkStart w:id="35" w:name="_Toc17343"/>
      <w:bookmarkStart w:id="36" w:name="_Toc15065"/>
      <w:bookmarkStart w:id="37" w:name="_Toc30493"/>
      <w:r>
        <w:rPr>
          <w:rFonts w:hint="eastAsia" w:ascii="仿宋" w:hAnsi="仿宋" w:eastAsia="仿宋" w:cs="仿宋"/>
          <w:bCs/>
          <w:sz w:val="28"/>
          <w:szCs w:val="28"/>
          <w:highlight w:val="none"/>
        </w:rPr>
        <w:t>（三）</w:t>
      </w:r>
      <w:bookmarkStart w:id="38" w:name="_Toc20009"/>
      <w:bookmarkStart w:id="39" w:name="_Toc9224"/>
      <w:r>
        <w:rPr>
          <w:rFonts w:hint="eastAsia" w:ascii="仿宋" w:hAnsi="仿宋" w:eastAsia="仿宋" w:cs="仿宋"/>
          <w:bCs/>
          <w:sz w:val="28"/>
          <w:szCs w:val="28"/>
          <w:highlight w:val="none"/>
        </w:rPr>
        <w:t>投标文件的组成：</w:t>
      </w:r>
      <w:r>
        <w:rPr>
          <w:rFonts w:hint="eastAsia" w:ascii="仿宋" w:hAnsi="仿宋" w:eastAsia="仿宋" w:cs="仿宋"/>
          <w:bCs/>
          <w:sz w:val="28"/>
          <w:szCs w:val="28"/>
          <w:highlight w:val="none"/>
          <w:lang w:eastAsia="zh-CN"/>
        </w:rPr>
        <w:t>资格证明文件（格式自拟）、报价表</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eastAsia="仿宋_GB2312"/>
          <w:kern w:val="2"/>
          <w:sz w:val="28"/>
          <w:szCs w:val="28"/>
          <w:highlight w:val="none"/>
          <w:lang w:bidi="ar"/>
        </w:rPr>
      </w:pPr>
      <w:r>
        <w:rPr>
          <w:rFonts w:hint="eastAsia" w:ascii="仿宋" w:hAnsi="仿宋" w:eastAsia="仿宋"/>
          <w:sz w:val="28"/>
          <w:szCs w:val="28"/>
          <w:highlight w:val="none"/>
        </w:rPr>
        <w:t>本项目</w:t>
      </w:r>
      <w:r>
        <w:rPr>
          <w:rFonts w:hint="eastAsia" w:ascii="仿宋" w:hAnsi="仿宋" w:eastAsia="仿宋"/>
          <w:sz w:val="28"/>
          <w:szCs w:val="28"/>
          <w:highlight w:val="none"/>
          <w:lang w:eastAsia="zh-CN"/>
        </w:rPr>
        <w:t>报价包括服务期间必须的日常易耗品、工具、调试费、培训费等所有费用，</w:t>
      </w:r>
      <w:r>
        <w:rPr>
          <w:rFonts w:hint="eastAsia" w:ascii="仿宋" w:hAnsi="仿宋" w:eastAsia="仿宋"/>
          <w:sz w:val="28"/>
          <w:szCs w:val="28"/>
          <w:highlight w:val="none"/>
        </w:rPr>
        <w:t>采购人不再另行支付其他任何费用。</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highlight w:val="none"/>
        </w:rPr>
      </w:pPr>
      <w:r>
        <w:rPr>
          <w:rFonts w:hint="eastAsia" w:ascii="仿宋" w:hAnsi="仿宋" w:eastAsia="仿宋"/>
          <w:sz w:val="28"/>
          <w:szCs w:val="28"/>
          <w:highlight w:val="none"/>
          <w:lang w:val="en-US" w:eastAsia="zh-CN"/>
        </w:rPr>
        <w:t>（四）</w:t>
      </w:r>
      <w:r>
        <w:rPr>
          <w:rFonts w:hint="eastAsia" w:ascii="仿宋" w:hAnsi="仿宋" w:eastAsia="仿宋"/>
          <w:sz w:val="28"/>
          <w:szCs w:val="28"/>
          <w:highlight w:val="none"/>
        </w:rPr>
        <w:t>投标文件密封要求：将资格审查资料与投标报价文件分别装订成册（一正一副），密封包装并于骑封处加盖公司公章。</w:t>
      </w:r>
    </w:p>
    <w:p>
      <w:pPr>
        <w:pStyle w:val="10"/>
        <w:keepNext w:val="0"/>
        <w:keepLines w:val="0"/>
        <w:pageBreakBefore w:val="0"/>
        <w:kinsoku/>
        <w:wordWrap/>
        <w:overflowPunct/>
        <w:topLinePunct w:val="0"/>
        <w:autoSpaceDE/>
        <w:autoSpaceDN/>
        <w:bidi w:val="0"/>
        <w:snapToGrid/>
        <w:spacing w:after="0" w:line="500" w:lineRule="exact"/>
        <w:outlineLvl w:val="1"/>
        <w:rPr>
          <w:rFonts w:ascii="黑体" w:hAnsi="黑体" w:eastAsia="黑体"/>
          <w:sz w:val="28"/>
          <w:szCs w:val="28"/>
          <w:highlight w:val="none"/>
        </w:rPr>
      </w:pPr>
      <w:r>
        <w:rPr>
          <w:rFonts w:hint="eastAsia" w:ascii="黑体" w:hAnsi="黑体" w:eastAsia="黑体"/>
          <w:sz w:val="28"/>
          <w:szCs w:val="28"/>
          <w:highlight w:val="none"/>
        </w:rPr>
        <w:t>五、</w:t>
      </w:r>
      <w:bookmarkEnd w:id="33"/>
      <w:bookmarkEnd w:id="34"/>
      <w:bookmarkEnd w:id="35"/>
      <w:bookmarkEnd w:id="36"/>
      <w:bookmarkEnd w:id="37"/>
      <w:r>
        <w:rPr>
          <w:rFonts w:hint="eastAsia" w:ascii="黑体" w:hAnsi="黑体" w:eastAsia="黑体"/>
          <w:sz w:val="28"/>
          <w:szCs w:val="28"/>
          <w:highlight w:val="none"/>
        </w:rPr>
        <w:t>评审方法</w:t>
      </w:r>
      <w:bookmarkEnd w:id="38"/>
      <w:bookmarkEnd w:id="39"/>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sz w:val="28"/>
          <w:szCs w:val="28"/>
          <w:highlight w:val="none"/>
        </w:rPr>
      </w:pPr>
      <w:bookmarkStart w:id="40" w:name="_Toc32150"/>
      <w:bookmarkStart w:id="41" w:name="_Toc21505"/>
      <w:bookmarkStart w:id="42" w:name="_Toc35393803"/>
      <w:bookmarkStart w:id="43" w:name="_Toc29438"/>
      <w:bookmarkStart w:id="44" w:name="_Toc29606"/>
      <w:bookmarkStart w:id="45" w:name="_Toc28359094"/>
      <w:bookmarkStart w:id="46" w:name="_Toc24842"/>
      <w:bookmarkStart w:id="47" w:name="_Toc35393634"/>
      <w:bookmarkStart w:id="48" w:name="_Toc28359017"/>
      <w:r>
        <w:rPr>
          <w:rFonts w:hint="eastAsia" w:ascii="仿宋" w:hAnsi="仿宋" w:eastAsia="仿宋" w:cs="仿宋"/>
          <w:sz w:val="28"/>
          <w:szCs w:val="28"/>
          <w:highlight w:val="none"/>
        </w:rPr>
        <w:t>（一）评标方法：采用价格单因素法</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最低价中标。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sz w:val="28"/>
          <w:szCs w:val="28"/>
          <w:highlight w:val="none"/>
        </w:rPr>
      </w:pPr>
      <w:r>
        <w:rPr>
          <w:rFonts w:hint="eastAsia" w:ascii="仿宋" w:hAnsi="仿宋" w:eastAsia="仿宋" w:cs="仿宋"/>
          <w:sz w:val="28"/>
          <w:szCs w:val="28"/>
          <w:highlight w:val="none"/>
        </w:rPr>
        <w:t>当参加采购活动的供应商不足三家时，或者经评审合格供应商不足三家时，采购人可以决定：1.两家时，竞价确定成交供应商；2.一家时，直接协商确定成交价格；3.终止本次采购活动。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sz w:val="28"/>
          <w:szCs w:val="28"/>
          <w:highlight w:val="none"/>
        </w:rPr>
      </w:pPr>
      <w:r>
        <w:rPr>
          <w:rFonts w:hint="eastAsia" w:ascii="仿宋" w:hAnsi="仿宋" w:eastAsia="仿宋" w:cs="仿宋"/>
          <w:sz w:val="28"/>
          <w:szCs w:val="28"/>
          <w:highlight w:val="none"/>
        </w:rPr>
        <w:t>（二）为确保项目的顺利实施，不得恶意竞争，若评委认为报价明细低于成本价的，供应商须提供合理报价证明。若评委认为报价不能形成竞争的则可以提出要求并进行现场报价。</w:t>
      </w:r>
    </w:p>
    <w:bookmarkEnd w:id="40"/>
    <w:bookmarkEnd w:id="41"/>
    <w:bookmarkEnd w:id="42"/>
    <w:bookmarkEnd w:id="43"/>
    <w:bookmarkEnd w:id="44"/>
    <w:bookmarkEnd w:id="45"/>
    <w:bookmarkEnd w:id="46"/>
    <w:bookmarkEnd w:id="47"/>
    <w:bookmarkEnd w:id="48"/>
    <w:p>
      <w:pPr>
        <w:keepNext w:val="0"/>
        <w:keepLines w:val="0"/>
        <w:pageBreakBefore w:val="0"/>
        <w:kinsoku/>
        <w:wordWrap/>
        <w:overflowPunct/>
        <w:topLinePunct w:val="0"/>
        <w:autoSpaceDE/>
        <w:autoSpaceDN/>
        <w:bidi w:val="0"/>
        <w:snapToGrid/>
        <w:spacing w:line="500" w:lineRule="exact"/>
        <w:outlineLvl w:val="1"/>
        <w:rPr>
          <w:rFonts w:ascii="黑体" w:hAnsi="黑体" w:eastAsia="黑体"/>
          <w:sz w:val="28"/>
          <w:szCs w:val="28"/>
          <w:highlight w:val="none"/>
        </w:rPr>
      </w:pPr>
      <w:bookmarkStart w:id="49" w:name="_Toc494"/>
      <w:bookmarkStart w:id="50" w:name="_Toc13198"/>
      <w:r>
        <w:rPr>
          <w:rFonts w:hint="eastAsia" w:ascii="黑体" w:hAnsi="黑体" w:eastAsia="黑体"/>
          <w:sz w:val="28"/>
          <w:szCs w:val="28"/>
          <w:highlight w:val="none"/>
        </w:rPr>
        <w:t>六、</w:t>
      </w:r>
      <w:bookmarkEnd w:id="49"/>
      <w:bookmarkEnd w:id="50"/>
      <w:bookmarkStart w:id="51" w:name="_Toc30669"/>
      <w:bookmarkStart w:id="52" w:name="_Toc29473"/>
      <w:r>
        <w:rPr>
          <w:rFonts w:hint="eastAsia" w:ascii="黑体" w:hAnsi="黑体" w:eastAsia="黑体"/>
          <w:sz w:val="28"/>
          <w:szCs w:val="28"/>
          <w:highlight w:val="none"/>
        </w:rPr>
        <w:t>付款方式</w:t>
      </w:r>
      <w:bookmarkEnd w:id="51"/>
      <w:bookmarkEnd w:id="52"/>
    </w:p>
    <w:p>
      <w:pPr>
        <w:keepNext w:val="0"/>
        <w:keepLines w:val="0"/>
        <w:pageBreakBefore w:val="0"/>
        <w:kinsoku/>
        <w:wordWrap/>
        <w:overflowPunct/>
        <w:topLinePunct w:val="0"/>
        <w:autoSpaceDE/>
        <w:autoSpaceDN/>
        <w:bidi w:val="0"/>
        <w:snapToGrid/>
        <w:spacing w:line="500" w:lineRule="exact"/>
        <w:ind w:firstLine="560" w:firstLineChars="200"/>
        <w:rPr>
          <w:rFonts w:hint="eastAsia" w:ascii="仿宋" w:hAnsi="仿宋" w:eastAsia="仿宋"/>
          <w:sz w:val="28"/>
          <w:szCs w:val="28"/>
          <w:highlight w:val="none"/>
          <w:lang w:eastAsia="zh-CN"/>
        </w:rPr>
      </w:pPr>
      <w:bookmarkStart w:id="53" w:name="_Toc26919"/>
      <w:bookmarkStart w:id="54" w:name="_Toc4943"/>
      <w:bookmarkStart w:id="55" w:name="_Toc14599"/>
      <w:bookmarkStart w:id="56" w:name="_Toc26747"/>
      <w:bookmarkStart w:id="57" w:name="_Toc6414"/>
      <w:bookmarkStart w:id="58" w:name="_Toc19067"/>
      <w:bookmarkStart w:id="59" w:name="_Toc11917"/>
      <w:r>
        <w:rPr>
          <w:rFonts w:hint="eastAsia" w:ascii="仿宋" w:hAnsi="仿宋" w:eastAsia="仿宋"/>
          <w:sz w:val="28"/>
          <w:szCs w:val="28"/>
          <w:highlight w:val="none"/>
          <w:lang w:val="en-US" w:eastAsia="zh-CN"/>
        </w:rPr>
        <w:t>项目结束后按实</w:t>
      </w:r>
      <w:r>
        <w:rPr>
          <w:rFonts w:hint="eastAsia" w:ascii="仿宋" w:hAnsi="仿宋" w:eastAsia="仿宋"/>
          <w:sz w:val="28"/>
          <w:szCs w:val="28"/>
          <w:highlight w:val="none"/>
        </w:rPr>
        <w:t>结算</w:t>
      </w:r>
      <w:r>
        <w:rPr>
          <w:rFonts w:hint="eastAsia" w:ascii="仿宋" w:hAnsi="仿宋" w:eastAsia="仿宋"/>
          <w:sz w:val="28"/>
          <w:szCs w:val="28"/>
          <w:highlight w:val="none"/>
          <w:lang w:eastAsia="zh-CN"/>
        </w:rPr>
        <w:t>。</w:t>
      </w:r>
    </w:p>
    <w:p>
      <w:pPr>
        <w:keepNext w:val="0"/>
        <w:keepLines w:val="0"/>
        <w:pageBreakBefore w:val="0"/>
        <w:kinsoku/>
        <w:wordWrap/>
        <w:overflowPunct/>
        <w:topLinePunct w:val="0"/>
        <w:autoSpaceDE/>
        <w:autoSpaceDN/>
        <w:bidi w:val="0"/>
        <w:snapToGrid/>
        <w:spacing w:line="500" w:lineRule="exact"/>
        <w:ind w:firstLine="560" w:firstLineChars="200"/>
        <w:jc w:val="left"/>
        <w:rPr>
          <w:rFonts w:ascii="仿宋" w:hAnsi="仿宋" w:eastAsia="仿宋"/>
          <w:sz w:val="28"/>
          <w:szCs w:val="28"/>
          <w:highlight w:val="none"/>
        </w:rPr>
      </w:pPr>
      <w:r>
        <w:rPr>
          <w:rFonts w:hint="eastAsia" w:ascii="仿宋" w:hAnsi="仿宋" w:eastAsia="仿宋"/>
          <w:sz w:val="28"/>
          <w:szCs w:val="28"/>
          <w:highlight w:val="none"/>
        </w:rPr>
        <w:t>支付前，乙方应出具符合甲方财务规定以及开票报税要求的相应金额的正式发票。</w:t>
      </w:r>
    </w:p>
    <w:p>
      <w:pPr>
        <w:pStyle w:val="10"/>
        <w:keepNext w:val="0"/>
        <w:keepLines w:val="0"/>
        <w:pageBreakBefore w:val="0"/>
        <w:kinsoku/>
        <w:wordWrap/>
        <w:overflowPunct/>
        <w:topLinePunct w:val="0"/>
        <w:autoSpaceDE/>
        <w:autoSpaceDN/>
        <w:bidi w:val="0"/>
        <w:snapToGrid/>
        <w:spacing w:line="500" w:lineRule="exact"/>
        <w:outlineLvl w:val="1"/>
        <w:rPr>
          <w:rFonts w:ascii="黑体" w:hAnsi="黑体" w:cs="宋体"/>
          <w:b/>
          <w:sz w:val="28"/>
          <w:szCs w:val="28"/>
          <w:highlight w:val="none"/>
        </w:rPr>
      </w:pPr>
      <w:r>
        <w:rPr>
          <w:rFonts w:hint="eastAsia" w:ascii="黑体" w:hAnsi="黑体" w:eastAsia="黑体"/>
          <w:sz w:val="28"/>
          <w:szCs w:val="28"/>
          <w:highlight w:val="none"/>
          <w:lang w:val="en-US" w:eastAsia="zh-CN"/>
        </w:rPr>
        <w:t>七</w:t>
      </w:r>
      <w:r>
        <w:rPr>
          <w:rFonts w:hint="eastAsia" w:ascii="黑体" w:hAnsi="黑体" w:eastAsia="黑体"/>
          <w:sz w:val="28"/>
          <w:szCs w:val="28"/>
          <w:highlight w:val="none"/>
        </w:rPr>
        <w:t>、凡对本次采购提出询问，请按</w:t>
      </w:r>
      <w:r>
        <w:rPr>
          <w:rFonts w:ascii="黑体" w:hAnsi="黑体" w:eastAsia="黑体"/>
          <w:sz w:val="28"/>
          <w:szCs w:val="28"/>
          <w:highlight w:val="none"/>
        </w:rPr>
        <w:t>以下方式</w:t>
      </w:r>
      <w:r>
        <w:rPr>
          <w:rFonts w:hint="eastAsia" w:ascii="黑体" w:hAnsi="黑体" w:eastAsia="黑体"/>
          <w:sz w:val="28"/>
          <w:szCs w:val="28"/>
          <w:highlight w:val="none"/>
        </w:rPr>
        <w:t>联系。</w:t>
      </w:r>
      <w:bookmarkEnd w:id="53"/>
      <w:bookmarkEnd w:id="54"/>
      <w:bookmarkEnd w:id="55"/>
      <w:bookmarkEnd w:id="56"/>
      <w:bookmarkEnd w:id="57"/>
      <w:bookmarkEnd w:id="58"/>
      <w:bookmarkEnd w:id="59"/>
    </w:p>
    <w:p>
      <w:pPr>
        <w:keepNext w:val="0"/>
        <w:keepLines w:val="0"/>
        <w:pageBreakBefore w:val="0"/>
        <w:kinsoku/>
        <w:wordWrap/>
        <w:overflowPunct/>
        <w:topLinePunct w:val="0"/>
        <w:autoSpaceDE/>
        <w:autoSpaceDN/>
        <w:bidi w:val="0"/>
        <w:snapToGrid/>
        <w:spacing w:line="500" w:lineRule="exact"/>
        <w:ind w:left="1129" w:leftChars="371" w:hanging="350" w:hangingChars="125"/>
        <w:jc w:val="left"/>
        <w:rPr>
          <w:rFonts w:ascii="仿宋" w:hAnsi="仿宋" w:eastAsia="仿宋"/>
          <w:sz w:val="28"/>
          <w:szCs w:val="28"/>
          <w:highlight w:val="none"/>
        </w:rPr>
      </w:pPr>
      <w:r>
        <w:rPr>
          <w:rFonts w:hint="eastAsia" w:ascii="仿宋" w:hAnsi="仿宋" w:eastAsia="仿宋"/>
          <w:sz w:val="28"/>
          <w:szCs w:val="28"/>
          <w:highlight w:val="none"/>
        </w:rPr>
        <w:t>名    称：</w:t>
      </w:r>
      <w:r>
        <w:rPr>
          <w:rFonts w:hint="eastAsia" w:ascii="仿宋" w:hAnsi="仿宋" w:eastAsia="仿宋"/>
          <w:sz w:val="28"/>
          <w:szCs w:val="28"/>
          <w:highlight w:val="none"/>
          <w:lang w:val="en-US" w:eastAsia="zh-CN"/>
        </w:rPr>
        <w:t>南通市如皋生态环境局</w:t>
      </w:r>
      <w:r>
        <w:rPr>
          <w:rFonts w:hint="eastAsia" w:ascii="仿宋" w:hAnsi="仿宋" w:eastAsia="仿宋"/>
          <w:sz w:val="28"/>
          <w:szCs w:val="28"/>
          <w:highlight w:val="none"/>
        </w:rPr>
        <w:t xml:space="preserve">                 </w:t>
      </w:r>
    </w:p>
    <w:p>
      <w:pPr>
        <w:keepNext w:val="0"/>
        <w:keepLines w:val="0"/>
        <w:pageBreakBefore w:val="0"/>
        <w:kinsoku/>
        <w:wordWrap/>
        <w:overflowPunct/>
        <w:topLinePunct w:val="0"/>
        <w:autoSpaceDE/>
        <w:autoSpaceDN/>
        <w:bidi w:val="0"/>
        <w:snapToGrid/>
        <w:spacing w:line="500" w:lineRule="exact"/>
        <w:ind w:left="1129" w:leftChars="371" w:hanging="350" w:hangingChars="125"/>
        <w:jc w:val="left"/>
        <w:rPr>
          <w:rFonts w:ascii="仿宋" w:hAnsi="仿宋" w:eastAsia="仿宋"/>
          <w:sz w:val="28"/>
          <w:szCs w:val="28"/>
          <w:highlight w:val="none"/>
        </w:rPr>
      </w:pPr>
      <w:r>
        <w:rPr>
          <w:rFonts w:hint="eastAsia" w:ascii="仿宋" w:hAnsi="仿宋" w:eastAsia="仿宋"/>
          <w:sz w:val="28"/>
          <w:szCs w:val="28"/>
          <w:highlight w:val="none"/>
        </w:rPr>
        <w:t>地    址：南通市如皋市</w:t>
      </w:r>
      <w:r>
        <w:rPr>
          <w:rFonts w:hint="eastAsia" w:ascii="仿宋" w:hAnsi="仿宋" w:eastAsia="仿宋"/>
          <w:sz w:val="28"/>
          <w:szCs w:val="28"/>
          <w:highlight w:val="none"/>
          <w:lang w:val="en-US" w:eastAsia="zh-CN"/>
        </w:rPr>
        <w:t>解放西路12号</w:t>
      </w:r>
      <w:r>
        <w:rPr>
          <w:rFonts w:hint="eastAsia" w:ascii="仿宋" w:hAnsi="仿宋" w:eastAsia="仿宋"/>
          <w:sz w:val="28"/>
          <w:szCs w:val="28"/>
          <w:highlight w:val="none"/>
        </w:rPr>
        <w:t xml:space="preserve">                      </w:t>
      </w:r>
    </w:p>
    <w:p>
      <w:pPr>
        <w:keepNext w:val="0"/>
        <w:keepLines w:val="0"/>
        <w:pageBreakBefore w:val="0"/>
        <w:kinsoku/>
        <w:wordWrap/>
        <w:overflowPunct/>
        <w:topLinePunct w:val="0"/>
        <w:autoSpaceDE/>
        <w:autoSpaceDN/>
        <w:bidi w:val="0"/>
        <w:snapToGrid/>
        <w:spacing w:line="500" w:lineRule="exact"/>
        <w:ind w:firstLine="840" w:firstLineChars="300"/>
        <w:rPr>
          <w:rFonts w:hint="default" w:ascii="仿宋" w:hAnsi="仿宋" w:eastAsia="仿宋"/>
          <w:color w:val="auto"/>
          <w:sz w:val="28"/>
          <w:szCs w:val="28"/>
          <w:highlight w:val="none"/>
          <w:lang w:val="en-US" w:eastAsia="zh-CN"/>
        </w:rPr>
      </w:pPr>
      <w:r>
        <w:rPr>
          <w:rFonts w:hint="eastAsia" w:ascii="仿宋" w:hAnsi="仿宋" w:eastAsia="仿宋"/>
          <w:sz w:val="28"/>
          <w:szCs w:val="28"/>
          <w:highlight w:val="none"/>
        </w:rPr>
        <w:t>联</w:t>
      </w:r>
      <w:r>
        <w:rPr>
          <w:rFonts w:hint="eastAsia" w:ascii="仿宋" w:hAnsi="仿宋" w:eastAsia="仿宋"/>
          <w:color w:val="auto"/>
          <w:sz w:val="28"/>
          <w:szCs w:val="28"/>
          <w:highlight w:val="none"/>
        </w:rPr>
        <w:t>系方式</w:t>
      </w:r>
      <w:r>
        <w:rPr>
          <w:rFonts w:hint="eastAsia" w:ascii="仿宋" w:hAnsi="仿宋" w:eastAsia="仿宋"/>
          <w:color w:val="auto"/>
          <w:sz w:val="28"/>
          <w:szCs w:val="28"/>
          <w:highlight w:val="none"/>
          <w:lang w:val="en-US" w:eastAsia="zh-CN"/>
        </w:rPr>
        <w:t>：石云峰 13773845661</w:t>
      </w:r>
    </w:p>
    <w:p>
      <w:pPr>
        <w:pStyle w:val="3"/>
        <w:rPr>
          <w:color w:val="auto"/>
          <w:highlight w:val="none"/>
        </w:rPr>
      </w:pPr>
    </w:p>
    <w:p>
      <w:pPr>
        <w:rPr>
          <w:highlight w:val="none"/>
        </w:rPr>
      </w:pPr>
    </w:p>
    <w:p>
      <w:pPr>
        <w:pStyle w:val="2"/>
        <w:rPr>
          <w:highlight w:val="none"/>
        </w:rPr>
        <w:sectPr>
          <w:pgSz w:w="11906" w:h="16838"/>
          <w:pgMar w:top="1531" w:right="1531" w:bottom="1531" w:left="1531" w:header="851" w:footer="992" w:gutter="0"/>
          <w:cols w:space="425" w:num="1"/>
          <w:docGrid w:linePitch="326" w:charSpace="0"/>
        </w:sectPr>
      </w:pPr>
    </w:p>
    <w:p>
      <w:pPr>
        <w:widowControl/>
        <w:autoSpaceDE/>
        <w:autoSpaceDN/>
        <w:snapToGrid/>
        <w:spacing w:line="590" w:lineRule="exact"/>
        <w:ind w:firstLine="0"/>
        <w:jc w:val="left"/>
        <w:rPr>
          <w:rFonts w:hint="eastAsia" w:ascii="方正小标宋_GBK" w:eastAsia="方正小标宋_GBK" w:cs="Times New Roman"/>
          <w:snapToGrid/>
          <w:kern w:val="0"/>
          <w:sz w:val="32"/>
          <w:szCs w:val="32"/>
          <w:highlight w:val="none"/>
          <w:lang w:val="en-US" w:eastAsia="zh-CN"/>
        </w:rPr>
      </w:pPr>
      <w:r>
        <w:rPr>
          <w:rFonts w:hint="eastAsia" w:ascii="方正小标宋_GBK" w:eastAsia="方正小标宋_GBK" w:cs="Times New Roman"/>
          <w:snapToGrid/>
          <w:kern w:val="0"/>
          <w:sz w:val="32"/>
          <w:szCs w:val="32"/>
          <w:highlight w:val="none"/>
          <w:lang w:eastAsia="zh-CN"/>
        </w:rPr>
        <w:t>附件</w:t>
      </w:r>
      <w:r>
        <w:rPr>
          <w:rFonts w:hint="eastAsia" w:ascii="方正小标宋_GBK" w:eastAsia="方正小标宋_GBK" w:cs="Times New Roman"/>
          <w:snapToGrid/>
          <w:kern w:val="0"/>
          <w:sz w:val="32"/>
          <w:szCs w:val="32"/>
          <w:highlight w:val="none"/>
          <w:lang w:val="en-US" w:eastAsia="zh-CN"/>
        </w:rPr>
        <w:t>1：</w:t>
      </w:r>
    </w:p>
    <w:tbl>
      <w:tblPr>
        <w:tblStyle w:val="15"/>
        <w:tblW w:w="69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3"/>
        <w:gridCol w:w="5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60"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6"/>
                <w:szCs w:val="36"/>
                <w:highlight w:val="none"/>
                <w:u w:val="none"/>
              </w:rPr>
            </w:pPr>
            <w:r>
              <w:rPr>
                <w:rFonts w:hint="eastAsia" w:ascii="方正小标宋_GBK" w:hAnsi="方正小标宋_GBK" w:eastAsia="方正小标宋_GBK" w:cs="方正小标宋_GBK"/>
                <w:i w:val="0"/>
                <w:iCs w:val="0"/>
                <w:color w:val="000000"/>
                <w:kern w:val="0"/>
                <w:sz w:val="36"/>
                <w:szCs w:val="36"/>
                <w:highlight w:val="none"/>
                <w:u w:val="none"/>
                <w:lang w:val="en-US" w:eastAsia="zh-CN" w:bidi="ar"/>
              </w:rPr>
              <w:t>高风险遗留地块清单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地块名称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原如皋市玉众食品添加剂有限公司地块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原南通多邦染织有限公司地块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原如皋市万隆漂染厂地块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原如皋市新步升净油有限公司地块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原南通市蓝潮石油化工有限公司地块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原如皋市西柳化工厂地块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原南通朝阳化工有限公司地块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原如皋市华龙颜料有限公司地块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原如皋市双良助剂有限公司地块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原南通富尔特化工有限公司地块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原如皋市郭元化工厂地块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原南通市华正氧化锌有限公司地块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原如皋市天利化工有限公司地块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原南通市健强净水材料厂地块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原如皋市油脂化工有限责任公司地块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原如皋市农药有限责任公司地块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原江苏南天絮凝剂有限公司地块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原如皋市化工防腐有限公司地块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原如皋市鼎盛精细化工有限公司地块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原江苏南天农科化工有限公司地块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原如皋市顺达化工厂地块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原南通嘉业染料化工有限责任公司地块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原如皋市新姚化工厂地块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原南通鸿志化工有限公司地块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原南通富尔顿化工有限公司地块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原江苏南天化肥有限公司地块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原如皋市大业化工厂地块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原如皋市航天工贸有限公司地块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原南通市蓝林精细化工有限公司地块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原如皋市信宇兽药原料有限公司地块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原南通市华峰化工有限责任公司地块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原江苏如皋钢铁有限公司地块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原南通长江镍矿精选有限公司地块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原如皋市金财源热镀锌有限公司地块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原如皋市锋源钣焊有限公司地块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原如皋市丽华胶粘剂厂地块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原如皋市开发区电镀厂地块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原如皋市镀锌管厂地块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原如皋市丁北电镀厂地块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原如皋市大华电镀有限公司地块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原南通市苏宏蓄电池厂地块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原如皋市沪江废油净化厂地块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原南通市金龙胶粘剂有限公司地块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原如皋市双马化工有限公司地块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原如皋市中</w:t>
            </w:r>
            <w:r>
              <w:rPr>
                <w:rFonts w:hint="eastAsia" w:ascii="宋体" w:hAnsi="宋体" w:eastAsia="宋体" w:cs="宋体"/>
                <w:i w:val="0"/>
                <w:iCs w:val="0"/>
                <w:color w:val="000000"/>
                <w:kern w:val="0"/>
                <w:sz w:val="22"/>
                <w:szCs w:val="22"/>
                <w:highlight w:val="none"/>
                <w:u w:val="none"/>
                <w:lang w:val="en-US" w:eastAsia="zh-CN" w:bidi="ar"/>
              </w:rPr>
              <w:t>璟</w:t>
            </w:r>
            <w:r>
              <w:rPr>
                <w:rFonts w:ascii="仿宋_GB2312" w:hAnsi="Times New Roman" w:eastAsia="仿宋_GB2312" w:cs="仿宋_GB2312"/>
                <w:i w:val="0"/>
                <w:iCs w:val="0"/>
                <w:color w:val="000000"/>
                <w:kern w:val="0"/>
                <w:sz w:val="22"/>
                <w:szCs w:val="22"/>
                <w:highlight w:val="none"/>
                <w:u w:val="none"/>
                <w:lang w:val="en-US" w:eastAsia="zh-CN" w:bidi="ar"/>
              </w:rPr>
              <w:t>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原南通市顺达氨基酸有限公司地块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原如皋市兴武化工有限公司地块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原南通逸群运动器材有限公司地块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如皋市恒丰染整有限公司地块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如皋市海宏皮革制品有限公司地块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如皋市中如化工有限公司地块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如皋市化学试剂厂有限公司地块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南通市博特化工有限公司地块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南通市豪利莱化工有限公司地块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南通林港化工有限公司地块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如皋市新蒲化工厂地块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如皋市雨润纤维科技有限公司地块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南通泰利达化工有限公司地块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南通市高阳漂白粉有限公司地块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江苏威尔盛肥料有限公司地块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如皋市友邦热处理厂地块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highlight w:val="none"/>
                <w:u w:val="none"/>
              </w:rPr>
            </w:pPr>
            <w:r>
              <w:rPr>
                <w:rFonts w:ascii="仿宋_GB2312" w:hAnsi="Times New Roman" w:eastAsia="仿宋_GB2312" w:cs="仿宋_GB2312"/>
                <w:i w:val="0"/>
                <w:iCs w:val="0"/>
                <w:color w:val="000000"/>
                <w:kern w:val="0"/>
                <w:sz w:val="22"/>
                <w:szCs w:val="22"/>
                <w:highlight w:val="none"/>
                <w:u w:val="none"/>
                <w:lang w:val="en-US" w:eastAsia="zh-CN" w:bidi="ar"/>
              </w:rPr>
              <w:t>南通亨利镍网有限公司地块</w:t>
            </w:r>
          </w:p>
        </w:tc>
      </w:tr>
    </w:tbl>
    <w:p>
      <w:pPr>
        <w:pStyle w:val="2"/>
        <w:jc w:val="center"/>
        <w:rPr>
          <w:rFonts w:hint="default"/>
          <w:highlight w:val="none"/>
          <w:lang w:val="en-US" w:eastAsia="zh-CN"/>
        </w:rPr>
      </w:pPr>
    </w:p>
    <w:p>
      <w:pPr>
        <w:widowControl/>
        <w:autoSpaceDE/>
        <w:autoSpaceDN/>
        <w:snapToGrid/>
        <w:spacing w:line="590" w:lineRule="exact"/>
        <w:ind w:firstLine="0"/>
        <w:jc w:val="left"/>
        <w:rPr>
          <w:rFonts w:ascii="方正小标宋_GBK" w:hAnsi="Times New Roman" w:eastAsia="方正小标宋_GBK" w:cs="Times New Roman"/>
          <w:snapToGrid/>
          <w:kern w:val="0"/>
          <w:sz w:val="32"/>
          <w:szCs w:val="32"/>
          <w:highlight w:val="none"/>
        </w:rPr>
      </w:pPr>
      <w:r>
        <w:rPr>
          <w:rFonts w:hint="eastAsia" w:ascii="方正小标宋_GBK" w:hAnsi="Times New Roman" w:eastAsia="方正小标宋_GBK" w:cs="Times New Roman"/>
          <w:snapToGrid/>
          <w:kern w:val="0"/>
          <w:sz w:val="32"/>
          <w:szCs w:val="32"/>
          <w:highlight w:val="none"/>
        </w:rPr>
        <w:t>附件</w:t>
      </w:r>
      <w:r>
        <w:rPr>
          <w:rFonts w:hint="eastAsia" w:ascii="方正小标宋_GBK" w:eastAsia="方正小标宋_GBK" w:cs="Times New Roman"/>
          <w:snapToGrid/>
          <w:kern w:val="0"/>
          <w:sz w:val="32"/>
          <w:szCs w:val="32"/>
          <w:highlight w:val="none"/>
          <w:lang w:val="en-US" w:eastAsia="zh-CN"/>
        </w:rPr>
        <w:t>2</w:t>
      </w:r>
      <w:r>
        <w:rPr>
          <w:rFonts w:hint="eastAsia" w:ascii="方正小标宋_GBK" w:hAnsi="Times New Roman" w:eastAsia="方正小标宋_GBK" w:cs="Times New Roman"/>
          <w:snapToGrid/>
          <w:kern w:val="0"/>
          <w:sz w:val="32"/>
          <w:szCs w:val="32"/>
          <w:highlight w:val="none"/>
        </w:rPr>
        <w:t>：</w:t>
      </w: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r>
        <w:rPr>
          <w:rFonts w:hint="eastAsia" w:ascii="Times New Roman" w:hAnsi="Times New Roman" w:eastAsia="方正小标宋_GBK" w:cs="Times New Roman"/>
          <w:snapToGrid/>
          <w:kern w:val="0"/>
          <w:sz w:val="44"/>
          <w:szCs w:val="48"/>
          <w:highlight w:val="none"/>
        </w:rPr>
        <w:t>××市××地块现状排查及风险管控情况报告</w:t>
      </w: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32"/>
          <w:szCs w:val="36"/>
          <w:highlight w:val="none"/>
        </w:rPr>
      </w:pPr>
      <w:r>
        <w:rPr>
          <w:rFonts w:hint="eastAsia" w:ascii="Times New Roman" w:hAnsi="Times New Roman" w:eastAsia="方正小标宋_GBK" w:cs="Times New Roman"/>
          <w:snapToGrid/>
          <w:kern w:val="0"/>
          <w:sz w:val="32"/>
          <w:szCs w:val="36"/>
          <w:highlight w:val="none"/>
        </w:rPr>
        <w:t>××市生态环境局</w:t>
      </w:r>
    </w:p>
    <w:p>
      <w:pPr>
        <w:widowControl/>
        <w:autoSpaceDE/>
        <w:autoSpaceDN/>
        <w:snapToGrid/>
        <w:spacing w:line="590" w:lineRule="exact"/>
        <w:ind w:firstLine="0"/>
        <w:jc w:val="center"/>
        <w:rPr>
          <w:rFonts w:ascii="Times New Roman" w:hAnsi="Times New Roman" w:eastAsia="方正小标宋_GBK" w:cs="Times New Roman"/>
          <w:snapToGrid/>
          <w:kern w:val="0"/>
          <w:sz w:val="32"/>
          <w:szCs w:val="36"/>
          <w:highlight w:val="none"/>
        </w:rPr>
      </w:pPr>
      <w:r>
        <w:rPr>
          <w:rFonts w:hint="eastAsia" w:ascii="Times New Roman" w:hAnsi="Times New Roman" w:eastAsia="方正小标宋_GBK" w:cs="Times New Roman"/>
          <w:snapToGrid/>
          <w:kern w:val="0"/>
          <w:sz w:val="32"/>
          <w:szCs w:val="36"/>
          <w:highlight w:val="none"/>
        </w:rPr>
        <w:t>二零二三年×月</w:t>
      </w:r>
    </w:p>
    <w:p>
      <w:pPr>
        <w:widowControl/>
        <w:autoSpaceDE/>
        <w:autoSpaceDN/>
        <w:snapToGrid/>
        <w:spacing w:line="590" w:lineRule="exact"/>
        <w:ind w:firstLine="0"/>
        <w:jc w:val="center"/>
        <w:rPr>
          <w:rFonts w:eastAsia="方正小标宋_GBK"/>
          <w:snapToGrid/>
          <w:sz w:val="44"/>
          <w:szCs w:val="48"/>
          <w:highlight w:val="none"/>
        </w:rPr>
        <w:sectPr>
          <w:footerReference r:id="rId3" w:type="default"/>
          <w:pgSz w:w="11906" w:h="16838"/>
          <w:pgMar w:top="1440" w:right="1800" w:bottom="1440" w:left="1800" w:header="851" w:footer="992" w:gutter="0"/>
          <w:cols w:space="425" w:num="1"/>
          <w:docGrid w:type="lines" w:linePitch="312" w:charSpace="0"/>
        </w:sect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r>
        <w:rPr>
          <w:rFonts w:ascii="Times New Roman" w:hAnsi="Times New Roman" w:eastAsia="方正小标宋_GBK" w:cs="Times New Roman"/>
          <w:snapToGrid/>
          <w:kern w:val="0"/>
          <w:sz w:val="44"/>
          <w:szCs w:val="48"/>
          <w:highlight w:val="none"/>
        </w:rPr>
        <w:t>目  录</w:t>
      </w: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tabs>
          <w:tab w:val="right" w:leader="dot" w:pos="8296"/>
        </w:tabs>
        <w:autoSpaceDE/>
        <w:autoSpaceDN/>
        <w:snapToGrid/>
        <w:spacing w:line="240" w:lineRule="auto"/>
        <w:ind w:firstLine="0"/>
        <w:rPr>
          <w:rFonts w:ascii="Times New Roman" w:hAnsi="Times New Roman" w:eastAsia="方正仿宋_GBK" w:cs="Times New Roman"/>
          <w:snapToGrid/>
          <w:color w:val="auto"/>
          <w:kern w:val="2"/>
          <w:sz w:val="32"/>
          <w:szCs w:val="36"/>
          <w:highlight w:val="none"/>
        </w:rPr>
      </w:pPr>
      <w:r>
        <w:rPr>
          <w:rFonts w:ascii="Times New Roman" w:hAnsi="Times New Roman" w:eastAsia="方正小标宋_GBK" w:cs="Times New Roman"/>
          <w:snapToGrid/>
          <w:kern w:val="2"/>
          <w:sz w:val="44"/>
          <w:szCs w:val="48"/>
          <w:highlight w:val="none"/>
        </w:rPr>
        <w:fldChar w:fldCharType="begin"/>
      </w:r>
      <w:r>
        <w:rPr>
          <w:rFonts w:ascii="Times New Roman" w:hAnsi="Times New Roman" w:eastAsia="方正小标宋_GBK" w:cs="Times New Roman"/>
          <w:snapToGrid/>
          <w:kern w:val="2"/>
          <w:sz w:val="44"/>
          <w:szCs w:val="48"/>
          <w:highlight w:val="none"/>
        </w:rPr>
        <w:instrText xml:space="preserve"> TOC \o "1-1" \h \z \u </w:instrText>
      </w:r>
      <w:r>
        <w:rPr>
          <w:rFonts w:ascii="Times New Roman" w:hAnsi="Times New Roman" w:eastAsia="方正小标宋_GBK" w:cs="Times New Roman"/>
          <w:snapToGrid/>
          <w:kern w:val="2"/>
          <w:sz w:val="44"/>
          <w:szCs w:val="48"/>
          <w:highlight w:val="none"/>
        </w:rPr>
        <w:fldChar w:fldCharType="separate"/>
      </w:r>
      <w:bookmarkStart w:id="72" w:name="_GoBack"/>
      <w:r>
        <w:rPr>
          <w:rFonts w:ascii="Times New Roman" w:hAnsi="Times New Roman" w:eastAsia="方正仿宋_GBK" w:cs="Times New Roman"/>
          <w:snapToGrid w:val="0"/>
          <w:color w:val="auto"/>
          <w:kern w:val="0"/>
          <w:sz w:val="32"/>
          <w:szCs w:val="20"/>
          <w:highlight w:val="none"/>
        </w:rPr>
        <w:fldChar w:fldCharType="begin"/>
      </w:r>
      <w:r>
        <w:rPr>
          <w:rFonts w:ascii="Times New Roman" w:hAnsi="Times New Roman" w:eastAsia="方正仿宋_GBK" w:cs="Times New Roman"/>
          <w:snapToGrid w:val="0"/>
          <w:color w:val="auto"/>
          <w:kern w:val="0"/>
          <w:sz w:val="32"/>
          <w:szCs w:val="20"/>
          <w:highlight w:val="none"/>
        </w:rPr>
        <w:instrText xml:space="preserve"> HYPERLINK \l "_Toc128926442" </w:instrText>
      </w:r>
      <w:r>
        <w:rPr>
          <w:rFonts w:ascii="Times New Roman" w:hAnsi="Times New Roman" w:eastAsia="方正仿宋_GBK" w:cs="Times New Roman"/>
          <w:snapToGrid w:val="0"/>
          <w:color w:val="auto"/>
          <w:kern w:val="0"/>
          <w:sz w:val="32"/>
          <w:szCs w:val="20"/>
          <w:highlight w:val="none"/>
        </w:rPr>
        <w:fldChar w:fldCharType="separate"/>
      </w:r>
      <w:r>
        <w:rPr>
          <w:rFonts w:ascii="Times New Roman" w:hAnsi="Times New Roman" w:eastAsia="方正仿宋_GBK" w:cs="Times New Roman"/>
          <w:snapToGrid/>
          <w:color w:val="auto"/>
          <w:kern w:val="2"/>
          <w:sz w:val="32"/>
          <w:szCs w:val="36"/>
          <w:highlight w:val="none"/>
          <w:u w:val="single"/>
        </w:rPr>
        <w:t>一、地块基本情况</w:t>
      </w:r>
      <w:r>
        <w:rPr>
          <w:rFonts w:ascii="Times New Roman" w:hAnsi="Times New Roman" w:eastAsia="方正仿宋_GBK" w:cs="Times New Roman"/>
          <w:snapToGrid/>
          <w:color w:val="auto"/>
          <w:kern w:val="2"/>
          <w:sz w:val="32"/>
          <w:szCs w:val="36"/>
          <w:highlight w:val="none"/>
        </w:rPr>
        <w:tab/>
      </w:r>
      <w:r>
        <w:rPr>
          <w:rFonts w:ascii="Times New Roman" w:hAnsi="Times New Roman" w:eastAsia="方正仿宋_GBK" w:cs="Times New Roman"/>
          <w:snapToGrid/>
          <w:color w:val="auto"/>
          <w:kern w:val="2"/>
          <w:sz w:val="32"/>
          <w:szCs w:val="36"/>
          <w:highlight w:val="none"/>
        </w:rPr>
        <w:fldChar w:fldCharType="begin"/>
      </w:r>
      <w:r>
        <w:rPr>
          <w:rFonts w:ascii="Times New Roman" w:hAnsi="Times New Roman" w:eastAsia="方正仿宋_GBK" w:cs="Times New Roman"/>
          <w:snapToGrid/>
          <w:color w:val="auto"/>
          <w:kern w:val="2"/>
          <w:sz w:val="32"/>
          <w:szCs w:val="36"/>
          <w:highlight w:val="none"/>
        </w:rPr>
        <w:instrText xml:space="preserve"> PAGEREF _Toc128926442 \h </w:instrText>
      </w:r>
      <w:r>
        <w:rPr>
          <w:rFonts w:ascii="Times New Roman" w:hAnsi="Times New Roman" w:eastAsia="方正仿宋_GBK" w:cs="Times New Roman"/>
          <w:snapToGrid/>
          <w:color w:val="auto"/>
          <w:kern w:val="2"/>
          <w:sz w:val="32"/>
          <w:szCs w:val="36"/>
          <w:highlight w:val="none"/>
        </w:rPr>
        <w:fldChar w:fldCharType="separate"/>
      </w:r>
      <w:r>
        <w:rPr>
          <w:rFonts w:ascii="Times New Roman" w:hAnsi="Times New Roman" w:eastAsia="方正仿宋_GBK" w:cs="Times New Roman"/>
          <w:snapToGrid/>
          <w:color w:val="auto"/>
          <w:kern w:val="2"/>
          <w:sz w:val="32"/>
          <w:szCs w:val="36"/>
          <w:highlight w:val="none"/>
        </w:rPr>
        <w:t>8</w:t>
      </w:r>
      <w:r>
        <w:rPr>
          <w:rFonts w:ascii="Times New Roman" w:hAnsi="Times New Roman" w:eastAsia="方正仿宋_GBK" w:cs="Times New Roman"/>
          <w:snapToGrid/>
          <w:color w:val="auto"/>
          <w:kern w:val="2"/>
          <w:sz w:val="32"/>
          <w:szCs w:val="36"/>
          <w:highlight w:val="none"/>
        </w:rPr>
        <w:fldChar w:fldCharType="end"/>
      </w:r>
      <w:r>
        <w:rPr>
          <w:rFonts w:ascii="Times New Roman" w:hAnsi="Times New Roman" w:eastAsia="方正仿宋_GBK" w:cs="Times New Roman"/>
          <w:snapToGrid/>
          <w:color w:val="auto"/>
          <w:kern w:val="2"/>
          <w:sz w:val="32"/>
          <w:szCs w:val="36"/>
          <w:highlight w:val="none"/>
        </w:rPr>
        <w:fldChar w:fldCharType="end"/>
      </w:r>
    </w:p>
    <w:p>
      <w:pPr>
        <w:tabs>
          <w:tab w:val="right" w:leader="dot" w:pos="8296"/>
        </w:tabs>
        <w:autoSpaceDE/>
        <w:autoSpaceDN/>
        <w:snapToGrid/>
        <w:spacing w:line="240" w:lineRule="auto"/>
        <w:ind w:firstLine="0"/>
        <w:rPr>
          <w:rFonts w:ascii="Times New Roman" w:hAnsi="Times New Roman" w:eastAsia="方正仿宋_GBK" w:cs="Times New Roman"/>
          <w:snapToGrid/>
          <w:color w:val="auto"/>
          <w:kern w:val="2"/>
          <w:sz w:val="32"/>
          <w:szCs w:val="36"/>
          <w:highlight w:val="none"/>
        </w:rPr>
      </w:pPr>
      <w:r>
        <w:rPr>
          <w:rFonts w:ascii="Times New Roman" w:hAnsi="Times New Roman" w:eastAsia="方正仿宋_GBK" w:cs="Times New Roman"/>
          <w:snapToGrid w:val="0"/>
          <w:color w:val="auto"/>
          <w:kern w:val="0"/>
          <w:sz w:val="32"/>
          <w:szCs w:val="20"/>
          <w:highlight w:val="none"/>
        </w:rPr>
        <w:fldChar w:fldCharType="begin"/>
      </w:r>
      <w:r>
        <w:rPr>
          <w:rFonts w:ascii="Times New Roman" w:hAnsi="Times New Roman" w:eastAsia="方正仿宋_GBK" w:cs="Times New Roman"/>
          <w:snapToGrid w:val="0"/>
          <w:color w:val="auto"/>
          <w:kern w:val="0"/>
          <w:sz w:val="32"/>
          <w:szCs w:val="20"/>
          <w:highlight w:val="none"/>
        </w:rPr>
        <w:instrText xml:space="preserve"> HYPERLINK \l "_Toc128926443" </w:instrText>
      </w:r>
      <w:r>
        <w:rPr>
          <w:rFonts w:ascii="Times New Roman" w:hAnsi="Times New Roman" w:eastAsia="方正仿宋_GBK" w:cs="Times New Roman"/>
          <w:snapToGrid w:val="0"/>
          <w:color w:val="auto"/>
          <w:kern w:val="0"/>
          <w:sz w:val="32"/>
          <w:szCs w:val="20"/>
          <w:highlight w:val="none"/>
        </w:rPr>
        <w:fldChar w:fldCharType="separate"/>
      </w:r>
      <w:r>
        <w:rPr>
          <w:rFonts w:ascii="Times New Roman" w:hAnsi="Times New Roman" w:eastAsia="方正仿宋_GBK" w:cs="Times New Roman"/>
          <w:snapToGrid/>
          <w:color w:val="auto"/>
          <w:kern w:val="2"/>
          <w:sz w:val="32"/>
          <w:szCs w:val="36"/>
          <w:highlight w:val="none"/>
          <w:u w:val="single"/>
        </w:rPr>
        <w:t>二、地块现状</w:t>
      </w:r>
      <w:r>
        <w:rPr>
          <w:rFonts w:ascii="Times New Roman" w:hAnsi="Times New Roman" w:eastAsia="方正仿宋_GBK" w:cs="Times New Roman"/>
          <w:snapToGrid/>
          <w:color w:val="auto"/>
          <w:kern w:val="2"/>
          <w:sz w:val="32"/>
          <w:szCs w:val="36"/>
          <w:highlight w:val="none"/>
        </w:rPr>
        <w:tab/>
      </w:r>
      <w:r>
        <w:rPr>
          <w:rFonts w:ascii="Times New Roman" w:hAnsi="Times New Roman" w:eastAsia="方正仿宋_GBK" w:cs="Times New Roman"/>
          <w:snapToGrid/>
          <w:color w:val="auto"/>
          <w:kern w:val="2"/>
          <w:sz w:val="32"/>
          <w:szCs w:val="36"/>
          <w:highlight w:val="none"/>
        </w:rPr>
        <w:fldChar w:fldCharType="begin"/>
      </w:r>
      <w:r>
        <w:rPr>
          <w:rFonts w:ascii="Times New Roman" w:hAnsi="Times New Roman" w:eastAsia="方正仿宋_GBK" w:cs="Times New Roman"/>
          <w:snapToGrid/>
          <w:color w:val="auto"/>
          <w:kern w:val="2"/>
          <w:sz w:val="32"/>
          <w:szCs w:val="36"/>
          <w:highlight w:val="none"/>
        </w:rPr>
        <w:instrText xml:space="preserve"> PAGEREF _Toc128926443 \h </w:instrText>
      </w:r>
      <w:r>
        <w:rPr>
          <w:rFonts w:ascii="Times New Roman" w:hAnsi="Times New Roman" w:eastAsia="方正仿宋_GBK" w:cs="Times New Roman"/>
          <w:snapToGrid/>
          <w:color w:val="auto"/>
          <w:kern w:val="2"/>
          <w:sz w:val="32"/>
          <w:szCs w:val="36"/>
          <w:highlight w:val="none"/>
        </w:rPr>
        <w:fldChar w:fldCharType="separate"/>
      </w:r>
      <w:r>
        <w:rPr>
          <w:rFonts w:ascii="Times New Roman" w:hAnsi="Times New Roman" w:eastAsia="方正仿宋_GBK" w:cs="Times New Roman"/>
          <w:snapToGrid/>
          <w:color w:val="auto"/>
          <w:kern w:val="2"/>
          <w:sz w:val="32"/>
          <w:szCs w:val="36"/>
          <w:highlight w:val="none"/>
        </w:rPr>
        <w:t>8</w:t>
      </w:r>
      <w:r>
        <w:rPr>
          <w:rFonts w:ascii="Times New Roman" w:hAnsi="Times New Roman" w:eastAsia="方正仿宋_GBK" w:cs="Times New Roman"/>
          <w:snapToGrid/>
          <w:color w:val="auto"/>
          <w:kern w:val="2"/>
          <w:sz w:val="32"/>
          <w:szCs w:val="36"/>
          <w:highlight w:val="none"/>
        </w:rPr>
        <w:fldChar w:fldCharType="end"/>
      </w:r>
      <w:r>
        <w:rPr>
          <w:rFonts w:ascii="Times New Roman" w:hAnsi="Times New Roman" w:eastAsia="方正仿宋_GBK" w:cs="Times New Roman"/>
          <w:snapToGrid/>
          <w:color w:val="auto"/>
          <w:kern w:val="2"/>
          <w:sz w:val="32"/>
          <w:szCs w:val="36"/>
          <w:highlight w:val="none"/>
        </w:rPr>
        <w:fldChar w:fldCharType="end"/>
      </w:r>
    </w:p>
    <w:p>
      <w:pPr>
        <w:tabs>
          <w:tab w:val="right" w:leader="dot" w:pos="8296"/>
        </w:tabs>
        <w:autoSpaceDE/>
        <w:autoSpaceDN/>
        <w:snapToGrid/>
        <w:spacing w:line="240" w:lineRule="auto"/>
        <w:ind w:firstLine="0"/>
        <w:rPr>
          <w:rFonts w:ascii="Times New Roman" w:hAnsi="Times New Roman" w:eastAsia="方正仿宋_GBK" w:cs="Times New Roman"/>
          <w:snapToGrid/>
          <w:color w:val="auto"/>
          <w:kern w:val="2"/>
          <w:sz w:val="32"/>
          <w:szCs w:val="36"/>
          <w:highlight w:val="none"/>
        </w:rPr>
      </w:pPr>
      <w:r>
        <w:rPr>
          <w:rFonts w:ascii="Times New Roman" w:hAnsi="Times New Roman" w:eastAsia="方正仿宋_GBK" w:cs="Times New Roman"/>
          <w:snapToGrid w:val="0"/>
          <w:color w:val="auto"/>
          <w:kern w:val="0"/>
          <w:sz w:val="32"/>
          <w:szCs w:val="20"/>
          <w:highlight w:val="none"/>
        </w:rPr>
        <w:fldChar w:fldCharType="begin"/>
      </w:r>
      <w:r>
        <w:rPr>
          <w:rFonts w:ascii="Times New Roman" w:hAnsi="Times New Roman" w:eastAsia="方正仿宋_GBK" w:cs="Times New Roman"/>
          <w:snapToGrid w:val="0"/>
          <w:color w:val="auto"/>
          <w:kern w:val="0"/>
          <w:sz w:val="32"/>
          <w:szCs w:val="20"/>
          <w:highlight w:val="none"/>
        </w:rPr>
        <w:instrText xml:space="preserve"> HYPERLINK \l "_Toc128926444" </w:instrText>
      </w:r>
      <w:r>
        <w:rPr>
          <w:rFonts w:ascii="Times New Roman" w:hAnsi="Times New Roman" w:eastAsia="方正仿宋_GBK" w:cs="Times New Roman"/>
          <w:snapToGrid w:val="0"/>
          <w:color w:val="auto"/>
          <w:kern w:val="0"/>
          <w:sz w:val="32"/>
          <w:szCs w:val="20"/>
          <w:highlight w:val="none"/>
        </w:rPr>
        <w:fldChar w:fldCharType="separate"/>
      </w:r>
      <w:r>
        <w:rPr>
          <w:rFonts w:ascii="Times New Roman" w:hAnsi="Times New Roman" w:eastAsia="方正仿宋_GBK" w:cs="Times New Roman"/>
          <w:snapToGrid/>
          <w:color w:val="auto"/>
          <w:kern w:val="2"/>
          <w:sz w:val="32"/>
          <w:szCs w:val="36"/>
          <w:highlight w:val="none"/>
          <w:u w:val="single"/>
        </w:rPr>
        <w:t>三、土壤污染状况调查情况</w:t>
      </w:r>
      <w:r>
        <w:rPr>
          <w:rFonts w:ascii="Times New Roman" w:hAnsi="Times New Roman" w:eastAsia="方正仿宋_GBK" w:cs="Times New Roman"/>
          <w:snapToGrid/>
          <w:color w:val="auto"/>
          <w:kern w:val="2"/>
          <w:sz w:val="32"/>
          <w:szCs w:val="36"/>
          <w:highlight w:val="none"/>
        </w:rPr>
        <w:tab/>
      </w:r>
      <w:r>
        <w:rPr>
          <w:rFonts w:ascii="Times New Roman" w:hAnsi="Times New Roman" w:eastAsia="方正仿宋_GBK" w:cs="Times New Roman"/>
          <w:snapToGrid/>
          <w:color w:val="auto"/>
          <w:kern w:val="2"/>
          <w:sz w:val="32"/>
          <w:szCs w:val="36"/>
          <w:highlight w:val="none"/>
        </w:rPr>
        <w:fldChar w:fldCharType="begin"/>
      </w:r>
      <w:r>
        <w:rPr>
          <w:rFonts w:ascii="Times New Roman" w:hAnsi="Times New Roman" w:eastAsia="方正仿宋_GBK" w:cs="Times New Roman"/>
          <w:snapToGrid/>
          <w:color w:val="auto"/>
          <w:kern w:val="2"/>
          <w:sz w:val="32"/>
          <w:szCs w:val="36"/>
          <w:highlight w:val="none"/>
        </w:rPr>
        <w:instrText xml:space="preserve"> PAGEREF _Toc128926444 \h </w:instrText>
      </w:r>
      <w:r>
        <w:rPr>
          <w:rFonts w:ascii="Times New Roman" w:hAnsi="Times New Roman" w:eastAsia="方正仿宋_GBK" w:cs="Times New Roman"/>
          <w:snapToGrid/>
          <w:color w:val="auto"/>
          <w:kern w:val="2"/>
          <w:sz w:val="32"/>
          <w:szCs w:val="36"/>
          <w:highlight w:val="none"/>
        </w:rPr>
        <w:fldChar w:fldCharType="separate"/>
      </w:r>
      <w:r>
        <w:rPr>
          <w:rFonts w:ascii="Times New Roman" w:hAnsi="Times New Roman" w:eastAsia="方正仿宋_GBK" w:cs="Times New Roman"/>
          <w:snapToGrid/>
          <w:color w:val="auto"/>
          <w:kern w:val="2"/>
          <w:sz w:val="32"/>
          <w:szCs w:val="36"/>
          <w:highlight w:val="none"/>
        </w:rPr>
        <w:t>9</w:t>
      </w:r>
      <w:r>
        <w:rPr>
          <w:rFonts w:ascii="Times New Roman" w:hAnsi="Times New Roman" w:eastAsia="方正仿宋_GBK" w:cs="Times New Roman"/>
          <w:snapToGrid/>
          <w:color w:val="auto"/>
          <w:kern w:val="2"/>
          <w:sz w:val="32"/>
          <w:szCs w:val="36"/>
          <w:highlight w:val="none"/>
        </w:rPr>
        <w:fldChar w:fldCharType="end"/>
      </w:r>
      <w:r>
        <w:rPr>
          <w:rFonts w:ascii="Times New Roman" w:hAnsi="Times New Roman" w:eastAsia="方正仿宋_GBK" w:cs="Times New Roman"/>
          <w:snapToGrid/>
          <w:color w:val="auto"/>
          <w:kern w:val="2"/>
          <w:sz w:val="32"/>
          <w:szCs w:val="36"/>
          <w:highlight w:val="none"/>
        </w:rPr>
        <w:fldChar w:fldCharType="end"/>
      </w:r>
    </w:p>
    <w:p>
      <w:pPr>
        <w:tabs>
          <w:tab w:val="right" w:leader="dot" w:pos="8296"/>
        </w:tabs>
        <w:autoSpaceDE/>
        <w:autoSpaceDN/>
        <w:snapToGrid/>
        <w:spacing w:line="240" w:lineRule="auto"/>
        <w:ind w:firstLine="0"/>
        <w:rPr>
          <w:rFonts w:ascii="Times New Roman" w:hAnsi="Times New Roman" w:eastAsia="方正仿宋_GBK" w:cs="Times New Roman"/>
          <w:snapToGrid/>
          <w:color w:val="auto"/>
          <w:kern w:val="2"/>
          <w:sz w:val="32"/>
          <w:szCs w:val="36"/>
          <w:highlight w:val="none"/>
        </w:rPr>
      </w:pPr>
      <w:r>
        <w:rPr>
          <w:rFonts w:ascii="Times New Roman" w:hAnsi="Times New Roman" w:eastAsia="方正仿宋_GBK" w:cs="Times New Roman"/>
          <w:snapToGrid w:val="0"/>
          <w:color w:val="auto"/>
          <w:kern w:val="0"/>
          <w:sz w:val="32"/>
          <w:szCs w:val="20"/>
          <w:highlight w:val="none"/>
        </w:rPr>
        <w:fldChar w:fldCharType="begin"/>
      </w:r>
      <w:r>
        <w:rPr>
          <w:rFonts w:ascii="Times New Roman" w:hAnsi="Times New Roman" w:eastAsia="方正仿宋_GBK" w:cs="Times New Roman"/>
          <w:snapToGrid w:val="0"/>
          <w:color w:val="auto"/>
          <w:kern w:val="0"/>
          <w:sz w:val="32"/>
          <w:szCs w:val="20"/>
          <w:highlight w:val="none"/>
        </w:rPr>
        <w:instrText xml:space="preserve"> HYPERLINK \l "_Toc128926445" </w:instrText>
      </w:r>
      <w:r>
        <w:rPr>
          <w:rFonts w:ascii="Times New Roman" w:hAnsi="Times New Roman" w:eastAsia="方正仿宋_GBK" w:cs="Times New Roman"/>
          <w:snapToGrid w:val="0"/>
          <w:color w:val="auto"/>
          <w:kern w:val="0"/>
          <w:sz w:val="32"/>
          <w:szCs w:val="20"/>
          <w:highlight w:val="none"/>
        </w:rPr>
        <w:fldChar w:fldCharType="separate"/>
      </w:r>
      <w:r>
        <w:rPr>
          <w:rFonts w:ascii="Times New Roman" w:hAnsi="Times New Roman" w:eastAsia="方正仿宋_GBK" w:cs="Times New Roman"/>
          <w:snapToGrid/>
          <w:color w:val="auto"/>
          <w:kern w:val="2"/>
          <w:sz w:val="32"/>
          <w:szCs w:val="36"/>
          <w:highlight w:val="none"/>
          <w:u w:val="single"/>
        </w:rPr>
        <w:t>四、地块周边情况</w:t>
      </w:r>
      <w:r>
        <w:rPr>
          <w:rFonts w:ascii="Times New Roman" w:hAnsi="Times New Roman" w:eastAsia="方正仿宋_GBK" w:cs="Times New Roman"/>
          <w:snapToGrid/>
          <w:color w:val="auto"/>
          <w:kern w:val="2"/>
          <w:sz w:val="32"/>
          <w:szCs w:val="36"/>
          <w:highlight w:val="none"/>
        </w:rPr>
        <w:tab/>
      </w:r>
      <w:r>
        <w:rPr>
          <w:rFonts w:ascii="Times New Roman" w:hAnsi="Times New Roman" w:eastAsia="方正仿宋_GBK" w:cs="Times New Roman"/>
          <w:snapToGrid/>
          <w:color w:val="auto"/>
          <w:kern w:val="2"/>
          <w:sz w:val="32"/>
          <w:szCs w:val="36"/>
          <w:highlight w:val="none"/>
        </w:rPr>
        <w:fldChar w:fldCharType="begin"/>
      </w:r>
      <w:r>
        <w:rPr>
          <w:rFonts w:ascii="Times New Roman" w:hAnsi="Times New Roman" w:eastAsia="方正仿宋_GBK" w:cs="Times New Roman"/>
          <w:snapToGrid/>
          <w:color w:val="auto"/>
          <w:kern w:val="2"/>
          <w:sz w:val="32"/>
          <w:szCs w:val="36"/>
          <w:highlight w:val="none"/>
        </w:rPr>
        <w:instrText xml:space="preserve"> PAGEREF _Toc128926445 \h </w:instrText>
      </w:r>
      <w:r>
        <w:rPr>
          <w:rFonts w:ascii="Times New Roman" w:hAnsi="Times New Roman" w:eastAsia="方正仿宋_GBK" w:cs="Times New Roman"/>
          <w:snapToGrid/>
          <w:color w:val="auto"/>
          <w:kern w:val="2"/>
          <w:sz w:val="32"/>
          <w:szCs w:val="36"/>
          <w:highlight w:val="none"/>
        </w:rPr>
        <w:fldChar w:fldCharType="separate"/>
      </w:r>
      <w:r>
        <w:rPr>
          <w:rFonts w:ascii="Times New Roman" w:hAnsi="Times New Roman" w:eastAsia="方正仿宋_GBK" w:cs="Times New Roman"/>
          <w:snapToGrid/>
          <w:color w:val="auto"/>
          <w:kern w:val="2"/>
          <w:sz w:val="32"/>
          <w:szCs w:val="36"/>
          <w:highlight w:val="none"/>
        </w:rPr>
        <w:t>9</w:t>
      </w:r>
      <w:r>
        <w:rPr>
          <w:rFonts w:ascii="Times New Roman" w:hAnsi="Times New Roman" w:eastAsia="方正仿宋_GBK" w:cs="Times New Roman"/>
          <w:snapToGrid/>
          <w:color w:val="auto"/>
          <w:kern w:val="2"/>
          <w:sz w:val="32"/>
          <w:szCs w:val="36"/>
          <w:highlight w:val="none"/>
        </w:rPr>
        <w:fldChar w:fldCharType="end"/>
      </w:r>
      <w:r>
        <w:rPr>
          <w:rFonts w:ascii="Times New Roman" w:hAnsi="Times New Roman" w:eastAsia="方正仿宋_GBK" w:cs="Times New Roman"/>
          <w:snapToGrid/>
          <w:color w:val="auto"/>
          <w:kern w:val="2"/>
          <w:sz w:val="32"/>
          <w:szCs w:val="36"/>
          <w:highlight w:val="none"/>
        </w:rPr>
        <w:fldChar w:fldCharType="end"/>
      </w:r>
    </w:p>
    <w:p>
      <w:pPr>
        <w:tabs>
          <w:tab w:val="right" w:leader="dot" w:pos="8296"/>
        </w:tabs>
        <w:autoSpaceDE/>
        <w:autoSpaceDN/>
        <w:snapToGrid/>
        <w:spacing w:line="240" w:lineRule="auto"/>
        <w:ind w:firstLine="0"/>
        <w:rPr>
          <w:rFonts w:ascii="Times New Roman" w:hAnsi="Times New Roman" w:eastAsia="方正仿宋_GBK" w:cs="Times New Roman"/>
          <w:snapToGrid/>
          <w:color w:val="auto"/>
          <w:kern w:val="2"/>
          <w:sz w:val="32"/>
          <w:szCs w:val="36"/>
          <w:highlight w:val="none"/>
        </w:rPr>
      </w:pPr>
      <w:r>
        <w:rPr>
          <w:rFonts w:ascii="Times New Roman" w:hAnsi="Times New Roman" w:eastAsia="方正仿宋_GBK" w:cs="Times New Roman"/>
          <w:snapToGrid w:val="0"/>
          <w:color w:val="auto"/>
          <w:kern w:val="0"/>
          <w:sz w:val="32"/>
          <w:szCs w:val="20"/>
          <w:highlight w:val="none"/>
        </w:rPr>
        <w:fldChar w:fldCharType="begin"/>
      </w:r>
      <w:r>
        <w:rPr>
          <w:rFonts w:ascii="Times New Roman" w:hAnsi="Times New Roman" w:eastAsia="方正仿宋_GBK" w:cs="Times New Roman"/>
          <w:snapToGrid w:val="0"/>
          <w:color w:val="auto"/>
          <w:kern w:val="0"/>
          <w:sz w:val="32"/>
          <w:szCs w:val="20"/>
          <w:highlight w:val="none"/>
        </w:rPr>
        <w:instrText xml:space="preserve"> HYPERLINK \l "_Toc128926446" </w:instrText>
      </w:r>
      <w:r>
        <w:rPr>
          <w:rFonts w:ascii="Times New Roman" w:hAnsi="Times New Roman" w:eastAsia="方正仿宋_GBK" w:cs="Times New Roman"/>
          <w:snapToGrid w:val="0"/>
          <w:color w:val="auto"/>
          <w:kern w:val="0"/>
          <w:sz w:val="32"/>
          <w:szCs w:val="20"/>
          <w:highlight w:val="none"/>
        </w:rPr>
        <w:fldChar w:fldCharType="separate"/>
      </w:r>
      <w:r>
        <w:rPr>
          <w:rFonts w:ascii="Times New Roman" w:hAnsi="Times New Roman" w:eastAsia="方正仿宋_GBK" w:cs="Times New Roman"/>
          <w:snapToGrid/>
          <w:color w:val="auto"/>
          <w:kern w:val="2"/>
          <w:sz w:val="32"/>
          <w:szCs w:val="36"/>
          <w:highlight w:val="none"/>
          <w:u w:val="single"/>
        </w:rPr>
        <w:t>五、地块规划用途</w:t>
      </w:r>
      <w:r>
        <w:rPr>
          <w:rFonts w:ascii="Times New Roman" w:hAnsi="Times New Roman" w:eastAsia="方正仿宋_GBK" w:cs="Times New Roman"/>
          <w:snapToGrid/>
          <w:color w:val="auto"/>
          <w:kern w:val="2"/>
          <w:sz w:val="32"/>
          <w:szCs w:val="36"/>
          <w:highlight w:val="none"/>
        </w:rPr>
        <w:tab/>
      </w:r>
      <w:r>
        <w:rPr>
          <w:rFonts w:ascii="Times New Roman" w:hAnsi="Times New Roman" w:eastAsia="方正仿宋_GBK" w:cs="Times New Roman"/>
          <w:snapToGrid/>
          <w:color w:val="auto"/>
          <w:kern w:val="2"/>
          <w:sz w:val="32"/>
          <w:szCs w:val="36"/>
          <w:highlight w:val="none"/>
        </w:rPr>
        <w:fldChar w:fldCharType="begin"/>
      </w:r>
      <w:r>
        <w:rPr>
          <w:rFonts w:ascii="Times New Roman" w:hAnsi="Times New Roman" w:eastAsia="方正仿宋_GBK" w:cs="Times New Roman"/>
          <w:snapToGrid/>
          <w:color w:val="auto"/>
          <w:kern w:val="2"/>
          <w:sz w:val="32"/>
          <w:szCs w:val="36"/>
          <w:highlight w:val="none"/>
        </w:rPr>
        <w:instrText xml:space="preserve"> PAGEREF _Toc128926446 \h </w:instrText>
      </w:r>
      <w:r>
        <w:rPr>
          <w:rFonts w:ascii="Times New Roman" w:hAnsi="Times New Roman" w:eastAsia="方正仿宋_GBK" w:cs="Times New Roman"/>
          <w:snapToGrid/>
          <w:color w:val="auto"/>
          <w:kern w:val="2"/>
          <w:sz w:val="32"/>
          <w:szCs w:val="36"/>
          <w:highlight w:val="none"/>
        </w:rPr>
        <w:fldChar w:fldCharType="separate"/>
      </w:r>
      <w:r>
        <w:rPr>
          <w:rFonts w:ascii="Times New Roman" w:hAnsi="Times New Roman" w:eastAsia="方正仿宋_GBK" w:cs="Times New Roman"/>
          <w:snapToGrid/>
          <w:color w:val="auto"/>
          <w:kern w:val="2"/>
          <w:sz w:val="32"/>
          <w:szCs w:val="36"/>
          <w:highlight w:val="none"/>
        </w:rPr>
        <w:t>9</w:t>
      </w:r>
      <w:r>
        <w:rPr>
          <w:rFonts w:ascii="Times New Roman" w:hAnsi="Times New Roman" w:eastAsia="方正仿宋_GBK" w:cs="Times New Roman"/>
          <w:snapToGrid/>
          <w:color w:val="auto"/>
          <w:kern w:val="2"/>
          <w:sz w:val="32"/>
          <w:szCs w:val="36"/>
          <w:highlight w:val="none"/>
        </w:rPr>
        <w:fldChar w:fldCharType="end"/>
      </w:r>
      <w:r>
        <w:rPr>
          <w:rFonts w:ascii="Times New Roman" w:hAnsi="Times New Roman" w:eastAsia="方正仿宋_GBK" w:cs="Times New Roman"/>
          <w:snapToGrid/>
          <w:color w:val="auto"/>
          <w:kern w:val="2"/>
          <w:sz w:val="32"/>
          <w:szCs w:val="36"/>
          <w:highlight w:val="none"/>
        </w:rPr>
        <w:fldChar w:fldCharType="end"/>
      </w:r>
    </w:p>
    <w:p>
      <w:pPr>
        <w:tabs>
          <w:tab w:val="right" w:leader="dot" w:pos="8296"/>
        </w:tabs>
        <w:autoSpaceDE/>
        <w:autoSpaceDN/>
        <w:snapToGrid/>
        <w:spacing w:line="240" w:lineRule="auto"/>
        <w:ind w:firstLine="0"/>
        <w:rPr>
          <w:rFonts w:ascii="Times New Roman" w:hAnsi="Times New Roman" w:eastAsia="宋体" w:cs="Times New Roman"/>
          <w:snapToGrid/>
          <w:kern w:val="2"/>
          <w:sz w:val="21"/>
          <w:szCs w:val="22"/>
          <w:highlight w:val="none"/>
        </w:rPr>
      </w:pPr>
      <w:r>
        <w:rPr>
          <w:rFonts w:ascii="Times New Roman" w:hAnsi="Times New Roman" w:eastAsia="方正仿宋_GBK" w:cs="Times New Roman"/>
          <w:snapToGrid w:val="0"/>
          <w:color w:val="auto"/>
          <w:kern w:val="0"/>
          <w:sz w:val="32"/>
          <w:szCs w:val="20"/>
          <w:highlight w:val="none"/>
        </w:rPr>
        <w:fldChar w:fldCharType="begin"/>
      </w:r>
      <w:r>
        <w:rPr>
          <w:rFonts w:ascii="Times New Roman" w:hAnsi="Times New Roman" w:eastAsia="方正仿宋_GBK" w:cs="Times New Roman"/>
          <w:snapToGrid w:val="0"/>
          <w:color w:val="auto"/>
          <w:kern w:val="0"/>
          <w:sz w:val="32"/>
          <w:szCs w:val="20"/>
          <w:highlight w:val="none"/>
        </w:rPr>
        <w:instrText xml:space="preserve"> HYPERLINK \l "_Toc128926447" </w:instrText>
      </w:r>
      <w:r>
        <w:rPr>
          <w:rFonts w:ascii="Times New Roman" w:hAnsi="Times New Roman" w:eastAsia="方正仿宋_GBK" w:cs="Times New Roman"/>
          <w:snapToGrid w:val="0"/>
          <w:color w:val="auto"/>
          <w:kern w:val="0"/>
          <w:sz w:val="32"/>
          <w:szCs w:val="20"/>
          <w:highlight w:val="none"/>
        </w:rPr>
        <w:fldChar w:fldCharType="separate"/>
      </w:r>
      <w:r>
        <w:rPr>
          <w:rFonts w:ascii="Times New Roman" w:hAnsi="Times New Roman" w:eastAsia="方正仿宋_GBK" w:cs="Times New Roman"/>
          <w:snapToGrid/>
          <w:color w:val="auto"/>
          <w:kern w:val="2"/>
          <w:sz w:val="32"/>
          <w:szCs w:val="36"/>
          <w:highlight w:val="none"/>
          <w:u w:val="single"/>
        </w:rPr>
        <w:t>六、地块风险管控措施落实情况</w:t>
      </w:r>
      <w:r>
        <w:rPr>
          <w:rFonts w:ascii="Times New Roman" w:hAnsi="Times New Roman" w:eastAsia="方正仿宋_GBK" w:cs="Times New Roman"/>
          <w:snapToGrid/>
          <w:color w:val="auto"/>
          <w:kern w:val="2"/>
          <w:sz w:val="32"/>
          <w:szCs w:val="36"/>
          <w:highlight w:val="none"/>
        </w:rPr>
        <w:tab/>
      </w:r>
      <w:r>
        <w:rPr>
          <w:rFonts w:ascii="Times New Roman" w:hAnsi="Times New Roman" w:eastAsia="方正仿宋_GBK" w:cs="Times New Roman"/>
          <w:snapToGrid/>
          <w:color w:val="auto"/>
          <w:kern w:val="2"/>
          <w:sz w:val="32"/>
          <w:szCs w:val="36"/>
          <w:highlight w:val="none"/>
        </w:rPr>
        <w:fldChar w:fldCharType="begin"/>
      </w:r>
      <w:r>
        <w:rPr>
          <w:rFonts w:ascii="Times New Roman" w:hAnsi="Times New Roman" w:eastAsia="方正仿宋_GBK" w:cs="Times New Roman"/>
          <w:snapToGrid/>
          <w:color w:val="auto"/>
          <w:kern w:val="2"/>
          <w:sz w:val="32"/>
          <w:szCs w:val="36"/>
          <w:highlight w:val="none"/>
        </w:rPr>
        <w:instrText xml:space="preserve"> PAGEREF _Toc128926447 \h </w:instrText>
      </w:r>
      <w:r>
        <w:rPr>
          <w:rFonts w:ascii="Times New Roman" w:hAnsi="Times New Roman" w:eastAsia="方正仿宋_GBK" w:cs="Times New Roman"/>
          <w:snapToGrid/>
          <w:color w:val="auto"/>
          <w:kern w:val="2"/>
          <w:sz w:val="32"/>
          <w:szCs w:val="36"/>
          <w:highlight w:val="none"/>
        </w:rPr>
        <w:fldChar w:fldCharType="separate"/>
      </w:r>
      <w:r>
        <w:rPr>
          <w:rFonts w:ascii="Times New Roman" w:hAnsi="Times New Roman" w:eastAsia="方正仿宋_GBK" w:cs="Times New Roman"/>
          <w:snapToGrid/>
          <w:color w:val="auto"/>
          <w:kern w:val="2"/>
          <w:sz w:val="32"/>
          <w:szCs w:val="36"/>
          <w:highlight w:val="none"/>
        </w:rPr>
        <w:t>10</w:t>
      </w:r>
      <w:r>
        <w:rPr>
          <w:rFonts w:ascii="Times New Roman" w:hAnsi="Times New Roman" w:eastAsia="方正仿宋_GBK" w:cs="Times New Roman"/>
          <w:snapToGrid/>
          <w:color w:val="auto"/>
          <w:kern w:val="2"/>
          <w:sz w:val="32"/>
          <w:szCs w:val="36"/>
          <w:highlight w:val="none"/>
        </w:rPr>
        <w:fldChar w:fldCharType="end"/>
      </w:r>
      <w:r>
        <w:rPr>
          <w:rFonts w:ascii="Times New Roman" w:hAnsi="Times New Roman" w:eastAsia="方正仿宋_GBK" w:cs="Times New Roman"/>
          <w:snapToGrid/>
          <w:color w:val="auto"/>
          <w:kern w:val="2"/>
          <w:sz w:val="32"/>
          <w:szCs w:val="36"/>
          <w:highlight w:val="none"/>
        </w:rPr>
        <w:fldChar w:fldCharType="end"/>
      </w:r>
      <w:bookmarkEnd w:id="72"/>
    </w:p>
    <w:p>
      <w:pPr>
        <w:widowControl/>
        <w:autoSpaceDE/>
        <w:autoSpaceDN/>
        <w:snapToGrid/>
        <w:spacing w:line="590" w:lineRule="exact"/>
        <w:ind w:firstLine="0"/>
        <w:jc w:val="center"/>
        <w:rPr>
          <w:rFonts w:eastAsia="方正小标宋_GBK"/>
          <w:snapToGrid/>
          <w:sz w:val="44"/>
          <w:szCs w:val="48"/>
          <w:highlight w:val="none"/>
        </w:rPr>
        <w:sectPr>
          <w:pgSz w:w="11906" w:h="16838"/>
          <w:pgMar w:top="1440" w:right="1800" w:bottom="1440" w:left="1800" w:header="851" w:footer="992" w:gutter="0"/>
          <w:cols w:space="425" w:num="1"/>
          <w:docGrid w:type="lines" w:linePitch="312" w:charSpace="0"/>
        </w:sectPr>
      </w:pPr>
      <w:r>
        <w:rPr>
          <w:rFonts w:ascii="Times New Roman" w:hAnsi="Times New Roman" w:eastAsia="方正小标宋_GBK" w:cs="Times New Roman"/>
          <w:snapToGrid/>
          <w:kern w:val="0"/>
          <w:sz w:val="44"/>
          <w:szCs w:val="48"/>
          <w:highlight w:val="none"/>
        </w:rPr>
        <w:fldChar w:fldCharType="end"/>
      </w: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44"/>
          <w:szCs w:val="48"/>
          <w:highlight w:val="none"/>
        </w:rPr>
      </w:pPr>
    </w:p>
    <w:p>
      <w:pPr>
        <w:widowControl/>
        <w:autoSpaceDE/>
        <w:autoSpaceDN/>
        <w:snapToGrid/>
        <w:spacing w:line="590" w:lineRule="exact"/>
        <w:ind w:firstLine="0"/>
        <w:jc w:val="center"/>
        <w:rPr>
          <w:rFonts w:ascii="Times New Roman" w:hAnsi="Times New Roman" w:eastAsia="方正小标宋_GBK" w:cs="Times New Roman"/>
          <w:snapToGrid/>
          <w:kern w:val="0"/>
          <w:sz w:val="32"/>
          <w:szCs w:val="32"/>
          <w:highlight w:val="none"/>
        </w:rPr>
      </w:pPr>
      <w:r>
        <w:rPr>
          <w:rFonts w:hint="eastAsia" w:ascii="Times New Roman" w:hAnsi="Times New Roman" w:eastAsia="方正小标宋_GBK" w:cs="Times New Roman"/>
          <w:snapToGrid/>
          <w:kern w:val="0"/>
          <w:sz w:val="44"/>
          <w:szCs w:val="48"/>
          <w:highlight w:val="none"/>
        </w:rPr>
        <w:t>××市××地块现状排查及风险管控情况报告</w:t>
      </w:r>
    </w:p>
    <w:p>
      <w:pPr>
        <w:autoSpaceDE/>
        <w:autoSpaceDN/>
        <w:snapToGrid/>
        <w:spacing w:line="590" w:lineRule="exact"/>
        <w:ind w:firstLine="0"/>
        <w:outlineLvl w:val="0"/>
        <w:rPr>
          <w:rFonts w:ascii="Times New Roman" w:hAnsi="Times New Roman" w:eastAsia="黑体" w:cs="Times New Roman"/>
          <w:snapToGrid/>
          <w:kern w:val="2"/>
          <w:sz w:val="32"/>
          <w:szCs w:val="32"/>
          <w:highlight w:val="none"/>
        </w:rPr>
      </w:pPr>
      <w:bookmarkStart w:id="60" w:name="_Toc128926442"/>
    </w:p>
    <w:p>
      <w:pPr>
        <w:autoSpaceDE/>
        <w:autoSpaceDN/>
        <w:snapToGrid/>
        <w:spacing w:line="590" w:lineRule="exact"/>
        <w:ind w:firstLine="640" w:firstLineChars="200"/>
        <w:outlineLvl w:val="0"/>
        <w:rPr>
          <w:rFonts w:ascii="Times New Roman" w:hAnsi="Times New Roman" w:eastAsia="黑体" w:cs="Times New Roman"/>
          <w:snapToGrid/>
          <w:kern w:val="2"/>
          <w:sz w:val="32"/>
          <w:szCs w:val="32"/>
          <w:highlight w:val="none"/>
        </w:rPr>
      </w:pPr>
      <w:r>
        <w:rPr>
          <w:rFonts w:ascii="Times New Roman" w:hAnsi="Times New Roman" w:eastAsia="黑体" w:cs="Times New Roman"/>
          <w:snapToGrid/>
          <w:kern w:val="2"/>
          <w:sz w:val="32"/>
          <w:szCs w:val="32"/>
          <w:highlight w:val="none"/>
        </w:rPr>
        <w:t>一、地块基本情况</w:t>
      </w:r>
      <w:bookmarkEnd w:id="60"/>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highlight w:val="none"/>
        </w:rPr>
      </w:pPr>
      <w:r>
        <w:rPr>
          <w:rFonts w:ascii="Times New Roman" w:hAnsi="Times New Roman" w:eastAsia="方正仿宋_GBK" w:cs="Times New Roman"/>
          <w:snapToGrid/>
          <w:kern w:val="0"/>
          <w:sz w:val="32"/>
          <w:szCs w:val="32"/>
          <w:highlight w:val="none"/>
        </w:rPr>
        <w:t>包括地块名称，所属设区市、区县，说明该关闭地块原所属行业企业类型，生产状况等基本情况。</w:t>
      </w:r>
    </w:p>
    <w:p>
      <w:pPr>
        <w:autoSpaceDE/>
        <w:autoSpaceDN/>
        <w:snapToGrid/>
        <w:spacing w:line="590" w:lineRule="exact"/>
        <w:ind w:firstLine="640" w:firstLineChars="200"/>
        <w:outlineLvl w:val="0"/>
        <w:rPr>
          <w:rFonts w:ascii="Times New Roman" w:hAnsi="Times New Roman" w:eastAsia="黑体" w:cs="Times New Roman"/>
          <w:snapToGrid/>
          <w:kern w:val="2"/>
          <w:sz w:val="32"/>
          <w:szCs w:val="32"/>
          <w:highlight w:val="none"/>
        </w:rPr>
      </w:pPr>
      <w:bookmarkStart w:id="61" w:name="_Toc128926443"/>
      <w:r>
        <w:rPr>
          <w:rFonts w:ascii="Times New Roman" w:hAnsi="Times New Roman" w:eastAsia="黑体" w:cs="Times New Roman"/>
          <w:snapToGrid/>
          <w:kern w:val="2"/>
          <w:sz w:val="32"/>
          <w:szCs w:val="32"/>
          <w:highlight w:val="none"/>
        </w:rPr>
        <w:t>二、地块现状</w:t>
      </w:r>
      <w:bookmarkEnd w:id="61"/>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highlight w:val="none"/>
        </w:rPr>
      </w:pPr>
      <w:r>
        <w:rPr>
          <w:rFonts w:ascii="Times New Roman" w:hAnsi="Times New Roman" w:eastAsia="方正仿宋_GBK" w:cs="Times New Roman"/>
          <w:snapToGrid/>
          <w:kern w:val="0"/>
          <w:sz w:val="32"/>
          <w:szCs w:val="32"/>
          <w:highlight w:val="none"/>
        </w:rPr>
        <w:t>2.1厂房现状</w:t>
      </w:r>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highlight w:val="none"/>
        </w:rPr>
      </w:pPr>
      <w:r>
        <w:rPr>
          <w:rFonts w:ascii="Times New Roman" w:hAnsi="Times New Roman" w:eastAsia="方正仿宋_GBK" w:cs="Times New Roman"/>
          <w:snapToGrid/>
          <w:kern w:val="0"/>
          <w:sz w:val="32"/>
          <w:szCs w:val="32"/>
          <w:highlight w:val="none"/>
        </w:rPr>
        <w:t>根据地块现场排查情况，说明原有厂房是否完全拆除。是否存在部分拆除、未拆除或仅关闭部分工序情况，如已重新开发利用，需要说明利用类型，是否属于工业利用，或已建成其他项目（住房、道路等），如有其他情况，需具体说明。该部分需附现场调查照片（如图1所示）。</w:t>
      </w:r>
    </w:p>
    <w:tbl>
      <w:tblPr>
        <w:tblStyle w:val="15"/>
        <w:tblW w:w="0" w:type="auto"/>
        <w:tblInd w:w="0" w:type="dxa"/>
        <w:tblLayout w:type="autofit"/>
        <w:tblCellMar>
          <w:top w:w="0" w:type="dxa"/>
          <w:left w:w="108" w:type="dxa"/>
          <w:bottom w:w="0" w:type="dxa"/>
          <w:right w:w="108" w:type="dxa"/>
        </w:tblCellMar>
      </w:tblPr>
      <w:tblGrid>
        <w:gridCol w:w="4200"/>
        <w:gridCol w:w="4200"/>
      </w:tblGrid>
      <w:tr>
        <w:tblPrEx>
          <w:tblCellMar>
            <w:top w:w="0" w:type="dxa"/>
            <w:left w:w="108" w:type="dxa"/>
            <w:bottom w:w="0" w:type="dxa"/>
            <w:right w:w="108" w:type="dxa"/>
          </w:tblCellMar>
        </w:tblPrEx>
        <w:tc>
          <w:tcPr>
            <w:tcW w:w="4148" w:type="dxa"/>
            <w:shd w:val="clear" w:color="auto" w:fill="auto"/>
          </w:tcPr>
          <w:p>
            <w:pPr>
              <w:widowControl/>
              <w:autoSpaceDE/>
              <w:autoSpaceDN/>
              <w:snapToGrid/>
              <w:spacing w:line="240" w:lineRule="auto"/>
              <w:ind w:firstLine="0"/>
              <w:jc w:val="left"/>
              <w:rPr>
                <w:rFonts w:ascii="Calibri" w:hAnsi="Calibri" w:eastAsia="方正仿宋_GBK" w:cs="Times New Roman"/>
                <w:snapToGrid/>
                <w:kern w:val="2"/>
                <w:sz w:val="32"/>
                <w:szCs w:val="32"/>
                <w:highlight w:val="none"/>
              </w:rPr>
            </w:pPr>
            <w:r>
              <w:rPr>
                <w:rFonts w:ascii="Calibri" w:hAnsi="Calibri" w:eastAsia="宋体" w:cs="Times New Roman"/>
                <w:snapToGrid/>
                <w:kern w:val="2"/>
                <w:sz w:val="24"/>
                <w:szCs w:val="24"/>
                <w:highlight w:val="none"/>
              </w:rPr>
              <w:drawing>
                <wp:inline distT="0" distB="0" distL="114300" distR="114300">
                  <wp:extent cx="2524125" cy="1628775"/>
                  <wp:effectExtent l="0" t="0" r="571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2524125" cy="1628775"/>
                          </a:xfrm>
                          <a:prstGeom prst="rect">
                            <a:avLst/>
                          </a:prstGeom>
                          <a:noFill/>
                          <a:ln>
                            <a:noFill/>
                          </a:ln>
                        </pic:spPr>
                      </pic:pic>
                    </a:graphicData>
                  </a:graphic>
                </wp:inline>
              </w:drawing>
            </w:r>
          </w:p>
        </w:tc>
        <w:tc>
          <w:tcPr>
            <w:tcW w:w="4148" w:type="dxa"/>
            <w:shd w:val="clear" w:color="auto" w:fill="auto"/>
          </w:tcPr>
          <w:p>
            <w:pPr>
              <w:keepNext/>
              <w:widowControl/>
              <w:autoSpaceDE/>
              <w:autoSpaceDN/>
              <w:snapToGrid/>
              <w:spacing w:line="240" w:lineRule="auto"/>
              <w:ind w:firstLine="0"/>
              <w:jc w:val="left"/>
              <w:rPr>
                <w:rFonts w:ascii="Calibri" w:hAnsi="Calibri" w:eastAsia="方正仿宋_GBK" w:cs="Times New Roman"/>
                <w:snapToGrid/>
                <w:kern w:val="2"/>
                <w:sz w:val="32"/>
                <w:szCs w:val="32"/>
                <w:highlight w:val="none"/>
              </w:rPr>
            </w:pPr>
            <w:r>
              <w:rPr>
                <w:rFonts w:ascii="Calibri" w:hAnsi="Calibri" w:eastAsia="宋体" w:cs="Times New Roman"/>
                <w:snapToGrid/>
                <w:kern w:val="2"/>
                <w:sz w:val="24"/>
                <w:szCs w:val="24"/>
                <w:highlight w:val="none"/>
              </w:rPr>
              <w:drawing>
                <wp:inline distT="0" distB="0" distL="114300" distR="114300">
                  <wp:extent cx="2524125" cy="1628775"/>
                  <wp:effectExtent l="0" t="0" r="571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rcRect t="-2" b="2499"/>
                          <a:stretch>
                            <a:fillRect/>
                          </a:stretch>
                        </pic:blipFill>
                        <pic:spPr>
                          <a:xfrm>
                            <a:off x="0" y="0"/>
                            <a:ext cx="2524125" cy="1628775"/>
                          </a:xfrm>
                          <a:prstGeom prst="rect">
                            <a:avLst/>
                          </a:prstGeom>
                          <a:noFill/>
                          <a:ln>
                            <a:noFill/>
                          </a:ln>
                        </pic:spPr>
                      </pic:pic>
                    </a:graphicData>
                  </a:graphic>
                </wp:inline>
              </w:drawing>
            </w:r>
          </w:p>
        </w:tc>
      </w:tr>
    </w:tbl>
    <w:p>
      <w:pPr>
        <w:autoSpaceDE/>
        <w:autoSpaceDN/>
        <w:snapToGrid/>
        <w:spacing w:line="240" w:lineRule="auto"/>
        <w:ind w:firstLine="0"/>
        <w:jc w:val="center"/>
        <w:rPr>
          <w:rFonts w:ascii="Times New Roman" w:hAnsi="Times New Roman" w:eastAsia="方正仿宋_GBK" w:cs="Times New Roman"/>
          <w:snapToGrid/>
          <w:kern w:val="2"/>
          <w:sz w:val="32"/>
          <w:szCs w:val="32"/>
          <w:highlight w:val="none"/>
        </w:rPr>
      </w:pPr>
      <w:r>
        <w:rPr>
          <w:rFonts w:ascii="Times New Roman" w:hAnsi="Times New Roman" w:eastAsia="方正仿宋_GBK" w:cs="Times New Roman"/>
          <w:snapToGrid/>
          <w:kern w:val="2"/>
          <w:sz w:val="32"/>
          <w:szCs w:val="32"/>
          <w:highlight w:val="none"/>
        </w:rPr>
        <w:t>图</w:t>
      </w:r>
      <w:r>
        <w:rPr>
          <w:rFonts w:ascii="Times New Roman" w:hAnsi="Times New Roman" w:eastAsia="方正仿宋_GBK" w:cs="Times New Roman"/>
          <w:snapToGrid/>
          <w:kern w:val="2"/>
          <w:sz w:val="32"/>
          <w:szCs w:val="32"/>
          <w:highlight w:val="none"/>
        </w:rPr>
        <w:fldChar w:fldCharType="begin"/>
      </w:r>
      <w:r>
        <w:rPr>
          <w:rFonts w:ascii="Times New Roman" w:hAnsi="Times New Roman" w:eastAsia="方正仿宋_GBK" w:cs="Times New Roman"/>
          <w:snapToGrid/>
          <w:kern w:val="2"/>
          <w:sz w:val="32"/>
          <w:szCs w:val="32"/>
          <w:highlight w:val="none"/>
        </w:rPr>
        <w:instrText xml:space="preserve"> SEQ 图 \* ARABIC </w:instrText>
      </w:r>
      <w:r>
        <w:rPr>
          <w:rFonts w:ascii="Times New Roman" w:hAnsi="Times New Roman" w:eastAsia="方正仿宋_GBK" w:cs="Times New Roman"/>
          <w:snapToGrid/>
          <w:kern w:val="2"/>
          <w:sz w:val="32"/>
          <w:szCs w:val="32"/>
          <w:highlight w:val="none"/>
        </w:rPr>
        <w:fldChar w:fldCharType="separate"/>
      </w:r>
      <w:r>
        <w:rPr>
          <w:rFonts w:ascii="Times New Roman" w:hAnsi="Times New Roman" w:eastAsia="方正仿宋_GBK" w:cs="Times New Roman"/>
          <w:snapToGrid/>
          <w:kern w:val="2"/>
          <w:sz w:val="32"/>
          <w:szCs w:val="32"/>
          <w:highlight w:val="none"/>
        </w:rPr>
        <w:t>1</w:t>
      </w:r>
      <w:r>
        <w:rPr>
          <w:rFonts w:ascii="Times New Roman" w:hAnsi="Times New Roman" w:eastAsia="方正仿宋_GBK" w:cs="Times New Roman"/>
          <w:snapToGrid/>
          <w:kern w:val="2"/>
          <w:sz w:val="32"/>
          <w:szCs w:val="32"/>
          <w:highlight w:val="none"/>
        </w:rPr>
        <w:fldChar w:fldCharType="end"/>
      </w:r>
      <w:r>
        <w:rPr>
          <w:rFonts w:ascii="Times New Roman" w:hAnsi="Times New Roman" w:eastAsia="方正仿宋_GBK" w:cs="Times New Roman"/>
          <w:snapToGrid/>
          <w:kern w:val="2"/>
          <w:sz w:val="32"/>
          <w:szCs w:val="32"/>
          <w:highlight w:val="none"/>
        </w:rPr>
        <w:t xml:space="preserve"> 地块现状</w:t>
      </w:r>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highlight w:val="none"/>
        </w:rPr>
      </w:pPr>
      <w:r>
        <w:rPr>
          <w:rFonts w:ascii="Times New Roman" w:hAnsi="Times New Roman" w:eastAsia="方正仿宋_GBK" w:cs="Times New Roman"/>
          <w:snapToGrid/>
          <w:kern w:val="0"/>
          <w:sz w:val="32"/>
          <w:szCs w:val="32"/>
          <w:highlight w:val="none"/>
        </w:rPr>
        <w:t>2.2“两断三清”与残留污染物处置完成情况</w:t>
      </w:r>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highlight w:val="none"/>
        </w:rPr>
      </w:pPr>
      <w:r>
        <w:rPr>
          <w:rFonts w:ascii="Times New Roman" w:hAnsi="Times New Roman" w:eastAsia="方正仿宋_GBK" w:cs="Times New Roman"/>
          <w:snapToGrid/>
          <w:kern w:val="0"/>
          <w:sz w:val="32"/>
          <w:szCs w:val="32"/>
          <w:highlight w:val="none"/>
        </w:rPr>
        <w:t>排查并说明地块“两断三清”（断水断电、清除原料、清除设备、清除污染物）和残留污染物处置完成情况。如存在完成不彻底、不到位的地块，需具体说明现场残留物料、污染物处置情况和存在问题，并附图（如图2所示）。</w:t>
      </w:r>
    </w:p>
    <w:tbl>
      <w:tblPr>
        <w:tblStyle w:val="15"/>
        <w:tblW w:w="0" w:type="auto"/>
        <w:tblInd w:w="0" w:type="dxa"/>
        <w:tblLayout w:type="autofit"/>
        <w:tblCellMar>
          <w:top w:w="0" w:type="dxa"/>
          <w:left w:w="108" w:type="dxa"/>
          <w:bottom w:w="0" w:type="dxa"/>
          <w:right w:w="108" w:type="dxa"/>
        </w:tblCellMar>
      </w:tblPr>
      <w:tblGrid>
        <w:gridCol w:w="4200"/>
        <w:gridCol w:w="4200"/>
      </w:tblGrid>
      <w:tr>
        <w:tblPrEx>
          <w:tblCellMar>
            <w:top w:w="0" w:type="dxa"/>
            <w:left w:w="108" w:type="dxa"/>
            <w:bottom w:w="0" w:type="dxa"/>
            <w:right w:w="108" w:type="dxa"/>
          </w:tblCellMar>
        </w:tblPrEx>
        <w:tc>
          <w:tcPr>
            <w:tcW w:w="4148" w:type="dxa"/>
            <w:shd w:val="clear" w:color="auto" w:fill="auto"/>
            <w:vAlign w:val="center"/>
          </w:tcPr>
          <w:p>
            <w:pPr>
              <w:widowControl/>
              <w:autoSpaceDE/>
              <w:autoSpaceDN/>
              <w:snapToGrid/>
              <w:spacing w:line="240" w:lineRule="auto"/>
              <w:ind w:firstLine="0"/>
              <w:jc w:val="center"/>
              <w:rPr>
                <w:rFonts w:ascii="Calibri" w:hAnsi="Calibri" w:eastAsia="方正仿宋_GBK" w:cs="Times New Roman"/>
                <w:snapToGrid/>
                <w:kern w:val="2"/>
                <w:sz w:val="32"/>
                <w:szCs w:val="32"/>
                <w:highlight w:val="none"/>
              </w:rPr>
            </w:pPr>
            <w:r>
              <w:rPr>
                <w:rFonts w:ascii="Calibri" w:hAnsi="Calibri" w:eastAsia="宋体" w:cs="Times New Roman"/>
                <w:snapToGrid/>
                <w:kern w:val="2"/>
                <w:sz w:val="24"/>
                <w:szCs w:val="24"/>
                <w:highlight w:val="none"/>
              </w:rPr>
              <w:drawing>
                <wp:inline distT="0" distB="0" distL="114300" distR="114300">
                  <wp:extent cx="2524125" cy="1428750"/>
                  <wp:effectExtent l="0" t="0" r="571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rcRect t="5414" b="6026"/>
                          <a:stretch>
                            <a:fillRect/>
                          </a:stretch>
                        </pic:blipFill>
                        <pic:spPr>
                          <a:xfrm>
                            <a:off x="0" y="0"/>
                            <a:ext cx="2524125" cy="1428750"/>
                          </a:xfrm>
                          <a:prstGeom prst="rect">
                            <a:avLst/>
                          </a:prstGeom>
                          <a:noFill/>
                          <a:ln>
                            <a:noFill/>
                          </a:ln>
                        </pic:spPr>
                      </pic:pic>
                    </a:graphicData>
                  </a:graphic>
                </wp:inline>
              </w:drawing>
            </w:r>
          </w:p>
        </w:tc>
        <w:tc>
          <w:tcPr>
            <w:tcW w:w="4148" w:type="dxa"/>
            <w:shd w:val="clear" w:color="auto" w:fill="auto"/>
            <w:vAlign w:val="center"/>
          </w:tcPr>
          <w:p>
            <w:pPr>
              <w:keepNext/>
              <w:widowControl/>
              <w:autoSpaceDE/>
              <w:autoSpaceDN/>
              <w:snapToGrid/>
              <w:spacing w:line="240" w:lineRule="auto"/>
              <w:ind w:firstLine="0"/>
              <w:jc w:val="center"/>
              <w:rPr>
                <w:rFonts w:ascii="Calibri" w:hAnsi="Calibri" w:eastAsia="方正仿宋_GBK" w:cs="Times New Roman"/>
                <w:snapToGrid/>
                <w:kern w:val="2"/>
                <w:sz w:val="32"/>
                <w:szCs w:val="32"/>
                <w:highlight w:val="none"/>
              </w:rPr>
            </w:pPr>
            <w:r>
              <w:rPr>
                <w:rFonts w:ascii="Calibri" w:hAnsi="Calibri" w:eastAsia="宋体" w:cs="Times New Roman"/>
                <w:snapToGrid/>
                <w:kern w:val="2"/>
                <w:sz w:val="24"/>
                <w:szCs w:val="24"/>
                <w:highlight w:val="none"/>
              </w:rPr>
              <w:drawing>
                <wp:inline distT="0" distB="0" distL="114300" distR="114300">
                  <wp:extent cx="2524125" cy="1457325"/>
                  <wp:effectExtent l="0" t="0" r="571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2524125" cy="1457325"/>
                          </a:xfrm>
                          <a:prstGeom prst="rect">
                            <a:avLst/>
                          </a:prstGeom>
                          <a:noFill/>
                          <a:ln>
                            <a:noFill/>
                          </a:ln>
                        </pic:spPr>
                      </pic:pic>
                    </a:graphicData>
                  </a:graphic>
                </wp:inline>
              </w:drawing>
            </w:r>
          </w:p>
        </w:tc>
      </w:tr>
    </w:tbl>
    <w:p>
      <w:pPr>
        <w:autoSpaceDE/>
        <w:autoSpaceDN/>
        <w:snapToGrid/>
        <w:spacing w:line="240" w:lineRule="auto"/>
        <w:ind w:firstLine="0"/>
        <w:jc w:val="center"/>
        <w:rPr>
          <w:rFonts w:ascii="Times New Roman" w:hAnsi="Times New Roman" w:eastAsia="方正仿宋_GBK" w:cs="Times New Roman"/>
          <w:snapToGrid/>
          <w:kern w:val="2"/>
          <w:sz w:val="32"/>
          <w:szCs w:val="32"/>
        </w:rPr>
      </w:pPr>
      <w:r>
        <w:rPr>
          <w:rFonts w:ascii="Times New Roman" w:hAnsi="Times New Roman" w:eastAsia="方正仿宋_GBK" w:cs="Times New Roman"/>
          <w:snapToGrid/>
          <w:kern w:val="2"/>
          <w:sz w:val="32"/>
          <w:szCs w:val="32"/>
        </w:rPr>
        <w:t>图</w:t>
      </w:r>
      <w:r>
        <w:rPr>
          <w:rFonts w:ascii="Times New Roman" w:hAnsi="Times New Roman" w:eastAsia="方正仿宋_GBK" w:cs="Times New Roman"/>
          <w:snapToGrid/>
          <w:kern w:val="2"/>
          <w:sz w:val="32"/>
          <w:szCs w:val="32"/>
        </w:rPr>
        <w:fldChar w:fldCharType="begin"/>
      </w:r>
      <w:r>
        <w:rPr>
          <w:rFonts w:ascii="Times New Roman" w:hAnsi="Times New Roman" w:eastAsia="方正仿宋_GBK" w:cs="Times New Roman"/>
          <w:snapToGrid/>
          <w:kern w:val="2"/>
          <w:sz w:val="32"/>
          <w:szCs w:val="32"/>
        </w:rPr>
        <w:instrText xml:space="preserve"> SEQ 图 \* ARABIC </w:instrText>
      </w:r>
      <w:r>
        <w:rPr>
          <w:rFonts w:ascii="Times New Roman" w:hAnsi="Times New Roman" w:eastAsia="方正仿宋_GBK" w:cs="Times New Roman"/>
          <w:snapToGrid/>
          <w:kern w:val="2"/>
          <w:sz w:val="32"/>
          <w:szCs w:val="32"/>
        </w:rPr>
        <w:fldChar w:fldCharType="separate"/>
      </w:r>
      <w:r>
        <w:rPr>
          <w:rFonts w:ascii="Times New Roman" w:hAnsi="Times New Roman" w:eastAsia="方正仿宋_GBK" w:cs="Times New Roman"/>
          <w:snapToGrid/>
          <w:kern w:val="2"/>
          <w:sz w:val="32"/>
          <w:szCs w:val="32"/>
        </w:rPr>
        <w:t>2</w:t>
      </w:r>
      <w:r>
        <w:rPr>
          <w:rFonts w:ascii="Times New Roman" w:hAnsi="Times New Roman" w:eastAsia="方正仿宋_GBK" w:cs="Times New Roman"/>
          <w:snapToGrid/>
          <w:kern w:val="2"/>
          <w:sz w:val="32"/>
          <w:szCs w:val="32"/>
        </w:rPr>
        <w:fldChar w:fldCharType="end"/>
      </w:r>
      <w:r>
        <w:rPr>
          <w:rFonts w:ascii="Times New Roman" w:hAnsi="Times New Roman" w:eastAsia="方正仿宋_GBK" w:cs="Times New Roman"/>
          <w:snapToGrid/>
          <w:kern w:val="2"/>
          <w:sz w:val="32"/>
          <w:szCs w:val="32"/>
        </w:rPr>
        <w:t xml:space="preserve"> 未完成“两断三清”与残留污染物处置</w:t>
      </w:r>
    </w:p>
    <w:p>
      <w:pPr>
        <w:autoSpaceDE/>
        <w:autoSpaceDN/>
        <w:snapToGrid/>
        <w:spacing w:line="590" w:lineRule="exact"/>
        <w:ind w:firstLine="640" w:firstLineChars="200"/>
        <w:outlineLvl w:val="0"/>
        <w:rPr>
          <w:rFonts w:ascii="Times New Roman" w:hAnsi="Times New Roman" w:eastAsia="黑体" w:cs="Times New Roman"/>
          <w:snapToGrid/>
          <w:kern w:val="2"/>
          <w:sz w:val="32"/>
          <w:szCs w:val="32"/>
        </w:rPr>
      </w:pPr>
      <w:bookmarkStart w:id="62" w:name="_Toc128926444"/>
      <w:r>
        <w:rPr>
          <w:rFonts w:ascii="Times New Roman" w:hAnsi="Times New Roman" w:eastAsia="黑体" w:cs="Times New Roman"/>
          <w:snapToGrid/>
          <w:kern w:val="2"/>
          <w:sz w:val="32"/>
          <w:szCs w:val="32"/>
        </w:rPr>
        <w:t>三、土壤污染状况调查情况</w:t>
      </w:r>
      <w:bookmarkEnd w:id="62"/>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rPr>
      </w:pPr>
      <w:r>
        <w:rPr>
          <w:rFonts w:ascii="Times New Roman" w:hAnsi="Times New Roman" w:eastAsia="方正仿宋_GBK" w:cs="Times New Roman"/>
          <w:snapToGrid/>
          <w:kern w:val="0"/>
          <w:sz w:val="32"/>
          <w:szCs w:val="32"/>
        </w:rPr>
        <w:t>详细说明地块土壤污染状况调查情况：已完成调查（超标）、已完成调查（未超标）、正在调查、暂未开展调查，其中如果暂未开展调查，是否有历史调查数据。如确不具备调查条件的地块（仅关闭部分工序、厂房自用或租赁场地用作生产、已建设成其他项目、存在产权等经济纠纷等情况），则需情况具体说明情况并提供现场照片等相应证明。</w:t>
      </w:r>
      <w:r>
        <w:rPr>
          <w:rFonts w:hint="eastAsia" w:ascii="Times New Roman" w:hAnsi="Times New Roman" w:eastAsia="方正仿宋_GBK" w:cs="Times New Roman"/>
          <w:snapToGrid/>
          <w:kern w:val="0"/>
          <w:sz w:val="32"/>
          <w:szCs w:val="32"/>
        </w:rPr>
        <w:t>该部分需提供土壤污染状况调查报告。</w:t>
      </w:r>
    </w:p>
    <w:p>
      <w:pPr>
        <w:autoSpaceDE/>
        <w:autoSpaceDN/>
        <w:snapToGrid/>
        <w:spacing w:line="590" w:lineRule="exact"/>
        <w:ind w:firstLine="640" w:firstLineChars="200"/>
        <w:outlineLvl w:val="0"/>
        <w:rPr>
          <w:rFonts w:ascii="Times New Roman" w:hAnsi="Times New Roman" w:eastAsia="黑体" w:cs="Times New Roman"/>
          <w:snapToGrid/>
          <w:kern w:val="2"/>
          <w:sz w:val="32"/>
          <w:szCs w:val="32"/>
        </w:rPr>
      </w:pPr>
      <w:bookmarkStart w:id="63" w:name="_Toc128926445"/>
      <w:r>
        <w:rPr>
          <w:rFonts w:ascii="Times New Roman" w:hAnsi="Times New Roman" w:eastAsia="黑体" w:cs="Times New Roman"/>
          <w:snapToGrid/>
          <w:kern w:val="2"/>
          <w:sz w:val="32"/>
          <w:szCs w:val="32"/>
        </w:rPr>
        <w:t>四、地块周边情况</w:t>
      </w:r>
      <w:bookmarkEnd w:id="63"/>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rPr>
      </w:pPr>
      <w:r>
        <w:rPr>
          <w:rFonts w:ascii="Times New Roman" w:hAnsi="Times New Roman" w:eastAsia="方正仿宋_GBK" w:cs="Times New Roman"/>
          <w:snapToGrid/>
          <w:kern w:val="0"/>
          <w:sz w:val="32"/>
          <w:szCs w:val="32"/>
        </w:rPr>
        <w:t>根据地块现场排查情况以及历史调查情况，说明调查地块周边是否存在居民区、学校、幼儿园、医院、养老院、疗养院、农田等敏感目标，如存在，需以图示说明敏感目标距调查地块距离和所处方位。</w:t>
      </w:r>
    </w:p>
    <w:p>
      <w:pPr>
        <w:autoSpaceDE/>
        <w:autoSpaceDN/>
        <w:snapToGrid/>
        <w:spacing w:line="590" w:lineRule="exact"/>
        <w:ind w:firstLine="640" w:firstLineChars="200"/>
        <w:outlineLvl w:val="0"/>
        <w:rPr>
          <w:rFonts w:ascii="Times New Roman" w:hAnsi="Times New Roman" w:eastAsia="黑体" w:cs="Times New Roman"/>
          <w:snapToGrid/>
          <w:kern w:val="2"/>
          <w:sz w:val="32"/>
          <w:szCs w:val="32"/>
        </w:rPr>
      </w:pPr>
      <w:bookmarkStart w:id="64" w:name="_Toc128926446"/>
      <w:r>
        <w:rPr>
          <w:rFonts w:ascii="Times New Roman" w:hAnsi="Times New Roman" w:eastAsia="黑体" w:cs="Times New Roman"/>
          <w:snapToGrid/>
          <w:kern w:val="2"/>
          <w:sz w:val="32"/>
          <w:szCs w:val="32"/>
        </w:rPr>
        <w:t>五、地块规划用途</w:t>
      </w:r>
      <w:bookmarkEnd w:id="64"/>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rPr>
      </w:pPr>
      <w:r>
        <w:rPr>
          <w:rFonts w:ascii="Times New Roman" w:hAnsi="Times New Roman" w:eastAsia="方正仿宋_GBK" w:cs="Times New Roman"/>
          <w:snapToGrid/>
          <w:kern w:val="0"/>
          <w:sz w:val="32"/>
          <w:szCs w:val="32"/>
        </w:rPr>
        <w:t>参照《国土空间调查、规划、用途管制用地用海分类指南（试行）》填写至二级类名称，明确是否属于“一住两公”、工业用地。</w:t>
      </w:r>
    </w:p>
    <w:p>
      <w:pPr>
        <w:autoSpaceDE/>
        <w:autoSpaceDN/>
        <w:snapToGrid/>
        <w:spacing w:line="590" w:lineRule="exact"/>
        <w:ind w:firstLine="640" w:firstLineChars="200"/>
        <w:outlineLvl w:val="0"/>
        <w:rPr>
          <w:rFonts w:ascii="Times New Roman" w:hAnsi="Times New Roman" w:eastAsia="黑体" w:cs="Times New Roman"/>
          <w:snapToGrid/>
          <w:kern w:val="2"/>
          <w:sz w:val="32"/>
          <w:szCs w:val="32"/>
        </w:rPr>
      </w:pPr>
      <w:bookmarkStart w:id="65" w:name="_Toc128926447"/>
      <w:r>
        <w:rPr>
          <w:rFonts w:ascii="Times New Roman" w:hAnsi="Times New Roman" w:eastAsia="黑体" w:cs="Times New Roman"/>
          <w:snapToGrid/>
          <w:kern w:val="2"/>
          <w:sz w:val="32"/>
          <w:szCs w:val="32"/>
        </w:rPr>
        <w:t>六、地块风险管控措施落实情况</w:t>
      </w:r>
      <w:bookmarkEnd w:id="65"/>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rPr>
      </w:pPr>
      <w:r>
        <w:rPr>
          <w:rFonts w:ascii="Times New Roman" w:hAnsi="Times New Roman" w:eastAsia="方正仿宋_GBK" w:cs="Times New Roman"/>
          <w:snapToGrid/>
          <w:kern w:val="0"/>
          <w:sz w:val="32"/>
          <w:szCs w:val="32"/>
        </w:rPr>
        <w:t>根据调查地块风险管控状态，说明风险管控情况和具体管控措施：不需要实施管控、尚未实施管控、已落实制度性管控、已落实工程性管控、已落实</w:t>
      </w:r>
      <w:bookmarkStart w:id="66" w:name="_Hlk128992021"/>
      <w:r>
        <w:rPr>
          <w:rFonts w:ascii="Times New Roman" w:hAnsi="Times New Roman" w:eastAsia="方正仿宋_GBK" w:cs="Times New Roman"/>
          <w:snapToGrid/>
          <w:kern w:val="0"/>
          <w:sz w:val="32"/>
          <w:szCs w:val="32"/>
        </w:rPr>
        <w:t>制度性和工程性管控</w:t>
      </w:r>
      <w:bookmarkEnd w:id="66"/>
      <w:r>
        <w:rPr>
          <w:rFonts w:ascii="Times New Roman" w:hAnsi="Times New Roman" w:eastAsia="方正仿宋_GBK" w:cs="Times New Roman"/>
          <w:snapToGrid/>
          <w:kern w:val="0"/>
          <w:sz w:val="32"/>
          <w:szCs w:val="32"/>
        </w:rPr>
        <w:t>。</w:t>
      </w:r>
    </w:p>
    <w:p>
      <w:pPr>
        <w:widowControl/>
        <w:autoSpaceDE/>
        <w:autoSpaceDN/>
        <w:snapToGrid/>
        <w:spacing w:line="590" w:lineRule="exact"/>
        <w:ind w:firstLine="0"/>
        <w:jc w:val="left"/>
        <w:rPr>
          <w:rFonts w:ascii="Times New Roman" w:hAnsi="Times New Roman" w:eastAsia="黑体" w:cs="Times New Roman"/>
          <w:snapToGrid/>
          <w:kern w:val="0"/>
          <w:sz w:val="22"/>
          <w:szCs w:val="24"/>
        </w:rPr>
      </w:pPr>
    </w:p>
    <w:p>
      <w:pPr>
        <w:widowControl/>
        <w:autoSpaceDE/>
        <w:autoSpaceDN/>
        <w:snapToGrid/>
        <w:spacing w:line="590" w:lineRule="exact"/>
        <w:ind w:firstLine="0"/>
        <w:jc w:val="left"/>
        <w:rPr>
          <w:rFonts w:ascii="Times New Roman" w:hAnsi="Times New Roman" w:eastAsia="黑体" w:cs="Times New Roman"/>
          <w:snapToGrid/>
          <w:kern w:val="0"/>
          <w:sz w:val="22"/>
          <w:szCs w:val="24"/>
        </w:rPr>
      </w:pPr>
    </w:p>
    <w:p>
      <w:pPr>
        <w:widowControl/>
        <w:autoSpaceDE/>
        <w:autoSpaceDN/>
        <w:snapToGrid/>
        <w:spacing w:line="590" w:lineRule="exact"/>
        <w:ind w:firstLine="640" w:firstLineChars="200"/>
        <w:jc w:val="left"/>
        <w:rPr>
          <w:rFonts w:ascii="Times New Roman" w:hAnsi="Times New Roman" w:eastAsia="方正仿宋_GBK" w:cs="Times New Roman"/>
          <w:snapToGrid/>
          <w:kern w:val="0"/>
          <w:sz w:val="32"/>
          <w:szCs w:val="32"/>
        </w:rPr>
      </w:pPr>
      <w:r>
        <w:rPr>
          <w:rFonts w:ascii="Times New Roman" w:hAnsi="Times New Roman" w:eastAsia="方正仿宋_GBK" w:cs="Times New Roman"/>
          <w:snapToGrid/>
          <w:kern w:val="0"/>
          <w:sz w:val="32"/>
          <w:szCs w:val="32"/>
        </w:rPr>
        <w:t>附</w:t>
      </w:r>
      <w:r>
        <w:rPr>
          <w:rFonts w:hint="eastAsia" w:ascii="Times New Roman" w:hAnsi="Times New Roman" w:eastAsia="方正仿宋_GBK" w:cs="Times New Roman"/>
          <w:snapToGrid/>
          <w:kern w:val="0"/>
          <w:sz w:val="32"/>
          <w:szCs w:val="32"/>
        </w:rPr>
        <w:t>表</w:t>
      </w:r>
      <w:r>
        <w:rPr>
          <w:rFonts w:ascii="Times New Roman" w:hAnsi="Times New Roman" w:eastAsia="方正仿宋_GBK" w:cs="Times New Roman"/>
          <w:snapToGrid/>
          <w:kern w:val="0"/>
          <w:sz w:val="32"/>
          <w:szCs w:val="32"/>
        </w:rPr>
        <w:t>：高风险遗留地块现状排查信息表</w:t>
      </w:r>
    </w:p>
    <w:p>
      <w:pPr>
        <w:widowControl/>
        <w:autoSpaceDE/>
        <w:autoSpaceDN/>
        <w:snapToGrid/>
        <w:spacing w:line="590" w:lineRule="exact"/>
        <w:ind w:firstLine="0"/>
        <w:jc w:val="left"/>
        <w:rPr>
          <w:snapToGrid/>
          <w:szCs w:val="32"/>
        </w:rPr>
      </w:pPr>
    </w:p>
    <w:p>
      <w:pPr>
        <w:pStyle w:val="2"/>
        <w:rPr>
          <w:snapToGrid/>
          <w:szCs w:val="32"/>
        </w:rPr>
      </w:pPr>
    </w:p>
    <w:p>
      <w:pPr>
        <w:pStyle w:val="3"/>
        <w:rPr>
          <w:snapToGrid/>
          <w:szCs w:val="32"/>
        </w:rPr>
      </w:pPr>
    </w:p>
    <w:p>
      <w:pPr>
        <w:rPr>
          <w:snapToGrid/>
          <w:szCs w:val="32"/>
        </w:rPr>
      </w:pPr>
    </w:p>
    <w:p>
      <w:pPr>
        <w:pStyle w:val="2"/>
        <w:rPr>
          <w:snapToGrid/>
          <w:szCs w:val="32"/>
        </w:rPr>
      </w:pPr>
    </w:p>
    <w:p>
      <w:pPr>
        <w:pStyle w:val="3"/>
        <w:rPr>
          <w:snapToGrid/>
          <w:szCs w:val="32"/>
        </w:rPr>
      </w:pPr>
    </w:p>
    <w:p>
      <w:pPr>
        <w:rPr>
          <w:snapToGrid/>
          <w:szCs w:val="32"/>
        </w:rPr>
      </w:pPr>
    </w:p>
    <w:p>
      <w:pPr>
        <w:pStyle w:val="2"/>
        <w:rPr>
          <w:snapToGrid/>
          <w:szCs w:val="32"/>
        </w:rPr>
      </w:pPr>
    </w:p>
    <w:p>
      <w:pPr>
        <w:pStyle w:val="3"/>
        <w:rPr>
          <w:snapToGrid/>
          <w:szCs w:val="32"/>
        </w:rPr>
      </w:pPr>
    </w:p>
    <w:p>
      <w:pPr>
        <w:rPr>
          <w:snapToGrid/>
          <w:szCs w:val="32"/>
        </w:rPr>
      </w:pPr>
    </w:p>
    <w:p>
      <w:pPr>
        <w:pStyle w:val="2"/>
        <w:rPr>
          <w:snapToGrid/>
          <w:szCs w:val="32"/>
        </w:rPr>
      </w:pPr>
    </w:p>
    <w:p>
      <w:pPr>
        <w:pStyle w:val="3"/>
        <w:rPr>
          <w:snapToGrid/>
          <w:szCs w:val="32"/>
        </w:rPr>
      </w:pPr>
    </w:p>
    <w:p>
      <w:pPr>
        <w:rPr>
          <w:snapToGrid/>
          <w:szCs w:val="32"/>
        </w:rPr>
      </w:pPr>
    </w:p>
    <w:p>
      <w:pPr>
        <w:pStyle w:val="2"/>
        <w:rPr>
          <w:snapToGrid/>
          <w:szCs w:val="32"/>
        </w:rPr>
      </w:pPr>
    </w:p>
    <w:p>
      <w:pPr>
        <w:pStyle w:val="3"/>
        <w:rPr>
          <w:snapToGrid/>
          <w:szCs w:val="32"/>
        </w:rPr>
      </w:pPr>
    </w:p>
    <w:p>
      <w:pPr>
        <w:rPr>
          <w:snapToGrid/>
          <w:szCs w:val="32"/>
        </w:rPr>
      </w:pPr>
    </w:p>
    <w:p>
      <w:pPr>
        <w:pStyle w:val="2"/>
        <w:rPr>
          <w:snapToGrid/>
          <w:szCs w:val="32"/>
        </w:rPr>
      </w:pPr>
    </w:p>
    <w:p>
      <w:pPr>
        <w:pStyle w:val="3"/>
        <w:rPr>
          <w:snapToGrid/>
          <w:szCs w:val="32"/>
        </w:rPr>
      </w:pPr>
    </w:p>
    <w:p>
      <w:pPr>
        <w:rPr>
          <w:snapToGrid/>
          <w:szCs w:val="32"/>
        </w:rPr>
      </w:pPr>
    </w:p>
    <w:p>
      <w:pPr>
        <w:pStyle w:val="2"/>
        <w:rPr>
          <w:snapToGrid/>
          <w:szCs w:val="32"/>
        </w:rPr>
      </w:pPr>
    </w:p>
    <w:p>
      <w:pPr>
        <w:pStyle w:val="3"/>
        <w:rPr>
          <w:snapToGrid/>
          <w:szCs w:val="32"/>
        </w:rPr>
      </w:pPr>
    </w:p>
    <w:p>
      <w:pPr>
        <w:rPr>
          <w:snapToGrid/>
          <w:szCs w:val="32"/>
        </w:rPr>
      </w:pPr>
    </w:p>
    <w:p>
      <w:pPr>
        <w:pStyle w:val="2"/>
        <w:rPr>
          <w:snapToGrid/>
          <w:szCs w:val="32"/>
        </w:rPr>
      </w:pPr>
    </w:p>
    <w:p>
      <w:pPr>
        <w:pStyle w:val="3"/>
        <w:rPr>
          <w:snapToGrid/>
          <w:szCs w:val="32"/>
        </w:rPr>
      </w:pPr>
    </w:p>
    <w:p>
      <w:pPr>
        <w:rPr>
          <w:snapToGrid/>
          <w:szCs w:val="32"/>
        </w:rPr>
        <w:sectPr>
          <w:pgSz w:w="11906" w:h="16838"/>
          <w:pgMar w:top="1531" w:right="1531" w:bottom="1531" w:left="1531" w:header="851" w:footer="992" w:gutter="0"/>
          <w:cols w:space="425" w:num="1"/>
          <w:docGrid w:linePitch="326" w:charSpace="0"/>
        </w:sectPr>
      </w:pPr>
    </w:p>
    <w:p>
      <w:pPr>
        <w:pStyle w:val="2"/>
      </w:pPr>
    </w:p>
    <w:p>
      <w:pPr>
        <w:pStyle w:val="2"/>
        <w:rPr>
          <w:snapToGrid/>
          <w:szCs w:val="32"/>
        </w:rPr>
      </w:pPr>
    </w:p>
    <w:p>
      <w:pPr>
        <w:widowControl/>
        <w:autoSpaceDE/>
        <w:autoSpaceDN/>
        <w:snapToGrid/>
        <w:spacing w:line="590" w:lineRule="exact"/>
        <w:ind w:firstLine="0"/>
        <w:jc w:val="left"/>
        <w:rPr>
          <w:rFonts w:eastAsia="黑体"/>
          <w:snapToGrid/>
          <w:szCs w:val="32"/>
        </w:rPr>
      </w:pPr>
      <w:r>
        <w:rPr>
          <w:rFonts w:eastAsia="黑体"/>
          <w:snapToGrid/>
          <w:szCs w:val="32"/>
        </w:rPr>
        <w:t>附</w:t>
      </w:r>
      <w:r>
        <w:rPr>
          <w:rFonts w:hint="eastAsia" w:eastAsia="黑体"/>
          <w:snapToGrid/>
          <w:szCs w:val="32"/>
        </w:rPr>
        <w:t>表</w:t>
      </w:r>
    </w:p>
    <w:p>
      <w:pPr>
        <w:widowControl/>
        <w:autoSpaceDE/>
        <w:autoSpaceDN/>
        <w:snapToGrid/>
        <w:spacing w:afterLines="100" w:line="590" w:lineRule="exact"/>
        <w:ind w:firstLine="0"/>
        <w:jc w:val="center"/>
        <w:rPr>
          <w:b/>
          <w:bCs/>
          <w:snapToGrid/>
          <w:sz w:val="32"/>
          <w:szCs w:val="48"/>
        </w:rPr>
      </w:pPr>
      <w:r>
        <w:rPr>
          <w:b/>
          <w:bCs/>
          <w:snapToGrid/>
          <w:sz w:val="32"/>
          <w:szCs w:val="48"/>
        </w:rPr>
        <w:t>高风险遗留地块现状排查信息表</w:t>
      </w:r>
    </w:p>
    <w:tbl>
      <w:tblPr>
        <w:tblStyle w:val="15"/>
        <w:tblW w:w="14885" w:type="dxa"/>
        <w:jc w:val="center"/>
        <w:tblLayout w:type="autofit"/>
        <w:tblCellMar>
          <w:top w:w="0" w:type="dxa"/>
          <w:left w:w="108" w:type="dxa"/>
          <w:bottom w:w="0" w:type="dxa"/>
          <w:right w:w="108" w:type="dxa"/>
        </w:tblCellMar>
      </w:tblPr>
      <w:tblGrid>
        <w:gridCol w:w="1696"/>
        <w:gridCol w:w="1134"/>
        <w:gridCol w:w="993"/>
        <w:gridCol w:w="2268"/>
        <w:gridCol w:w="2268"/>
        <w:gridCol w:w="2268"/>
        <w:gridCol w:w="2268"/>
        <w:gridCol w:w="1990"/>
      </w:tblGrid>
      <w:tr>
        <w:tblPrEx>
          <w:tblCellMar>
            <w:top w:w="0" w:type="dxa"/>
            <w:left w:w="108" w:type="dxa"/>
            <w:bottom w:w="0" w:type="dxa"/>
            <w:right w:w="108" w:type="dxa"/>
          </w:tblCellMar>
        </w:tblPrEx>
        <w:trPr>
          <w:trHeight w:val="360" w:hRule="atLeast"/>
          <w:jc w:val="center"/>
        </w:trPr>
        <w:tc>
          <w:tcPr>
            <w:tcW w:w="1696" w:type="dxa"/>
            <w:tcBorders>
              <w:top w:val="single" w:color="auto" w:sz="4" w:space="0"/>
              <w:left w:val="single" w:color="auto" w:sz="4" w:space="0"/>
              <w:bottom w:val="single" w:color="auto" w:sz="4" w:space="0"/>
              <w:right w:val="single" w:color="auto" w:sz="4" w:space="0"/>
            </w:tcBorders>
            <w:shd w:val="clear" w:color="000000" w:fill="FFF2CC"/>
            <w:noWrap/>
            <w:vAlign w:val="center"/>
          </w:tcPr>
          <w:p>
            <w:pPr>
              <w:widowControl/>
              <w:autoSpaceDE/>
              <w:autoSpaceDN/>
              <w:snapToGrid/>
              <w:spacing w:line="400" w:lineRule="exact"/>
              <w:ind w:firstLine="0"/>
              <w:jc w:val="center"/>
              <w:rPr>
                <w:rFonts w:ascii="方正仿宋_GBK" w:hAnsi="方正仿宋_GBK" w:cs="方正仿宋_GBK"/>
                <w:b/>
                <w:bCs/>
                <w:snapToGrid/>
                <w:color w:val="000000"/>
                <w:sz w:val="24"/>
                <w:szCs w:val="24"/>
              </w:rPr>
            </w:pPr>
            <w:r>
              <w:rPr>
                <w:rFonts w:ascii="方正仿宋_GBK" w:hAnsi="方正仿宋_GBK" w:cs="方正仿宋_GBK"/>
                <w:b/>
                <w:bCs/>
                <w:snapToGrid/>
                <w:color w:val="000000"/>
                <w:sz w:val="24"/>
                <w:szCs w:val="24"/>
              </w:rPr>
              <w:t>地块名称</w:t>
            </w:r>
          </w:p>
        </w:tc>
        <w:tc>
          <w:tcPr>
            <w:tcW w:w="1134" w:type="dxa"/>
            <w:tcBorders>
              <w:top w:val="single" w:color="auto" w:sz="4" w:space="0"/>
              <w:left w:val="nil"/>
              <w:bottom w:val="single" w:color="auto" w:sz="4" w:space="0"/>
              <w:right w:val="single" w:color="auto" w:sz="4" w:space="0"/>
            </w:tcBorders>
            <w:shd w:val="clear" w:color="000000" w:fill="FFF2CC"/>
            <w:noWrap/>
            <w:vAlign w:val="center"/>
          </w:tcPr>
          <w:p>
            <w:pPr>
              <w:widowControl/>
              <w:autoSpaceDE/>
              <w:autoSpaceDN/>
              <w:snapToGrid/>
              <w:spacing w:line="400" w:lineRule="exact"/>
              <w:ind w:firstLine="0"/>
              <w:jc w:val="center"/>
              <w:rPr>
                <w:rFonts w:ascii="方正仿宋_GBK" w:hAnsi="方正仿宋_GBK" w:cs="方正仿宋_GBK"/>
                <w:b/>
                <w:bCs/>
                <w:snapToGrid/>
                <w:color w:val="000000"/>
                <w:sz w:val="24"/>
                <w:szCs w:val="24"/>
              </w:rPr>
            </w:pPr>
            <w:r>
              <w:rPr>
                <w:rFonts w:ascii="方正仿宋_GBK" w:hAnsi="方正仿宋_GBK" w:cs="方正仿宋_GBK"/>
                <w:b/>
                <w:bCs/>
                <w:snapToGrid/>
                <w:color w:val="000000"/>
                <w:sz w:val="24"/>
                <w:szCs w:val="24"/>
              </w:rPr>
              <w:t>设区市</w:t>
            </w:r>
          </w:p>
        </w:tc>
        <w:tc>
          <w:tcPr>
            <w:tcW w:w="993" w:type="dxa"/>
            <w:tcBorders>
              <w:top w:val="single" w:color="auto" w:sz="4" w:space="0"/>
              <w:left w:val="nil"/>
              <w:bottom w:val="single" w:color="auto" w:sz="4" w:space="0"/>
              <w:right w:val="single" w:color="auto" w:sz="4" w:space="0"/>
            </w:tcBorders>
            <w:shd w:val="clear" w:color="000000" w:fill="FFF2CC"/>
            <w:noWrap/>
            <w:vAlign w:val="center"/>
          </w:tcPr>
          <w:p>
            <w:pPr>
              <w:widowControl/>
              <w:autoSpaceDE/>
              <w:autoSpaceDN/>
              <w:snapToGrid/>
              <w:spacing w:line="400" w:lineRule="exact"/>
              <w:ind w:firstLine="0"/>
              <w:jc w:val="center"/>
              <w:rPr>
                <w:rFonts w:ascii="方正仿宋_GBK" w:hAnsi="方正仿宋_GBK" w:cs="方正仿宋_GBK"/>
                <w:b/>
                <w:bCs/>
                <w:snapToGrid/>
                <w:color w:val="000000"/>
                <w:sz w:val="24"/>
                <w:szCs w:val="24"/>
              </w:rPr>
            </w:pPr>
            <w:r>
              <w:rPr>
                <w:rFonts w:ascii="方正仿宋_GBK" w:hAnsi="方正仿宋_GBK" w:cs="方正仿宋_GBK"/>
                <w:b/>
                <w:bCs/>
                <w:snapToGrid/>
                <w:color w:val="000000"/>
                <w:sz w:val="24"/>
                <w:szCs w:val="24"/>
              </w:rPr>
              <w:t>区县</w:t>
            </w:r>
          </w:p>
        </w:tc>
        <w:tc>
          <w:tcPr>
            <w:tcW w:w="2268" w:type="dxa"/>
            <w:tcBorders>
              <w:top w:val="single" w:color="auto" w:sz="4" w:space="0"/>
              <w:left w:val="nil"/>
              <w:bottom w:val="single" w:color="auto" w:sz="4" w:space="0"/>
              <w:right w:val="single" w:color="auto" w:sz="4" w:space="0"/>
            </w:tcBorders>
            <w:shd w:val="clear" w:color="000000" w:fill="FFF2CC"/>
            <w:noWrap/>
            <w:vAlign w:val="center"/>
          </w:tcPr>
          <w:p>
            <w:pPr>
              <w:widowControl/>
              <w:autoSpaceDE/>
              <w:autoSpaceDN/>
              <w:snapToGrid/>
              <w:spacing w:line="400" w:lineRule="exact"/>
              <w:ind w:firstLine="0"/>
              <w:jc w:val="center"/>
              <w:rPr>
                <w:rFonts w:ascii="方正仿宋_GBK" w:hAnsi="方正仿宋_GBK" w:cs="方正仿宋_GBK"/>
                <w:b/>
                <w:bCs/>
                <w:snapToGrid/>
                <w:color w:val="000000"/>
                <w:sz w:val="24"/>
                <w:szCs w:val="24"/>
              </w:rPr>
            </w:pPr>
            <w:r>
              <w:rPr>
                <w:rFonts w:ascii="方正仿宋_GBK" w:hAnsi="方正仿宋_GBK" w:cs="方正仿宋_GBK"/>
                <w:b/>
                <w:bCs/>
                <w:snapToGrid/>
                <w:color w:val="000000"/>
                <w:sz w:val="24"/>
                <w:szCs w:val="24"/>
              </w:rPr>
              <w:t>地块现状</w:t>
            </w:r>
          </w:p>
        </w:tc>
        <w:tc>
          <w:tcPr>
            <w:tcW w:w="2268" w:type="dxa"/>
            <w:tcBorders>
              <w:top w:val="single" w:color="auto" w:sz="4" w:space="0"/>
              <w:left w:val="nil"/>
              <w:bottom w:val="single" w:color="auto" w:sz="4" w:space="0"/>
              <w:right w:val="single" w:color="auto" w:sz="4" w:space="0"/>
            </w:tcBorders>
            <w:shd w:val="clear" w:color="000000" w:fill="FFF2CC"/>
            <w:noWrap/>
            <w:vAlign w:val="center"/>
          </w:tcPr>
          <w:p>
            <w:pPr>
              <w:widowControl/>
              <w:autoSpaceDE/>
              <w:autoSpaceDN/>
              <w:snapToGrid/>
              <w:spacing w:line="400" w:lineRule="exact"/>
              <w:ind w:firstLine="0"/>
              <w:jc w:val="center"/>
              <w:rPr>
                <w:rFonts w:ascii="方正仿宋_GBK" w:hAnsi="方正仿宋_GBK" w:cs="方正仿宋_GBK"/>
                <w:b/>
                <w:bCs/>
                <w:snapToGrid/>
                <w:color w:val="000000"/>
                <w:sz w:val="24"/>
                <w:szCs w:val="24"/>
              </w:rPr>
            </w:pPr>
            <w:r>
              <w:rPr>
                <w:rFonts w:ascii="方正仿宋_GBK" w:hAnsi="方正仿宋_GBK" w:cs="方正仿宋_GBK"/>
                <w:b/>
                <w:bCs/>
                <w:snapToGrid/>
                <w:color w:val="000000"/>
                <w:sz w:val="24"/>
                <w:szCs w:val="24"/>
              </w:rPr>
              <w:t>调查情况</w:t>
            </w:r>
          </w:p>
        </w:tc>
        <w:tc>
          <w:tcPr>
            <w:tcW w:w="2268" w:type="dxa"/>
            <w:tcBorders>
              <w:top w:val="single" w:color="auto" w:sz="4" w:space="0"/>
              <w:left w:val="nil"/>
              <w:bottom w:val="single" w:color="auto" w:sz="4" w:space="0"/>
              <w:right w:val="single" w:color="auto" w:sz="4" w:space="0"/>
            </w:tcBorders>
            <w:shd w:val="clear" w:color="000000" w:fill="FFF2CC"/>
            <w:noWrap/>
            <w:vAlign w:val="center"/>
          </w:tcPr>
          <w:p>
            <w:pPr>
              <w:widowControl/>
              <w:autoSpaceDE/>
              <w:autoSpaceDN/>
              <w:snapToGrid/>
              <w:spacing w:line="400" w:lineRule="exact"/>
              <w:ind w:firstLine="0"/>
              <w:jc w:val="center"/>
              <w:rPr>
                <w:rFonts w:ascii="方正仿宋_GBK" w:hAnsi="方正仿宋_GBK" w:cs="方正仿宋_GBK"/>
                <w:b/>
                <w:bCs/>
                <w:snapToGrid/>
                <w:color w:val="000000"/>
                <w:sz w:val="24"/>
                <w:szCs w:val="24"/>
              </w:rPr>
            </w:pPr>
            <w:r>
              <w:rPr>
                <w:rFonts w:ascii="方正仿宋_GBK" w:hAnsi="方正仿宋_GBK" w:cs="方正仿宋_GBK"/>
                <w:b/>
                <w:bCs/>
                <w:snapToGrid/>
                <w:color w:val="000000"/>
                <w:sz w:val="24"/>
                <w:szCs w:val="24"/>
              </w:rPr>
              <w:t>利用情况</w:t>
            </w:r>
          </w:p>
        </w:tc>
        <w:tc>
          <w:tcPr>
            <w:tcW w:w="2268" w:type="dxa"/>
            <w:tcBorders>
              <w:top w:val="single" w:color="auto" w:sz="4" w:space="0"/>
              <w:left w:val="nil"/>
              <w:bottom w:val="single" w:color="auto" w:sz="4" w:space="0"/>
              <w:right w:val="single" w:color="auto" w:sz="4" w:space="0"/>
            </w:tcBorders>
            <w:shd w:val="clear" w:color="000000" w:fill="FFF2CC"/>
            <w:noWrap/>
            <w:vAlign w:val="center"/>
          </w:tcPr>
          <w:p>
            <w:pPr>
              <w:widowControl/>
              <w:autoSpaceDE/>
              <w:autoSpaceDN/>
              <w:snapToGrid/>
              <w:spacing w:line="400" w:lineRule="exact"/>
              <w:ind w:firstLine="0"/>
              <w:jc w:val="center"/>
              <w:rPr>
                <w:rFonts w:ascii="方正仿宋_GBK" w:hAnsi="方正仿宋_GBK" w:cs="方正仿宋_GBK"/>
                <w:b/>
                <w:bCs/>
                <w:snapToGrid/>
                <w:color w:val="000000"/>
                <w:sz w:val="24"/>
                <w:szCs w:val="24"/>
              </w:rPr>
            </w:pPr>
            <w:r>
              <w:rPr>
                <w:rFonts w:ascii="方正仿宋_GBK" w:hAnsi="方正仿宋_GBK" w:cs="方正仿宋_GBK"/>
                <w:b/>
                <w:bCs/>
                <w:snapToGrid/>
                <w:color w:val="000000"/>
                <w:sz w:val="24"/>
                <w:szCs w:val="24"/>
              </w:rPr>
              <w:t>规划情况</w:t>
            </w:r>
          </w:p>
        </w:tc>
        <w:tc>
          <w:tcPr>
            <w:tcW w:w="1990" w:type="dxa"/>
            <w:tcBorders>
              <w:top w:val="single" w:color="auto" w:sz="4" w:space="0"/>
              <w:left w:val="nil"/>
              <w:bottom w:val="single" w:color="auto" w:sz="4" w:space="0"/>
              <w:right w:val="single" w:color="auto" w:sz="4" w:space="0"/>
            </w:tcBorders>
            <w:shd w:val="clear" w:color="000000" w:fill="FFF2CC"/>
            <w:noWrap/>
            <w:vAlign w:val="center"/>
          </w:tcPr>
          <w:p>
            <w:pPr>
              <w:widowControl/>
              <w:autoSpaceDE/>
              <w:autoSpaceDN/>
              <w:snapToGrid/>
              <w:spacing w:line="400" w:lineRule="exact"/>
              <w:ind w:firstLine="0"/>
              <w:jc w:val="center"/>
              <w:rPr>
                <w:rFonts w:ascii="方正仿宋_GBK" w:hAnsi="方正仿宋_GBK" w:cs="方正仿宋_GBK"/>
                <w:b/>
                <w:bCs/>
                <w:snapToGrid/>
                <w:color w:val="000000"/>
                <w:sz w:val="24"/>
                <w:szCs w:val="24"/>
              </w:rPr>
            </w:pPr>
            <w:r>
              <w:rPr>
                <w:rFonts w:ascii="方正仿宋_GBK" w:hAnsi="方正仿宋_GBK" w:cs="方正仿宋_GBK"/>
                <w:b/>
                <w:bCs/>
                <w:snapToGrid/>
                <w:color w:val="000000"/>
                <w:sz w:val="24"/>
                <w:szCs w:val="24"/>
              </w:rPr>
              <w:t>风险管控情况</w:t>
            </w:r>
          </w:p>
        </w:tc>
      </w:tr>
      <w:tr>
        <w:tblPrEx>
          <w:tblCellMar>
            <w:top w:w="0" w:type="dxa"/>
            <w:left w:w="108" w:type="dxa"/>
            <w:bottom w:w="0" w:type="dxa"/>
            <w:right w:w="108" w:type="dxa"/>
          </w:tblCellMar>
        </w:tblPrEx>
        <w:trPr>
          <w:trHeight w:val="285" w:hRule="atLeast"/>
          <w:jc w:val="center"/>
        </w:trPr>
        <w:tc>
          <w:tcPr>
            <w:tcW w:w="1696"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autoSpaceDE/>
              <w:autoSpaceDN/>
              <w:snapToGrid/>
              <w:spacing w:line="400" w:lineRule="exact"/>
              <w:ind w:firstLine="0"/>
              <w:jc w:val="center"/>
              <w:rPr>
                <w:rFonts w:ascii="方正仿宋_GBK" w:hAnsi="方正仿宋_GBK" w:cs="方正仿宋_GBK"/>
                <w:snapToGrid/>
                <w:sz w:val="22"/>
                <w:szCs w:val="24"/>
              </w:rPr>
            </w:pPr>
          </w:p>
        </w:tc>
        <w:tc>
          <w:tcPr>
            <w:tcW w:w="1134"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autoSpaceDE/>
              <w:autoSpaceDN/>
              <w:snapToGrid/>
              <w:spacing w:line="400" w:lineRule="exact"/>
              <w:ind w:firstLine="0"/>
              <w:jc w:val="center"/>
              <w:rPr>
                <w:rFonts w:ascii="方正仿宋_GBK" w:hAnsi="方正仿宋_GBK" w:cs="方正仿宋_GBK"/>
                <w:snapToGrid/>
                <w:sz w:val="22"/>
                <w:szCs w:val="24"/>
              </w:rPr>
            </w:pPr>
          </w:p>
        </w:tc>
        <w:tc>
          <w:tcPr>
            <w:tcW w:w="99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autoSpaceDE/>
              <w:autoSpaceDN/>
              <w:snapToGrid/>
              <w:spacing w:line="400" w:lineRule="exact"/>
              <w:ind w:firstLine="0"/>
              <w:jc w:val="center"/>
              <w:rPr>
                <w:rFonts w:ascii="方正仿宋_GBK" w:hAnsi="方正仿宋_GBK" w:cs="方正仿宋_GBK"/>
                <w:snapToGrid/>
                <w:sz w:val="22"/>
                <w:szCs w:val="24"/>
              </w:rPr>
            </w:pP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□完全拆除</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□完成调查（超标）</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□无利用</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□“一住两公”</w:t>
            </w:r>
          </w:p>
        </w:tc>
        <w:tc>
          <w:tcPr>
            <w:tcW w:w="1990"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□制度</w:t>
            </w:r>
            <w:r>
              <w:rPr>
                <w:rFonts w:hint="eastAsia" w:ascii="方正仿宋_GBK" w:hAnsi="方正仿宋_GBK" w:cs="方正仿宋_GBK"/>
                <w:snapToGrid/>
                <w:sz w:val="22"/>
                <w:szCs w:val="24"/>
              </w:rPr>
              <w:t>性</w:t>
            </w:r>
            <w:r>
              <w:rPr>
                <w:rFonts w:ascii="方正仿宋_GBK" w:hAnsi="方正仿宋_GBK" w:cs="方正仿宋_GBK"/>
                <w:snapToGrid/>
                <w:sz w:val="22"/>
                <w:szCs w:val="24"/>
              </w:rPr>
              <w:t>管控</w:t>
            </w:r>
          </w:p>
        </w:tc>
      </w:tr>
      <w:tr>
        <w:tblPrEx>
          <w:tblCellMar>
            <w:top w:w="0" w:type="dxa"/>
            <w:left w:w="108" w:type="dxa"/>
            <w:bottom w:w="0" w:type="dxa"/>
            <w:right w:w="108" w:type="dxa"/>
          </w:tblCellMar>
        </w:tblPrEx>
        <w:trPr>
          <w:trHeight w:val="285" w:hRule="atLeast"/>
          <w:jc w:val="center"/>
        </w:trPr>
        <w:tc>
          <w:tcPr>
            <w:tcW w:w="1696" w:type="dxa"/>
            <w:vMerge w:val="continue"/>
            <w:tcBorders>
              <w:top w:val="nil"/>
              <w:left w:val="single" w:color="auto" w:sz="4" w:space="0"/>
              <w:bottom w:val="single" w:color="000000" w:sz="4" w:space="0"/>
              <w:right w:val="single" w:color="auto" w:sz="4" w:space="0"/>
            </w:tcBorders>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1134" w:type="dxa"/>
            <w:vMerge w:val="continue"/>
            <w:tcBorders>
              <w:top w:val="nil"/>
              <w:left w:val="single" w:color="auto" w:sz="4" w:space="0"/>
              <w:bottom w:val="single" w:color="000000" w:sz="4" w:space="0"/>
              <w:right w:val="single" w:color="auto" w:sz="4" w:space="0"/>
            </w:tcBorders>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993" w:type="dxa"/>
            <w:vMerge w:val="continue"/>
            <w:tcBorders>
              <w:top w:val="nil"/>
              <w:left w:val="single" w:color="auto" w:sz="4" w:space="0"/>
              <w:bottom w:val="single" w:color="000000" w:sz="4" w:space="0"/>
              <w:right w:val="single" w:color="auto" w:sz="4" w:space="0"/>
            </w:tcBorders>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□部分拆除</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□完成调查（未超标）</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□工业利用</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□工业</w:t>
            </w:r>
          </w:p>
        </w:tc>
        <w:tc>
          <w:tcPr>
            <w:tcW w:w="1990"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□工程</w:t>
            </w:r>
            <w:r>
              <w:rPr>
                <w:rFonts w:hint="eastAsia" w:ascii="方正仿宋_GBK" w:hAnsi="方正仿宋_GBK" w:cs="方正仿宋_GBK"/>
                <w:snapToGrid/>
                <w:sz w:val="22"/>
                <w:szCs w:val="24"/>
              </w:rPr>
              <w:t>性</w:t>
            </w:r>
            <w:r>
              <w:rPr>
                <w:rFonts w:ascii="方正仿宋_GBK" w:hAnsi="方正仿宋_GBK" w:cs="方正仿宋_GBK"/>
                <w:snapToGrid/>
                <w:sz w:val="22"/>
                <w:szCs w:val="24"/>
              </w:rPr>
              <w:t>管控</w:t>
            </w:r>
          </w:p>
        </w:tc>
      </w:tr>
      <w:tr>
        <w:tblPrEx>
          <w:tblCellMar>
            <w:top w:w="0" w:type="dxa"/>
            <w:left w:w="108" w:type="dxa"/>
            <w:bottom w:w="0" w:type="dxa"/>
            <w:right w:w="108" w:type="dxa"/>
          </w:tblCellMar>
        </w:tblPrEx>
        <w:trPr>
          <w:trHeight w:val="285" w:hRule="atLeast"/>
          <w:jc w:val="center"/>
        </w:trPr>
        <w:tc>
          <w:tcPr>
            <w:tcW w:w="1696" w:type="dxa"/>
            <w:vMerge w:val="continue"/>
            <w:tcBorders>
              <w:top w:val="nil"/>
              <w:left w:val="single" w:color="auto" w:sz="4" w:space="0"/>
              <w:bottom w:val="single" w:color="000000" w:sz="4" w:space="0"/>
              <w:right w:val="single" w:color="auto" w:sz="4" w:space="0"/>
            </w:tcBorders>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1134" w:type="dxa"/>
            <w:vMerge w:val="continue"/>
            <w:tcBorders>
              <w:top w:val="nil"/>
              <w:left w:val="single" w:color="auto" w:sz="4" w:space="0"/>
              <w:bottom w:val="single" w:color="000000" w:sz="4" w:space="0"/>
              <w:right w:val="single" w:color="auto" w:sz="4" w:space="0"/>
            </w:tcBorders>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993" w:type="dxa"/>
            <w:vMerge w:val="continue"/>
            <w:tcBorders>
              <w:top w:val="nil"/>
              <w:left w:val="single" w:color="auto" w:sz="4" w:space="0"/>
              <w:bottom w:val="single" w:color="000000" w:sz="4" w:space="0"/>
              <w:right w:val="single" w:color="auto" w:sz="4" w:space="0"/>
            </w:tcBorders>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□未拆除</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□正在调查</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□其他（需具体说明）</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□未定</w:t>
            </w:r>
          </w:p>
        </w:tc>
        <w:tc>
          <w:tcPr>
            <w:tcW w:w="1990"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□未实施管控</w:t>
            </w:r>
          </w:p>
        </w:tc>
      </w:tr>
      <w:tr>
        <w:tblPrEx>
          <w:tblCellMar>
            <w:top w:w="0" w:type="dxa"/>
            <w:left w:w="108" w:type="dxa"/>
            <w:bottom w:w="0" w:type="dxa"/>
            <w:right w:w="108" w:type="dxa"/>
          </w:tblCellMar>
        </w:tblPrEx>
        <w:trPr>
          <w:trHeight w:val="285" w:hRule="atLeast"/>
          <w:jc w:val="center"/>
        </w:trPr>
        <w:tc>
          <w:tcPr>
            <w:tcW w:w="1696" w:type="dxa"/>
            <w:vMerge w:val="continue"/>
            <w:tcBorders>
              <w:top w:val="nil"/>
              <w:left w:val="single" w:color="auto" w:sz="4" w:space="0"/>
              <w:bottom w:val="single" w:color="000000" w:sz="4" w:space="0"/>
              <w:right w:val="single" w:color="auto" w:sz="4" w:space="0"/>
            </w:tcBorders>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1134" w:type="dxa"/>
            <w:vMerge w:val="continue"/>
            <w:tcBorders>
              <w:top w:val="nil"/>
              <w:left w:val="single" w:color="auto" w:sz="4" w:space="0"/>
              <w:bottom w:val="single" w:color="000000" w:sz="4" w:space="0"/>
              <w:right w:val="single" w:color="auto" w:sz="4" w:space="0"/>
            </w:tcBorders>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993" w:type="dxa"/>
            <w:vMerge w:val="continue"/>
            <w:tcBorders>
              <w:top w:val="nil"/>
              <w:left w:val="single" w:color="auto" w:sz="4" w:space="0"/>
              <w:bottom w:val="single" w:color="000000" w:sz="4" w:space="0"/>
              <w:right w:val="single" w:color="auto" w:sz="4" w:space="0"/>
            </w:tcBorders>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□其他（需具体说明）</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□未开展调查</w:t>
            </w: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p>
        </w:tc>
        <w:tc>
          <w:tcPr>
            <w:tcW w:w="2268"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□其他（需具体说明）</w:t>
            </w:r>
          </w:p>
        </w:tc>
        <w:tc>
          <w:tcPr>
            <w:tcW w:w="1990" w:type="dxa"/>
            <w:tcBorders>
              <w:top w:val="nil"/>
              <w:left w:val="nil"/>
              <w:bottom w:val="single" w:color="auto" w:sz="4" w:space="0"/>
              <w:right w:val="single" w:color="auto" w:sz="4" w:space="0"/>
            </w:tcBorders>
            <w:shd w:val="clear" w:color="auto" w:fill="auto"/>
            <w:noWrap/>
            <w:vAlign w:val="center"/>
          </w:tcPr>
          <w:p>
            <w:pPr>
              <w:widowControl/>
              <w:autoSpaceDE/>
              <w:autoSpaceDN/>
              <w:snapToGrid/>
              <w:spacing w:line="400" w:lineRule="exact"/>
              <w:ind w:firstLine="0"/>
              <w:jc w:val="left"/>
              <w:rPr>
                <w:rFonts w:ascii="方正仿宋_GBK" w:hAnsi="方正仿宋_GBK" w:cs="方正仿宋_GBK"/>
                <w:snapToGrid/>
                <w:sz w:val="22"/>
                <w:szCs w:val="24"/>
              </w:rPr>
            </w:pPr>
            <w:r>
              <w:rPr>
                <w:rFonts w:ascii="方正仿宋_GBK" w:hAnsi="方正仿宋_GBK" w:cs="方正仿宋_GBK"/>
                <w:snapToGrid/>
                <w:sz w:val="22"/>
                <w:szCs w:val="24"/>
              </w:rPr>
              <w:t>□无需管控</w:t>
            </w:r>
          </w:p>
        </w:tc>
      </w:tr>
    </w:tbl>
    <w:p>
      <w:pPr>
        <w:widowControl/>
        <w:autoSpaceDE/>
        <w:autoSpaceDN/>
        <w:snapToGrid/>
        <w:spacing w:line="590" w:lineRule="exact"/>
        <w:ind w:firstLine="0"/>
        <w:jc w:val="left"/>
        <w:rPr>
          <w:rFonts w:ascii="方正小标宋_GBK" w:eastAsia="方正小标宋_GBK"/>
          <w:snapToGrid/>
          <w:szCs w:val="32"/>
        </w:rPr>
        <w:sectPr>
          <w:pgSz w:w="16838" w:h="11906" w:orient="landscape"/>
          <w:pgMar w:top="1531" w:right="1531" w:bottom="1531" w:left="1531" w:header="851" w:footer="992" w:gutter="0"/>
          <w:cols w:space="425" w:num="1"/>
          <w:docGrid w:linePitch="326" w:charSpace="0"/>
        </w:sectPr>
      </w:pPr>
    </w:p>
    <w:p>
      <w:pPr>
        <w:widowControl/>
        <w:ind w:firstLine="4096" w:firstLineChars="1700"/>
        <w:rPr>
          <w:rFonts w:hint="eastAsia" w:ascii="等线" w:hAnsi="等线"/>
          <w:b/>
          <w:bCs/>
          <w:sz w:val="24"/>
          <w:szCs w:val="22"/>
          <w:lang w:bidi="ar"/>
        </w:rPr>
      </w:pPr>
    </w:p>
    <w:p>
      <w:pPr>
        <w:widowControl/>
        <w:ind w:firstLine="4096" w:firstLineChars="1700"/>
        <w:rPr>
          <w:rFonts w:hint="eastAsia" w:ascii="等线" w:hAnsi="等线"/>
          <w:b/>
          <w:bCs/>
          <w:sz w:val="24"/>
          <w:szCs w:val="22"/>
          <w:lang w:bidi="ar"/>
        </w:rPr>
      </w:pPr>
    </w:p>
    <w:p>
      <w:pPr>
        <w:widowControl/>
        <w:ind w:firstLine="4096" w:firstLineChars="1700"/>
        <w:rPr>
          <w:rFonts w:hint="eastAsia" w:ascii="等线" w:hAnsi="等线"/>
          <w:b/>
          <w:bCs/>
          <w:sz w:val="24"/>
          <w:szCs w:val="22"/>
          <w:lang w:bidi="ar"/>
        </w:rPr>
      </w:pPr>
    </w:p>
    <w:p>
      <w:pPr>
        <w:widowControl/>
        <w:ind w:firstLine="4096" w:firstLineChars="1700"/>
        <w:rPr>
          <w:rFonts w:hint="eastAsia" w:ascii="等线" w:hAnsi="等线"/>
          <w:b/>
          <w:bCs/>
          <w:sz w:val="24"/>
          <w:szCs w:val="22"/>
          <w:lang w:bidi="ar"/>
        </w:rPr>
      </w:pPr>
    </w:p>
    <w:p>
      <w:pPr>
        <w:widowControl/>
        <w:ind w:firstLine="4096" w:firstLineChars="1700"/>
        <w:rPr>
          <w:b/>
          <w:bCs/>
          <w:sz w:val="24"/>
          <w:szCs w:val="22"/>
        </w:rPr>
      </w:pPr>
      <w:r>
        <w:rPr>
          <w:rFonts w:hint="eastAsia" w:ascii="等线" w:hAnsi="等线"/>
          <w:b/>
          <w:bCs/>
          <w:sz w:val="24"/>
          <w:szCs w:val="22"/>
          <w:lang w:bidi="ar"/>
        </w:rPr>
        <w:t>投标文件格式</w:t>
      </w:r>
    </w:p>
    <w:p>
      <w:pPr>
        <w:spacing w:line="400" w:lineRule="exact"/>
        <w:ind w:firstLine="482" w:firstLineChars="200"/>
        <w:rPr>
          <w:b/>
          <w:bCs/>
          <w:sz w:val="24"/>
          <w:szCs w:val="22"/>
        </w:rPr>
      </w:pPr>
      <w:r>
        <w:rPr>
          <w:rFonts w:hint="eastAsia" w:ascii="等线" w:hAnsi="等线"/>
          <w:b/>
          <w:bCs/>
          <w:sz w:val="24"/>
          <w:szCs w:val="22"/>
          <w:lang w:bidi="ar"/>
        </w:rPr>
        <w:t>投标文件需提供正副本各一份，并清楚地标明“正本”或“副本”字样。被委托人开标时需携带本人身份证至开标现场备查。投标文件密封要求：资格证明文件和报价文件分别用档案袋单独密封，封口处加盖公司公章。其中，资格证明文件及报价文件贰套（一正一副，右上角注明），正本与副本不一致时，以正本为准。未按要求提供视为废标。</w:t>
      </w:r>
    </w:p>
    <w:p>
      <w:pPr>
        <w:pStyle w:val="35"/>
        <w:spacing w:line="360" w:lineRule="auto"/>
        <w:jc w:val="center"/>
        <w:rPr>
          <w:rFonts w:ascii="仿宋_GB2312" w:hAnsi="仿宋_GB2312" w:eastAsia="仿宋_GB2312" w:cs="仿宋_GB2312"/>
          <w:b/>
          <w:sz w:val="44"/>
          <w:szCs w:val="44"/>
        </w:rPr>
      </w:pPr>
    </w:p>
    <w:p>
      <w:pPr>
        <w:pStyle w:val="35"/>
        <w:spacing w:line="360" w:lineRule="auto"/>
        <w:jc w:val="center"/>
        <w:rPr>
          <w:rFonts w:hint="default" w:ascii="仿宋_GB2312" w:hAnsi="仿宋_GB2312" w:eastAsia="仿宋_GB2312" w:cs="仿宋_GB2312"/>
          <w:color w:val="000000"/>
          <w:sz w:val="44"/>
          <w:szCs w:val="44"/>
          <w:lang w:val="en-US" w:eastAsia="zh-CN"/>
        </w:rPr>
      </w:pPr>
      <w:r>
        <w:rPr>
          <w:rFonts w:ascii="仿宋_GB2312" w:hAnsi="仿宋_GB2312" w:eastAsia="仿宋_GB2312" w:cs="仿宋_GB2312"/>
          <w:b/>
          <w:sz w:val="44"/>
          <w:szCs w:val="44"/>
        </w:rPr>
        <w:t>资格证明文件</w:t>
      </w:r>
      <w:bookmarkStart w:id="67" w:name="_Toc454892115"/>
      <w:bookmarkStart w:id="68" w:name="_Toc454892163"/>
      <w:r>
        <w:rPr>
          <w:rFonts w:hint="eastAsia" w:ascii="仿宋_GB2312" w:hAnsi="仿宋_GB2312" w:eastAsia="仿宋_GB2312" w:cs="仿宋_GB2312"/>
          <w:b/>
          <w:sz w:val="44"/>
          <w:szCs w:val="44"/>
          <w:lang w:eastAsia="zh-CN"/>
        </w:rPr>
        <w:t>（</w:t>
      </w:r>
      <w:r>
        <w:rPr>
          <w:rFonts w:hint="eastAsia" w:ascii="仿宋_GB2312" w:hAnsi="仿宋_GB2312" w:eastAsia="仿宋_GB2312" w:cs="仿宋_GB2312"/>
          <w:b/>
          <w:sz w:val="44"/>
          <w:szCs w:val="44"/>
          <w:lang w:val="en-US" w:eastAsia="zh-CN"/>
        </w:rPr>
        <w:t>格式自拟）</w:t>
      </w:r>
    </w:p>
    <w:p>
      <w:pPr>
        <w:pStyle w:val="35"/>
        <w:spacing w:line="360" w:lineRule="auto"/>
        <w:ind w:firstLine="562" w:firstLineChars="200"/>
        <w:rPr>
          <w:rFonts w:hint="eastAsia" w:ascii="仿宋_GB2312" w:hAnsi="仿宋_GB2312" w:eastAsia="仿宋_GB2312" w:cs="仿宋_GB2312"/>
          <w:b/>
          <w:szCs w:val="28"/>
          <w:lang w:eastAsia="zh-CN"/>
        </w:rPr>
      </w:pPr>
      <w:r>
        <w:rPr>
          <w:rFonts w:ascii="仿宋_GB2312" w:hAnsi="仿宋_GB2312" w:eastAsia="仿宋_GB2312" w:cs="仿宋_GB2312"/>
          <w:b/>
          <w:szCs w:val="28"/>
        </w:rPr>
        <w:t>1、</w:t>
      </w:r>
      <w:bookmarkEnd w:id="67"/>
      <w:bookmarkEnd w:id="68"/>
      <w:r>
        <w:rPr>
          <w:rFonts w:ascii="仿宋_GB2312" w:hAnsi="仿宋_GB2312" w:eastAsia="仿宋_GB2312" w:cs="仿宋_GB2312"/>
          <w:b/>
          <w:szCs w:val="28"/>
        </w:rPr>
        <w:t>资格证明材料：</w:t>
      </w:r>
      <w:r>
        <w:rPr>
          <w:rFonts w:hint="eastAsia" w:ascii="仿宋_GB2312" w:hAnsi="仿宋_GB2312" w:eastAsia="仿宋_GB2312" w:cs="仿宋_GB2312"/>
          <w:b/>
          <w:szCs w:val="28"/>
          <w:lang w:eastAsia="zh-CN"/>
        </w:rPr>
        <w:t>根据资格要求准备对应的资格证明材料。</w:t>
      </w:r>
    </w:p>
    <w:p>
      <w:pPr>
        <w:pStyle w:val="35"/>
        <w:spacing w:line="360" w:lineRule="auto"/>
        <w:ind w:firstLine="562" w:firstLineChars="200"/>
        <w:rPr>
          <w:rFonts w:ascii="仿宋_GB2312" w:hAnsi="仿宋_GB2312" w:eastAsia="仿宋_GB2312" w:cs="仿宋_GB2312"/>
          <w:b/>
          <w:szCs w:val="28"/>
        </w:rPr>
      </w:pPr>
      <w:r>
        <w:rPr>
          <w:rFonts w:hint="eastAsia" w:ascii="仿宋_GB2312" w:hAnsi="仿宋_GB2312" w:eastAsia="仿宋_GB2312" w:cs="仿宋_GB2312"/>
          <w:b/>
          <w:szCs w:val="28"/>
        </w:rPr>
        <w:t>2、所有的资格证明材料复印件均须加盖公章。</w:t>
      </w:r>
    </w:p>
    <w:p>
      <w:pPr>
        <w:jc w:val="center"/>
        <w:rPr>
          <w:rFonts w:hint="eastAsia" w:ascii="仿宋_GB2312" w:hAnsi="仿宋_GB2312" w:cs="仿宋_GB2312"/>
          <w:b/>
          <w:sz w:val="44"/>
          <w:szCs w:val="44"/>
        </w:rPr>
      </w:pPr>
    </w:p>
    <w:p>
      <w:pPr>
        <w:pStyle w:val="2"/>
        <w:rPr>
          <w:rFonts w:hint="eastAsia" w:ascii="仿宋_GB2312" w:hAnsi="仿宋_GB2312" w:cs="仿宋_GB2312"/>
          <w:b/>
          <w:sz w:val="44"/>
          <w:szCs w:val="44"/>
        </w:rPr>
      </w:pPr>
    </w:p>
    <w:p>
      <w:pPr>
        <w:pStyle w:val="3"/>
        <w:rPr>
          <w:rFonts w:hint="eastAsia" w:ascii="仿宋_GB2312" w:hAnsi="仿宋_GB2312" w:cs="仿宋_GB2312"/>
          <w:b/>
          <w:sz w:val="44"/>
          <w:szCs w:val="44"/>
        </w:rPr>
      </w:pPr>
    </w:p>
    <w:p>
      <w:pPr>
        <w:rPr>
          <w:rFonts w:hint="eastAsia" w:ascii="仿宋_GB2312" w:hAnsi="仿宋_GB2312" w:cs="仿宋_GB2312"/>
          <w:b/>
          <w:sz w:val="44"/>
          <w:szCs w:val="44"/>
        </w:rPr>
      </w:pPr>
    </w:p>
    <w:p>
      <w:pPr>
        <w:pStyle w:val="2"/>
        <w:rPr>
          <w:rFonts w:hint="eastAsia" w:ascii="仿宋_GB2312" w:hAnsi="仿宋_GB2312" w:cs="仿宋_GB2312"/>
          <w:b/>
          <w:sz w:val="44"/>
          <w:szCs w:val="44"/>
        </w:rPr>
      </w:pPr>
    </w:p>
    <w:p>
      <w:pPr>
        <w:pStyle w:val="3"/>
        <w:rPr>
          <w:rFonts w:hint="eastAsia" w:ascii="仿宋_GB2312" w:hAnsi="仿宋_GB2312" w:cs="仿宋_GB2312"/>
          <w:b/>
          <w:sz w:val="44"/>
          <w:szCs w:val="44"/>
        </w:rPr>
      </w:pPr>
    </w:p>
    <w:p>
      <w:pPr>
        <w:rPr>
          <w:rFonts w:hint="eastAsia" w:ascii="仿宋_GB2312" w:hAnsi="仿宋_GB2312" w:cs="仿宋_GB2312"/>
          <w:b/>
          <w:sz w:val="44"/>
          <w:szCs w:val="44"/>
        </w:rPr>
      </w:pPr>
    </w:p>
    <w:p>
      <w:pPr>
        <w:pStyle w:val="3"/>
        <w:rPr>
          <w:rFonts w:hint="eastAsia"/>
        </w:rPr>
      </w:pPr>
    </w:p>
    <w:p>
      <w:pPr>
        <w:jc w:val="center"/>
        <w:rPr>
          <w:rFonts w:ascii="仿宋_GB2312" w:hAnsi="仿宋_GB2312" w:cs="仿宋_GB2312"/>
          <w:b/>
          <w:sz w:val="44"/>
          <w:szCs w:val="44"/>
        </w:rPr>
      </w:pPr>
      <w:r>
        <w:rPr>
          <w:rFonts w:hint="eastAsia" w:ascii="仿宋_GB2312" w:hAnsi="仿宋_GB2312" w:cs="仿宋_GB2312"/>
          <w:b/>
          <w:sz w:val="44"/>
          <w:szCs w:val="44"/>
        </w:rPr>
        <w:t>报价表</w:t>
      </w:r>
    </w:p>
    <w:p>
      <w:pPr>
        <w:spacing w:line="240" w:lineRule="atLeast"/>
        <w:ind w:firstLine="480" w:firstLineChars="200"/>
        <w:rPr>
          <w:rFonts w:hint="eastAsia" w:ascii="宋体" w:hAnsi="宋体"/>
          <w:sz w:val="24"/>
        </w:rPr>
      </w:pPr>
    </w:p>
    <w:p>
      <w:pPr>
        <w:spacing w:line="240" w:lineRule="atLeast"/>
        <w:ind w:firstLine="480" w:firstLineChars="200"/>
        <w:rPr>
          <w:rFonts w:ascii="仿宋" w:hAnsi="仿宋" w:eastAsia="仿宋" w:cs="仿宋"/>
          <w:sz w:val="28"/>
          <w:szCs w:val="28"/>
        </w:rPr>
      </w:pPr>
      <w:r>
        <w:rPr>
          <w:rFonts w:hint="eastAsia" w:ascii="宋体" w:hAnsi="宋体"/>
          <w:sz w:val="24"/>
        </w:rPr>
        <w:t>(</w:t>
      </w:r>
      <w:r>
        <w:rPr>
          <w:rFonts w:hint="eastAsia" w:ascii="仿宋" w:hAnsi="仿宋" w:eastAsia="仿宋" w:cs="仿宋"/>
          <w:sz w:val="28"/>
          <w:szCs w:val="28"/>
        </w:rPr>
        <w:t>一)根据已收到的</w:t>
      </w:r>
      <w:r>
        <w:rPr>
          <w:rFonts w:hint="eastAsia" w:ascii="仿宋" w:hAnsi="仿宋" w:eastAsia="仿宋" w:cs="仿宋"/>
          <w:sz w:val="28"/>
          <w:szCs w:val="28"/>
          <w:lang w:val="en-US" w:eastAsia="zh-CN"/>
        </w:rPr>
        <w:t>采购</w:t>
      </w:r>
      <w:r>
        <w:rPr>
          <w:rFonts w:hint="eastAsia" w:ascii="仿宋" w:hAnsi="仿宋" w:eastAsia="仿宋" w:cs="仿宋"/>
          <w:sz w:val="28"/>
          <w:szCs w:val="28"/>
        </w:rPr>
        <w:t>文件，我单位将根据</w:t>
      </w:r>
      <w:r>
        <w:rPr>
          <w:rFonts w:hint="eastAsia" w:ascii="仿宋" w:hAnsi="仿宋" w:eastAsia="仿宋" w:cs="仿宋"/>
          <w:sz w:val="28"/>
          <w:szCs w:val="28"/>
          <w:lang w:val="en-US" w:eastAsia="zh-CN"/>
        </w:rPr>
        <w:t>采购</w:t>
      </w:r>
      <w:r>
        <w:rPr>
          <w:rFonts w:hint="eastAsia" w:ascii="仿宋" w:hAnsi="仿宋" w:eastAsia="仿宋" w:cs="仿宋"/>
          <w:sz w:val="28"/>
          <w:szCs w:val="28"/>
        </w:rPr>
        <w:t>文件的规定，经考察研究后，愿以</w:t>
      </w:r>
      <w:r>
        <w:rPr>
          <w:rFonts w:hint="eastAsia" w:ascii="仿宋" w:hAnsi="仿宋" w:eastAsia="仿宋" w:cs="仿宋"/>
          <w:sz w:val="28"/>
          <w:szCs w:val="28"/>
          <w:u w:val="single"/>
        </w:rPr>
        <w:t xml:space="preserve">  （小写）；      （大写）</w:t>
      </w:r>
      <w:r>
        <w:rPr>
          <w:rFonts w:hint="eastAsia" w:ascii="仿宋" w:hAnsi="仿宋" w:eastAsia="仿宋" w:cs="仿宋"/>
          <w:sz w:val="28"/>
          <w:szCs w:val="28"/>
        </w:rPr>
        <w:t>的报价，按文件要求承包本次招标范围内的全部</w:t>
      </w:r>
      <w:r>
        <w:rPr>
          <w:rFonts w:hint="eastAsia" w:ascii="仿宋" w:hAnsi="仿宋" w:eastAsia="仿宋" w:cs="仿宋"/>
          <w:sz w:val="28"/>
          <w:szCs w:val="28"/>
          <w:lang w:val="en-US" w:eastAsia="zh-CN"/>
        </w:rPr>
        <w:t>项目</w:t>
      </w:r>
      <w:r>
        <w:rPr>
          <w:rFonts w:hint="eastAsia" w:ascii="仿宋" w:hAnsi="仿宋" w:eastAsia="仿宋" w:cs="仿宋"/>
          <w:sz w:val="28"/>
          <w:szCs w:val="28"/>
        </w:rPr>
        <w:t>。</w:t>
      </w:r>
    </w:p>
    <w:p>
      <w:pPr>
        <w:spacing w:line="240" w:lineRule="atLeast"/>
        <w:ind w:firstLine="560" w:firstLineChars="200"/>
        <w:rPr>
          <w:rFonts w:ascii="仿宋" w:hAnsi="仿宋" w:eastAsia="仿宋" w:cs="仿宋"/>
          <w:sz w:val="28"/>
          <w:szCs w:val="28"/>
        </w:rPr>
      </w:pPr>
      <w:r>
        <w:rPr>
          <w:rFonts w:hint="eastAsia" w:ascii="仿宋" w:hAnsi="仿宋" w:eastAsia="仿宋" w:cs="仿宋"/>
          <w:sz w:val="28"/>
          <w:szCs w:val="28"/>
        </w:rPr>
        <w:t>(二)贵单位的</w:t>
      </w:r>
      <w:r>
        <w:rPr>
          <w:rFonts w:hint="eastAsia" w:ascii="仿宋" w:hAnsi="仿宋" w:eastAsia="仿宋" w:cs="仿宋"/>
          <w:sz w:val="28"/>
          <w:szCs w:val="28"/>
          <w:lang w:val="en-US" w:eastAsia="zh-CN"/>
        </w:rPr>
        <w:t>采购</w:t>
      </w:r>
      <w:r>
        <w:rPr>
          <w:rFonts w:hint="eastAsia" w:ascii="仿宋" w:hAnsi="仿宋" w:eastAsia="仿宋" w:cs="仿宋"/>
          <w:sz w:val="28"/>
          <w:szCs w:val="28"/>
        </w:rPr>
        <w:t>文件、中标通知书和本投标文件将构成约束我们双方的合同。</w:t>
      </w:r>
    </w:p>
    <w:p>
      <w:pPr>
        <w:spacing w:line="240" w:lineRule="atLeast"/>
        <w:ind w:firstLine="560" w:firstLineChars="200"/>
        <w:rPr>
          <w:rFonts w:hint="eastAsia" w:ascii="仿宋" w:hAnsi="仿宋" w:eastAsia="仿宋" w:cs="仿宋"/>
          <w:sz w:val="28"/>
          <w:szCs w:val="28"/>
        </w:rPr>
      </w:pPr>
    </w:p>
    <w:p>
      <w:pPr>
        <w:spacing w:line="240" w:lineRule="atLeast"/>
        <w:ind w:firstLine="560" w:firstLineChars="200"/>
        <w:rPr>
          <w:rFonts w:ascii="仿宋" w:hAnsi="仿宋" w:eastAsia="仿宋" w:cs="仿宋"/>
          <w:sz w:val="28"/>
          <w:szCs w:val="28"/>
        </w:rPr>
      </w:pPr>
      <w:r>
        <w:rPr>
          <w:rFonts w:hint="eastAsia" w:ascii="仿宋" w:hAnsi="仿宋" w:eastAsia="仿宋" w:cs="仿宋"/>
          <w:sz w:val="28"/>
          <w:szCs w:val="28"/>
          <w:lang w:eastAsia="zh-CN"/>
        </w:rPr>
        <w:t>供应商名称</w:t>
      </w:r>
      <w:r>
        <w:rPr>
          <w:rFonts w:hint="eastAsia" w:ascii="仿宋" w:hAnsi="仿宋" w:eastAsia="仿宋" w:cs="仿宋"/>
          <w:sz w:val="28"/>
          <w:szCs w:val="28"/>
        </w:rPr>
        <w:t>(</w:t>
      </w:r>
      <w:r>
        <w:rPr>
          <w:rFonts w:hint="eastAsia" w:ascii="仿宋" w:hAnsi="仿宋" w:eastAsia="仿宋" w:cs="仿宋"/>
          <w:sz w:val="28"/>
          <w:szCs w:val="28"/>
          <w:lang w:eastAsia="zh-CN"/>
        </w:rPr>
        <w:t>加盖公</w:t>
      </w:r>
      <w:r>
        <w:rPr>
          <w:rFonts w:hint="eastAsia" w:ascii="仿宋" w:hAnsi="仿宋" w:eastAsia="仿宋" w:cs="仿宋"/>
          <w:sz w:val="28"/>
          <w:szCs w:val="28"/>
        </w:rPr>
        <w:t xml:space="preserve">章)：            </w:t>
      </w:r>
    </w:p>
    <w:p>
      <w:pPr>
        <w:spacing w:line="240" w:lineRule="atLeast"/>
        <w:ind w:firstLine="560" w:firstLineChars="200"/>
        <w:rPr>
          <w:rFonts w:ascii="仿宋" w:hAnsi="仿宋" w:eastAsia="仿宋" w:cs="仿宋"/>
          <w:sz w:val="28"/>
          <w:szCs w:val="28"/>
        </w:rPr>
      </w:pPr>
      <w:r>
        <w:rPr>
          <w:rFonts w:hint="eastAsia" w:ascii="仿宋" w:hAnsi="仿宋" w:eastAsia="仿宋" w:cs="仿宋"/>
          <w:sz w:val="28"/>
          <w:szCs w:val="28"/>
        </w:rPr>
        <w:t xml:space="preserve">法定代表人或委托代理人(签字或盖章)：            </w:t>
      </w:r>
    </w:p>
    <w:p>
      <w:pPr>
        <w:spacing w:line="240" w:lineRule="atLeast"/>
        <w:ind w:firstLine="560" w:firstLineChars="200"/>
        <w:rPr>
          <w:rFonts w:ascii="仿宋" w:hAnsi="仿宋" w:eastAsia="仿宋" w:cs="仿宋"/>
          <w:sz w:val="28"/>
          <w:szCs w:val="28"/>
        </w:rPr>
      </w:pPr>
      <w:r>
        <w:rPr>
          <w:rFonts w:hint="eastAsia" w:ascii="仿宋" w:hAnsi="仿宋" w:eastAsia="仿宋" w:cs="仿宋"/>
          <w:sz w:val="28"/>
          <w:szCs w:val="28"/>
        </w:rPr>
        <w:t xml:space="preserve">地址：                                   </w:t>
      </w:r>
    </w:p>
    <w:p>
      <w:pPr>
        <w:spacing w:line="240" w:lineRule="atLeast"/>
        <w:ind w:firstLine="560" w:firstLineChars="200"/>
        <w:rPr>
          <w:rFonts w:ascii="仿宋" w:hAnsi="仿宋" w:eastAsia="仿宋" w:cs="仿宋"/>
          <w:sz w:val="28"/>
          <w:szCs w:val="28"/>
        </w:rPr>
      </w:pPr>
      <w:r>
        <w:rPr>
          <w:rFonts w:hint="eastAsia" w:ascii="仿宋" w:hAnsi="仿宋" w:eastAsia="仿宋" w:cs="仿宋"/>
          <w:sz w:val="28"/>
          <w:szCs w:val="28"/>
        </w:rPr>
        <w:t xml:space="preserve">电话：                                    </w:t>
      </w:r>
    </w:p>
    <w:p>
      <w:pPr>
        <w:spacing w:line="240" w:lineRule="atLeast"/>
        <w:ind w:firstLine="560" w:firstLineChars="200"/>
        <w:rPr>
          <w:rFonts w:ascii="仿宋" w:hAnsi="仿宋" w:eastAsia="仿宋" w:cs="仿宋"/>
          <w:sz w:val="28"/>
          <w:szCs w:val="28"/>
        </w:rPr>
      </w:pPr>
      <w:r>
        <w:rPr>
          <w:rFonts w:hint="eastAsia" w:ascii="仿宋" w:hAnsi="仿宋" w:eastAsia="仿宋" w:cs="仿宋"/>
          <w:sz w:val="28"/>
          <w:szCs w:val="28"/>
        </w:rPr>
        <w:t xml:space="preserve">邮政编码：                                 </w:t>
      </w:r>
    </w:p>
    <w:p>
      <w:pPr>
        <w:spacing w:line="240" w:lineRule="atLeast"/>
        <w:ind w:firstLine="560" w:firstLineChars="200"/>
        <w:jc w:val="right"/>
        <w:rPr>
          <w:rFonts w:hint="eastAsia" w:ascii="仿宋" w:hAnsi="仿宋" w:eastAsia="仿宋" w:cs="仿宋"/>
          <w:sz w:val="28"/>
          <w:szCs w:val="28"/>
        </w:rPr>
      </w:pPr>
    </w:p>
    <w:p>
      <w:pPr>
        <w:spacing w:line="240" w:lineRule="atLeast"/>
        <w:ind w:firstLine="560" w:firstLineChars="200"/>
        <w:jc w:val="right"/>
        <w:rPr>
          <w:rFonts w:ascii="仿宋" w:hAnsi="仿宋" w:eastAsia="仿宋" w:cs="仿宋"/>
          <w:sz w:val="28"/>
          <w:szCs w:val="28"/>
        </w:rPr>
      </w:pPr>
      <w:r>
        <w:rPr>
          <w:rFonts w:hint="eastAsia" w:ascii="仿宋" w:hAnsi="仿宋" w:eastAsia="仿宋" w:cs="仿宋"/>
          <w:sz w:val="28"/>
          <w:szCs w:val="28"/>
        </w:rPr>
        <w:t>日期：     年    月    日</w:t>
      </w: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pPr>
    </w:p>
    <w:p>
      <w:pPr>
        <w:spacing w:line="480" w:lineRule="exact"/>
        <w:jc w:val="center"/>
        <w:rPr>
          <w:rFonts w:ascii="方正小标宋简体" w:eastAsia="方正小标宋简体"/>
          <w:i/>
          <w:sz w:val="36"/>
          <w:szCs w:val="36"/>
        </w:rPr>
      </w:pPr>
      <w:r>
        <w:rPr>
          <w:rFonts w:hint="eastAsia" w:ascii="方正小标宋简体" w:eastAsia="方正小标宋简体"/>
          <w:sz w:val="36"/>
          <w:szCs w:val="36"/>
        </w:rPr>
        <w:t>法定代表人授权委托书</w:t>
      </w:r>
    </w:p>
    <w:p>
      <w:pPr>
        <w:pStyle w:val="36"/>
        <w:spacing w:line="480" w:lineRule="exact"/>
        <w:ind w:firstLine="480"/>
        <w:rPr>
          <w:rFonts w:hint="eastAsia" w:ascii="仿宋" w:hAnsi="仿宋" w:eastAsia="仿宋"/>
          <w:color w:val="auto"/>
          <w:sz w:val="28"/>
          <w:szCs w:val="28"/>
        </w:rPr>
      </w:pPr>
    </w:p>
    <w:p>
      <w:pPr>
        <w:pStyle w:val="36"/>
        <w:spacing w:line="480" w:lineRule="exact"/>
        <w:ind w:firstLine="480"/>
        <w:rPr>
          <w:rFonts w:ascii="仿宋" w:hAnsi="仿宋" w:eastAsia="仿宋"/>
          <w:color w:val="auto"/>
          <w:sz w:val="28"/>
          <w:szCs w:val="28"/>
        </w:rPr>
      </w:pPr>
      <w:r>
        <w:rPr>
          <w:rFonts w:hint="eastAsia" w:ascii="仿宋" w:hAnsi="仿宋" w:eastAsia="仿宋"/>
          <w:color w:val="auto"/>
          <w:sz w:val="28"/>
          <w:szCs w:val="28"/>
        </w:rPr>
        <w:t>本授权书声明：</w:t>
      </w:r>
      <w:r>
        <w:rPr>
          <w:rFonts w:hint="eastAsia" w:ascii="仿宋" w:hAnsi="仿宋" w:eastAsia="仿宋"/>
          <w:color w:val="auto"/>
          <w:sz w:val="28"/>
          <w:szCs w:val="28"/>
          <w:u w:val="single"/>
          <w:lang w:val="en-US" w:eastAsia="zh-CN"/>
        </w:rPr>
        <w:t xml:space="preserve">    </w:t>
      </w:r>
      <w:r>
        <w:rPr>
          <w:rFonts w:hint="eastAsia" w:ascii="仿宋" w:hAnsi="仿宋" w:eastAsia="仿宋"/>
          <w:color w:val="auto"/>
          <w:sz w:val="28"/>
          <w:szCs w:val="28"/>
          <w:u w:val="single"/>
        </w:rPr>
        <w:t>（供应商名称）</w:t>
      </w:r>
      <w:r>
        <w:rPr>
          <w:rFonts w:hint="eastAsia" w:ascii="仿宋" w:hAnsi="仿宋" w:eastAsia="仿宋"/>
          <w:color w:val="auto"/>
          <w:sz w:val="28"/>
          <w:szCs w:val="28"/>
          <w:u w:val="single"/>
          <w:lang w:val="en-US" w:eastAsia="zh-CN"/>
        </w:rPr>
        <w:t xml:space="preserve">  </w:t>
      </w:r>
      <w:r>
        <w:rPr>
          <w:rFonts w:hint="eastAsia" w:ascii="仿宋" w:hAnsi="仿宋" w:eastAsia="仿宋"/>
          <w:color w:val="auto"/>
          <w:sz w:val="28"/>
          <w:szCs w:val="28"/>
        </w:rPr>
        <w:t>授权</w:t>
      </w:r>
      <w:r>
        <w:rPr>
          <w:rFonts w:hint="eastAsia" w:ascii="仿宋" w:hAnsi="仿宋" w:eastAsia="仿宋"/>
          <w:color w:val="auto"/>
          <w:sz w:val="28"/>
          <w:szCs w:val="28"/>
          <w:u w:val="single"/>
          <w:lang w:val="en-US" w:eastAsia="zh-CN"/>
        </w:rPr>
        <w:t xml:space="preserve">  </w:t>
      </w:r>
      <w:r>
        <w:rPr>
          <w:rFonts w:hint="eastAsia" w:ascii="仿宋" w:hAnsi="仿宋" w:eastAsia="仿宋"/>
          <w:color w:val="auto"/>
          <w:sz w:val="28"/>
          <w:szCs w:val="28"/>
          <w:u w:val="single"/>
        </w:rPr>
        <w:t>（被授权人的姓名）</w:t>
      </w:r>
      <w:r>
        <w:rPr>
          <w:rFonts w:hint="eastAsia" w:ascii="仿宋" w:hAnsi="仿宋" w:eastAsia="仿宋"/>
          <w:color w:val="auto"/>
          <w:sz w:val="28"/>
          <w:szCs w:val="28"/>
          <w:u w:val="single"/>
          <w:lang w:val="en-US" w:eastAsia="zh-CN"/>
        </w:rPr>
        <w:t xml:space="preserve"> </w:t>
      </w:r>
      <w:r>
        <w:rPr>
          <w:rFonts w:hint="eastAsia" w:ascii="仿宋" w:hAnsi="仿宋" w:eastAsia="仿宋"/>
          <w:color w:val="auto"/>
          <w:sz w:val="28"/>
          <w:szCs w:val="28"/>
        </w:rPr>
        <w:t>为我方就</w:t>
      </w:r>
      <w:r>
        <w:rPr>
          <w:rFonts w:hint="eastAsia" w:ascii="仿宋" w:hAnsi="仿宋" w:eastAsia="仿宋"/>
          <w:color w:val="auto"/>
          <w:sz w:val="28"/>
          <w:szCs w:val="28"/>
          <w:u w:val="none"/>
        </w:rPr>
        <w:t>项目名称：</w:t>
      </w:r>
      <w:r>
        <w:rPr>
          <w:rFonts w:hint="eastAsia" w:ascii="仿宋" w:hAnsi="仿宋" w:eastAsia="仿宋"/>
          <w:color w:val="auto"/>
          <w:sz w:val="28"/>
          <w:szCs w:val="28"/>
          <w:u w:val="single"/>
          <w:lang w:val="en-US" w:eastAsia="zh-CN"/>
        </w:rPr>
        <w:t xml:space="preserve">               </w:t>
      </w:r>
      <w:r>
        <w:rPr>
          <w:rFonts w:hint="eastAsia" w:ascii="仿宋" w:hAnsi="仿宋" w:eastAsia="仿宋"/>
          <w:color w:val="auto"/>
          <w:sz w:val="28"/>
          <w:szCs w:val="28"/>
          <w:u w:val="none"/>
          <w:lang w:val="en-US" w:eastAsia="zh-CN"/>
        </w:rPr>
        <w:t>、</w:t>
      </w:r>
      <w:r>
        <w:rPr>
          <w:rFonts w:hint="eastAsia" w:ascii="仿宋" w:hAnsi="仿宋" w:eastAsia="仿宋"/>
          <w:color w:val="auto"/>
          <w:sz w:val="28"/>
          <w:szCs w:val="28"/>
          <w:u w:val="none"/>
        </w:rPr>
        <w:t>项目编号:</w:t>
      </w:r>
      <w:r>
        <w:rPr>
          <w:rFonts w:hint="eastAsia" w:ascii="仿宋" w:hAnsi="仿宋" w:eastAsia="仿宋"/>
          <w:color w:val="auto"/>
          <w:sz w:val="28"/>
          <w:szCs w:val="28"/>
          <w:u w:val="single"/>
          <w:lang w:val="en-US" w:eastAsia="zh-CN"/>
        </w:rPr>
        <w:t xml:space="preserve">                  </w:t>
      </w:r>
      <w:r>
        <w:rPr>
          <w:rFonts w:hint="eastAsia" w:ascii="仿宋" w:hAnsi="仿宋" w:eastAsia="仿宋"/>
          <w:color w:val="auto"/>
          <w:sz w:val="28"/>
          <w:szCs w:val="28"/>
        </w:rPr>
        <w:t>采购活动的合法代理人，以本公司名义全权处理一切与该项目采购有关的事务。</w:t>
      </w:r>
    </w:p>
    <w:p>
      <w:pPr>
        <w:pStyle w:val="36"/>
        <w:spacing w:line="480" w:lineRule="exact"/>
        <w:ind w:firstLine="480"/>
        <w:rPr>
          <w:rFonts w:ascii="仿宋" w:hAnsi="仿宋" w:eastAsia="仿宋"/>
          <w:color w:val="auto"/>
          <w:sz w:val="28"/>
          <w:szCs w:val="28"/>
        </w:rPr>
      </w:pPr>
      <w:r>
        <w:rPr>
          <w:rFonts w:hint="eastAsia" w:ascii="仿宋" w:hAnsi="仿宋" w:eastAsia="仿宋"/>
          <w:color w:val="auto"/>
          <w:sz w:val="28"/>
          <w:szCs w:val="28"/>
        </w:rPr>
        <w:t>本授权书于______年____月____日起生效，特此声明。</w:t>
      </w:r>
    </w:p>
    <w:p>
      <w:pPr>
        <w:pStyle w:val="36"/>
        <w:spacing w:line="480" w:lineRule="exact"/>
        <w:ind w:firstLine="480"/>
        <w:rPr>
          <w:rFonts w:ascii="仿宋" w:hAnsi="仿宋" w:eastAsia="仿宋"/>
          <w:color w:val="auto"/>
          <w:sz w:val="28"/>
          <w:szCs w:val="28"/>
        </w:rPr>
      </w:pPr>
    </w:p>
    <w:p>
      <w:pPr>
        <w:pStyle w:val="36"/>
        <w:spacing w:line="480" w:lineRule="exact"/>
        <w:ind w:firstLine="480"/>
        <w:rPr>
          <w:rFonts w:ascii="仿宋" w:hAnsi="仿宋" w:eastAsia="仿宋"/>
          <w:color w:val="auto"/>
          <w:sz w:val="28"/>
          <w:szCs w:val="28"/>
          <w:u w:val="single"/>
        </w:rPr>
      </w:pPr>
      <w:r>
        <w:rPr>
          <w:rFonts w:hint="eastAsia" w:ascii="仿宋" w:hAnsi="仿宋" w:eastAsia="仿宋"/>
          <w:color w:val="auto"/>
          <w:sz w:val="28"/>
          <w:szCs w:val="28"/>
        </w:rPr>
        <w:t xml:space="preserve">法定代表人（签字）： </w:t>
      </w:r>
    </w:p>
    <w:p>
      <w:pPr>
        <w:pStyle w:val="36"/>
        <w:spacing w:line="480" w:lineRule="exact"/>
        <w:ind w:firstLine="480"/>
        <w:rPr>
          <w:rFonts w:ascii="仿宋" w:hAnsi="仿宋" w:eastAsia="仿宋"/>
          <w:color w:val="auto"/>
          <w:sz w:val="28"/>
          <w:szCs w:val="28"/>
        </w:rPr>
      </w:pPr>
      <w:r>
        <w:rPr>
          <w:rFonts w:hint="eastAsia" w:ascii="仿宋" w:hAnsi="仿宋" w:eastAsia="仿宋"/>
          <w:color w:val="auto"/>
          <w:sz w:val="28"/>
          <w:szCs w:val="28"/>
        </w:rPr>
        <w:t>身份证号码：</w:t>
      </w:r>
    </w:p>
    <w:p>
      <w:pPr>
        <w:pStyle w:val="36"/>
        <w:spacing w:line="480" w:lineRule="exact"/>
        <w:ind w:firstLine="232" w:firstLineChars="83"/>
        <w:rPr>
          <w:rFonts w:ascii="仿宋" w:hAnsi="仿宋" w:eastAsia="仿宋"/>
          <w:color w:val="auto"/>
          <w:sz w:val="28"/>
          <w:szCs w:val="28"/>
        </w:rPr>
      </w:pPr>
      <w:r>
        <w:rPr>
          <w:rFonts w:hint="eastAsia" w:ascii="仿宋" w:hAnsi="仿宋" w:eastAsia="仿宋"/>
          <w:color w:val="auto"/>
          <w:sz w:val="28"/>
          <w:szCs w:val="28"/>
        </w:rPr>
        <w:t xml:space="preserve">  联系电话（手机）：</w:t>
      </w:r>
    </w:p>
    <w:p>
      <w:pPr>
        <w:pStyle w:val="36"/>
        <w:spacing w:line="480" w:lineRule="exact"/>
        <w:ind w:firstLine="480"/>
        <w:rPr>
          <w:rFonts w:ascii="仿宋" w:hAnsi="仿宋" w:eastAsia="仿宋"/>
          <w:color w:val="auto"/>
          <w:sz w:val="28"/>
          <w:szCs w:val="28"/>
        </w:rPr>
      </w:pPr>
    </w:p>
    <w:p>
      <w:pPr>
        <w:pStyle w:val="36"/>
        <w:spacing w:line="480" w:lineRule="exact"/>
        <w:ind w:firstLine="480"/>
        <w:rPr>
          <w:rFonts w:ascii="仿宋" w:hAnsi="仿宋" w:eastAsia="仿宋"/>
          <w:color w:val="auto"/>
          <w:sz w:val="28"/>
          <w:szCs w:val="28"/>
        </w:rPr>
      </w:pPr>
      <w:r>
        <w:rPr>
          <w:rFonts w:hint="eastAsia" w:ascii="仿宋" w:hAnsi="仿宋" w:eastAsia="仿宋"/>
          <w:color w:val="auto"/>
          <w:sz w:val="28"/>
          <w:szCs w:val="28"/>
        </w:rPr>
        <w:t>代理人（被授权人）姓名：</w:t>
      </w:r>
    </w:p>
    <w:p>
      <w:pPr>
        <w:pStyle w:val="36"/>
        <w:spacing w:line="480" w:lineRule="exact"/>
        <w:ind w:firstLine="480"/>
        <w:rPr>
          <w:rFonts w:ascii="仿宋" w:hAnsi="仿宋" w:eastAsia="仿宋"/>
          <w:color w:val="auto"/>
          <w:sz w:val="28"/>
          <w:szCs w:val="28"/>
        </w:rPr>
      </w:pPr>
      <w:r>
        <w:rPr>
          <w:rFonts w:hint="eastAsia" w:ascii="仿宋" w:hAnsi="仿宋" w:eastAsia="仿宋"/>
          <w:color w:val="auto"/>
          <w:sz w:val="28"/>
          <w:szCs w:val="28"/>
        </w:rPr>
        <w:t>身份证号码：</w:t>
      </w:r>
    </w:p>
    <w:p>
      <w:pPr>
        <w:pStyle w:val="36"/>
        <w:spacing w:line="480" w:lineRule="exact"/>
        <w:ind w:firstLine="480"/>
        <w:rPr>
          <w:rFonts w:ascii="仿宋" w:hAnsi="仿宋" w:eastAsia="仿宋"/>
          <w:color w:val="auto"/>
          <w:sz w:val="28"/>
          <w:szCs w:val="28"/>
        </w:rPr>
      </w:pPr>
      <w:r>
        <w:rPr>
          <w:rFonts w:hint="eastAsia" w:ascii="仿宋" w:hAnsi="仿宋" w:eastAsia="仿宋"/>
          <w:color w:val="auto"/>
          <w:sz w:val="28"/>
          <w:szCs w:val="28"/>
        </w:rPr>
        <w:t>联系电话（手机）：</w:t>
      </w:r>
    </w:p>
    <w:p>
      <w:pPr>
        <w:pStyle w:val="36"/>
        <w:spacing w:line="480" w:lineRule="exact"/>
        <w:ind w:firstLine="480"/>
        <w:rPr>
          <w:rFonts w:ascii="仿宋" w:hAnsi="仿宋" w:eastAsia="仿宋"/>
          <w:color w:val="auto"/>
          <w:sz w:val="28"/>
          <w:szCs w:val="28"/>
        </w:rPr>
      </w:pPr>
    </w:p>
    <w:p>
      <w:pPr>
        <w:pStyle w:val="36"/>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color w:val="auto"/>
          <w:sz w:val="28"/>
          <w:szCs w:val="28"/>
        </w:rPr>
      </w:pPr>
      <w:r>
        <w:rPr>
          <w:rFonts w:hint="eastAsia" w:ascii="仿宋" w:hAnsi="仿宋" w:eastAsia="仿宋"/>
          <w:color w:val="auto"/>
          <w:sz w:val="28"/>
          <w:szCs w:val="28"/>
        </w:rPr>
        <w:t>供应商名称（加盖公章）：</w:t>
      </w:r>
    </w:p>
    <w:p>
      <w:pPr>
        <w:pStyle w:val="36"/>
        <w:spacing w:line="480" w:lineRule="exact"/>
        <w:ind w:firstLine="6020" w:firstLineChars="2150"/>
        <w:rPr>
          <w:rFonts w:ascii="仿宋" w:hAnsi="仿宋" w:eastAsia="仿宋"/>
          <w:color w:val="auto"/>
          <w:sz w:val="28"/>
          <w:szCs w:val="28"/>
        </w:rPr>
      </w:pPr>
      <w:r>
        <w:rPr>
          <w:rFonts w:hint="eastAsia" w:ascii="仿宋" w:hAnsi="仿宋" w:eastAsia="仿宋"/>
          <w:color w:val="auto"/>
          <w:sz w:val="28"/>
          <w:szCs w:val="28"/>
        </w:rPr>
        <w:t xml:space="preserve">    年   月   日</w:t>
      </w:r>
    </w:p>
    <w:p>
      <w:pPr>
        <w:pStyle w:val="36"/>
        <w:spacing w:line="480" w:lineRule="exact"/>
        <w:ind w:firstLine="480"/>
        <w:rPr>
          <w:rFonts w:ascii="仿宋" w:hAnsi="仿宋" w:eastAsia="仿宋"/>
          <w:color w:val="auto"/>
          <w:sz w:val="28"/>
          <w:szCs w:val="28"/>
        </w:rPr>
      </w:pPr>
      <w:bookmarkStart w:id="69" w:name="_Hlt26955070"/>
      <w:bookmarkEnd w:id="69"/>
      <w:bookmarkStart w:id="70" w:name="_Hlt26671380"/>
      <w:bookmarkEnd w:id="70"/>
      <w:bookmarkStart w:id="71" w:name="_格式3__银行出具的资信证明"/>
      <w:bookmarkEnd w:id="71"/>
    </w:p>
    <w:p>
      <w:pPr>
        <w:pStyle w:val="5"/>
        <w:spacing w:line="480" w:lineRule="exact"/>
        <w:ind w:firstLine="560"/>
        <w:rPr>
          <w:rFonts w:ascii="仿宋" w:hAnsi="仿宋" w:eastAsia="仿宋"/>
          <w:sz w:val="28"/>
          <w:szCs w:val="28"/>
        </w:rPr>
      </w:pPr>
      <w:r>
        <w:rPr>
          <w:rFonts w:hint="eastAsia" w:ascii="仿宋" w:hAnsi="仿宋" w:eastAsia="仿宋"/>
          <w:sz w:val="28"/>
          <w:szCs w:val="28"/>
        </w:rPr>
        <w:t>法定代表人身份证复印件</w:t>
      </w:r>
    </w:p>
    <w:p>
      <w:pPr>
        <w:pStyle w:val="5"/>
        <w:spacing w:line="480" w:lineRule="exact"/>
        <w:ind w:firstLine="0" w:firstLineChars="0"/>
        <w:rPr>
          <w:rFonts w:ascii="仿宋" w:hAnsi="仿宋" w:eastAsia="仿宋"/>
          <w:sz w:val="28"/>
          <w:szCs w:val="28"/>
        </w:rPr>
      </w:pPr>
    </w:p>
    <w:p>
      <w:pPr>
        <w:pStyle w:val="5"/>
        <w:spacing w:line="480" w:lineRule="exact"/>
        <w:ind w:firstLine="490" w:firstLineChars="175"/>
        <w:rPr>
          <w:rFonts w:ascii="仿宋" w:hAnsi="仿宋" w:eastAsia="仿宋"/>
          <w:sz w:val="28"/>
          <w:szCs w:val="28"/>
        </w:rPr>
      </w:pPr>
      <w:r>
        <w:rPr>
          <w:rFonts w:hint="eastAsia" w:ascii="仿宋" w:hAnsi="仿宋" w:eastAsia="仿宋"/>
          <w:sz w:val="28"/>
          <w:szCs w:val="28"/>
        </w:rPr>
        <w:t>代理人（被授权人）身份证复印件</w:t>
      </w:r>
    </w:p>
    <w:p/>
    <w:p>
      <w:pPr>
        <w:pStyle w:val="2"/>
      </w:pPr>
    </w:p>
    <w:p>
      <w:pPr>
        <w:pStyle w:val="3"/>
      </w:pPr>
    </w:p>
    <w:p>
      <w:pPr>
        <w:rPr>
          <w:rFonts w:hint="eastAsia"/>
        </w:rPr>
      </w:pPr>
    </w:p>
    <w:sectPr>
      <w:footerReference r:id="rId4" w:type="default"/>
      <w:pgSz w:w="11906" w:h="16838"/>
      <w:pgMar w:top="1984"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napToGrid w:val="0"/>
      <w:spacing w:line="400" w:lineRule="atLeast"/>
      <w:ind w:firstLine="0"/>
      <w:jc w:val="center"/>
      <w:rPr>
        <w:rFonts w:ascii="Times New Roman" w:hAnsi="Times New Roman" w:eastAsia="方正仿宋_GBK" w:cs="Times New Roman"/>
        <w:snapToGrid w:val="0"/>
        <w:sz w:val="2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8"/>
      </w:rPr>
    </w:pPr>
    <w:r>
      <w:rPr>
        <w:szCs w:val="28"/>
      </w:rPr>
      <w:fldChar w:fldCharType="begin"/>
    </w:r>
    <w:r>
      <w:rPr>
        <w:szCs w:val="28"/>
      </w:rPr>
      <w:instrText xml:space="preserve">PAGE   \* MERGEFORMAT</w:instrText>
    </w:r>
    <w:r>
      <w:rPr>
        <w:szCs w:val="28"/>
      </w:rPr>
      <w:fldChar w:fldCharType="separate"/>
    </w:r>
    <w:r>
      <w:rPr>
        <w:szCs w:val="28"/>
        <w:lang w:val="zh-CN"/>
      </w:rPr>
      <w:t>1</w:t>
    </w:r>
    <w:r>
      <w:rPr>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363D98"/>
    <w:multiLevelType w:val="multilevel"/>
    <w:tmpl w:val="3B363D98"/>
    <w:lvl w:ilvl="0" w:tentative="0">
      <w:start w:val="1"/>
      <w:numFmt w:val="decimal"/>
      <w:pStyle w:val="6"/>
      <w:suff w:val="space"/>
      <w:lvlText w:val="图%1."/>
      <w:lvlJc w:val="left"/>
      <w:pPr>
        <w:ind w:left="2263" w:hanging="420"/>
      </w:pPr>
      <w:rPr>
        <w:b w:val="0"/>
        <w:bCs w:val="0"/>
        <w:i w:val="0"/>
        <w:iCs w:val="0"/>
        <w:caps w:val="0"/>
        <w:smallCaps w:val="0"/>
        <w:strike w:val="0"/>
        <w:dstrike w:val="0"/>
        <w:outline w:val="0"/>
        <w:shadow w:val="0"/>
        <w:emboss w:val="0"/>
        <w:imprint w:val="0"/>
        <w:vanish w:val="0"/>
        <w:spacing w:val="0"/>
        <w:position w:val="0"/>
        <w:sz w:val="21"/>
        <w:szCs w:val="21"/>
        <w:u w:val="none"/>
        <w:vertAlign w:val="baseline"/>
      </w:rPr>
    </w:lvl>
    <w:lvl w:ilvl="1" w:tentative="0">
      <w:start w:val="1"/>
      <w:numFmt w:val="decimal"/>
      <w:lvlText w:val="%2、"/>
      <w:lvlJc w:val="left"/>
      <w:pPr>
        <w:ind w:left="2623" w:hanging="360"/>
      </w:pPr>
      <w:rPr>
        <w:rFonts w:hint="default"/>
      </w:rPr>
    </w:lvl>
    <w:lvl w:ilvl="2" w:tentative="0">
      <w:start w:val="1"/>
      <w:numFmt w:val="decimal"/>
      <w:lvlText w:val="%3）"/>
      <w:lvlJc w:val="left"/>
      <w:pPr>
        <w:ind w:left="3403" w:hanging="720"/>
      </w:pPr>
      <w:rPr>
        <w:rFonts w:hint="default"/>
      </w:r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0ZmUxZjYxMzgxNTlmZTdhOGZjZWUzM2ExZjgxNTgifQ=="/>
  </w:docVars>
  <w:rsids>
    <w:rsidRoot w:val="3DDA22A6"/>
    <w:rsid w:val="0000690C"/>
    <w:rsid w:val="00006F97"/>
    <w:rsid w:val="00012198"/>
    <w:rsid w:val="000741C1"/>
    <w:rsid w:val="00086823"/>
    <w:rsid w:val="00091961"/>
    <w:rsid w:val="00092F60"/>
    <w:rsid w:val="000C052A"/>
    <w:rsid w:val="000C7FEF"/>
    <w:rsid w:val="00133588"/>
    <w:rsid w:val="0014717C"/>
    <w:rsid w:val="00180B4E"/>
    <w:rsid w:val="001A3BC5"/>
    <w:rsid w:val="001C2B60"/>
    <w:rsid w:val="001D5FFE"/>
    <w:rsid w:val="001E1734"/>
    <w:rsid w:val="002117F1"/>
    <w:rsid w:val="00213B67"/>
    <w:rsid w:val="00233A41"/>
    <w:rsid w:val="002430B0"/>
    <w:rsid w:val="00243BE7"/>
    <w:rsid w:val="002454AE"/>
    <w:rsid w:val="00276C5A"/>
    <w:rsid w:val="002D0B5C"/>
    <w:rsid w:val="00313AF9"/>
    <w:rsid w:val="00313EB4"/>
    <w:rsid w:val="003434A3"/>
    <w:rsid w:val="0036290D"/>
    <w:rsid w:val="00370990"/>
    <w:rsid w:val="00371DFD"/>
    <w:rsid w:val="003C08AD"/>
    <w:rsid w:val="003C35D2"/>
    <w:rsid w:val="003E4D75"/>
    <w:rsid w:val="003F01B0"/>
    <w:rsid w:val="00426F2A"/>
    <w:rsid w:val="0043758E"/>
    <w:rsid w:val="00443CB2"/>
    <w:rsid w:val="00452AE4"/>
    <w:rsid w:val="00466966"/>
    <w:rsid w:val="00497727"/>
    <w:rsid w:val="004C3CAB"/>
    <w:rsid w:val="004D01FA"/>
    <w:rsid w:val="004E6790"/>
    <w:rsid w:val="004F52B0"/>
    <w:rsid w:val="0050248D"/>
    <w:rsid w:val="00503EDF"/>
    <w:rsid w:val="00507523"/>
    <w:rsid w:val="00521825"/>
    <w:rsid w:val="0053548B"/>
    <w:rsid w:val="00542675"/>
    <w:rsid w:val="005918FA"/>
    <w:rsid w:val="005C7600"/>
    <w:rsid w:val="00600DAA"/>
    <w:rsid w:val="00605A28"/>
    <w:rsid w:val="0062199B"/>
    <w:rsid w:val="0064768D"/>
    <w:rsid w:val="006544F5"/>
    <w:rsid w:val="00661EC8"/>
    <w:rsid w:val="0067556D"/>
    <w:rsid w:val="00686E8C"/>
    <w:rsid w:val="006A6835"/>
    <w:rsid w:val="006B6DAB"/>
    <w:rsid w:val="006C24C0"/>
    <w:rsid w:val="006C2CF4"/>
    <w:rsid w:val="006C35BF"/>
    <w:rsid w:val="006F1BCF"/>
    <w:rsid w:val="006F75C4"/>
    <w:rsid w:val="00701778"/>
    <w:rsid w:val="007407EE"/>
    <w:rsid w:val="0074286E"/>
    <w:rsid w:val="007647B3"/>
    <w:rsid w:val="007723CF"/>
    <w:rsid w:val="00780A21"/>
    <w:rsid w:val="007A4764"/>
    <w:rsid w:val="007A5723"/>
    <w:rsid w:val="007D16F7"/>
    <w:rsid w:val="007F0BC6"/>
    <w:rsid w:val="00810FD1"/>
    <w:rsid w:val="00834AA0"/>
    <w:rsid w:val="00836681"/>
    <w:rsid w:val="00850571"/>
    <w:rsid w:val="00862074"/>
    <w:rsid w:val="00865CEA"/>
    <w:rsid w:val="008808E9"/>
    <w:rsid w:val="0088259B"/>
    <w:rsid w:val="00885380"/>
    <w:rsid w:val="00886463"/>
    <w:rsid w:val="008A5B2E"/>
    <w:rsid w:val="008C5321"/>
    <w:rsid w:val="008D31DC"/>
    <w:rsid w:val="008F2EF8"/>
    <w:rsid w:val="008F3251"/>
    <w:rsid w:val="00904ACC"/>
    <w:rsid w:val="00911066"/>
    <w:rsid w:val="00924491"/>
    <w:rsid w:val="00935342"/>
    <w:rsid w:val="00956370"/>
    <w:rsid w:val="009625B7"/>
    <w:rsid w:val="00963913"/>
    <w:rsid w:val="00975C4F"/>
    <w:rsid w:val="00986A2E"/>
    <w:rsid w:val="009B1DF8"/>
    <w:rsid w:val="009B7E1C"/>
    <w:rsid w:val="009C047D"/>
    <w:rsid w:val="009C496F"/>
    <w:rsid w:val="009F79E8"/>
    <w:rsid w:val="00A00158"/>
    <w:rsid w:val="00A13AD9"/>
    <w:rsid w:val="00A34D27"/>
    <w:rsid w:val="00A41CB1"/>
    <w:rsid w:val="00A543E2"/>
    <w:rsid w:val="00A6518E"/>
    <w:rsid w:val="00A94119"/>
    <w:rsid w:val="00AD11E8"/>
    <w:rsid w:val="00AD6715"/>
    <w:rsid w:val="00AE2347"/>
    <w:rsid w:val="00AE2591"/>
    <w:rsid w:val="00AE7B8B"/>
    <w:rsid w:val="00B11F7C"/>
    <w:rsid w:val="00B266D5"/>
    <w:rsid w:val="00B417BA"/>
    <w:rsid w:val="00B42548"/>
    <w:rsid w:val="00B53862"/>
    <w:rsid w:val="00B56138"/>
    <w:rsid w:val="00B77E27"/>
    <w:rsid w:val="00B878A9"/>
    <w:rsid w:val="00BA6F43"/>
    <w:rsid w:val="00BB3208"/>
    <w:rsid w:val="00BB7A5F"/>
    <w:rsid w:val="00BF4519"/>
    <w:rsid w:val="00C06890"/>
    <w:rsid w:val="00C12751"/>
    <w:rsid w:val="00C30D31"/>
    <w:rsid w:val="00C35A04"/>
    <w:rsid w:val="00C37B2D"/>
    <w:rsid w:val="00C41F44"/>
    <w:rsid w:val="00C52F39"/>
    <w:rsid w:val="00C579E9"/>
    <w:rsid w:val="00C85CDC"/>
    <w:rsid w:val="00C979FC"/>
    <w:rsid w:val="00CE1519"/>
    <w:rsid w:val="00D07664"/>
    <w:rsid w:val="00D36809"/>
    <w:rsid w:val="00D41D82"/>
    <w:rsid w:val="00D42A74"/>
    <w:rsid w:val="00D473C2"/>
    <w:rsid w:val="00D5073A"/>
    <w:rsid w:val="00D66239"/>
    <w:rsid w:val="00D74AC2"/>
    <w:rsid w:val="00DA29AF"/>
    <w:rsid w:val="00DB20DE"/>
    <w:rsid w:val="00DB3A9E"/>
    <w:rsid w:val="00DD4DEA"/>
    <w:rsid w:val="00DD5CE8"/>
    <w:rsid w:val="00DF0B72"/>
    <w:rsid w:val="00DF1F5C"/>
    <w:rsid w:val="00E01A77"/>
    <w:rsid w:val="00E20FB1"/>
    <w:rsid w:val="00E4314E"/>
    <w:rsid w:val="00E8610D"/>
    <w:rsid w:val="00E933F9"/>
    <w:rsid w:val="00EB2E26"/>
    <w:rsid w:val="00ED3A19"/>
    <w:rsid w:val="00EF4376"/>
    <w:rsid w:val="00F5618C"/>
    <w:rsid w:val="00F719B1"/>
    <w:rsid w:val="00F71F8F"/>
    <w:rsid w:val="00F82673"/>
    <w:rsid w:val="00F846F2"/>
    <w:rsid w:val="00F8571B"/>
    <w:rsid w:val="00FA3219"/>
    <w:rsid w:val="00FB2288"/>
    <w:rsid w:val="00FB7BBF"/>
    <w:rsid w:val="00FC4150"/>
    <w:rsid w:val="00FC764A"/>
    <w:rsid w:val="00FF760A"/>
    <w:rsid w:val="02197D1C"/>
    <w:rsid w:val="02FE5E7A"/>
    <w:rsid w:val="035A034A"/>
    <w:rsid w:val="043D11AF"/>
    <w:rsid w:val="04672BD9"/>
    <w:rsid w:val="057549BB"/>
    <w:rsid w:val="08B5322E"/>
    <w:rsid w:val="08BA4CE8"/>
    <w:rsid w:val="09F96782"/>
    <w:rsid w:val="0B1C3A38"/>
    <w:rsid w:val="0B8F3DF2"/>
    <w:rsid w:val="0EB3316F"/>
    <w:rsid w:val="0F503CB0"/>
    <w:rsid w:val="0F7F4E50"/>
    <w:rsid w:val="0FF373ED"/>
    <w:rsid w:val="10280789"/>
    <w:rsid w:val="10A4638E"/>
    <w:rsid w:val="10CF50A9"/>
    <w:rsid w:val="115445B7"/>
    <w:rsid w:val="128133EC"/>
    <w:rsid w:val="128F1AD8"/>
    <w:rsid w:val="13034F6B"/>
    <w:rsid w:val="152A4FA3"/>
    <w:rsid w:val="15F15AC1"/>
    <w:rsid w:val="196547FC"/>
    <w:rsid w:val="19B14D58"/>
    <w:rsid w:val="1A295087"/>
    <w:rsid w:val="1A352420"/>
    <w:rsid w:val="1A7A11E9"/>
    <w:rsid w:val="1AA11864"/>
    <w:rsid w:val="1AC026D5"/>
    <w:rsid w:val="1AFC1190"/>
    <w:rsid w:val="1C99656B"/>
    <w:rsid w:val="1C9B0D1C"/>
    <w:rsid w:val="1CB155C9"/>
    <w:rsid w:val="1CE123EB"/>
    <w:rsid w:val="1DB96EC4"/>
    <w:rsid w:val="1EAC4C7B"/>
    <w:rsid w:val="1F66307C"/>
    <w:rsid w:val="1F8823DC"/>
    <w:rsid w:val="20302E45"/>
    <w:rsid w:val="203B74FB"/>
    <w:rsid w:val="206B38D1"/>
    <w:rsid w:val="20AA343C"/>
    <w:rsid w:val="21EA7F94"/>
    <w:rsid w:val="221E2CA2"/>
    <w:rsid w:val="222039B6"/>
    <w:rsid w:val="23160915"/>
    <w:rsid w:val="2589364C"/>
    <w:rsid w:val="25973F8F"/>
    <w:rsid w:val="25E422B3"/>
    <w:rsid w:val="28461C9C"/>
    <w:rsid w:val="285048C9"/>
    <w:rsid w:val="28772982"/>
    <w:rsid w:val="292A511A"/>
    <w:rsid w:val="2A0E70D4"/>
    <w:rsid w:val="2B2142FB"/>
    <w:rsid w:val="2B5244B4"/>
    <w:rsid w:val="2C275941"/>
    <w:rsid w:val="2C347535"/>
    <w:rsid w:val="2CED6321"/>
    <w:rsid w:val="2D140C99"/>
    <w:rsid w:val="2D4A5C25"/>
    <w:rsid w:val="2E586286"/>
    <w:rsid w:val="2EF97A69"/>
    <w:rsid w:val="2F923A19"/>
    <w:rsid w:val="303C1BD7"/>
    <w:rsid w:val="305779E5"/>
    <w:rsid w:val="310E0E7D"/>
    <w:rsid w:val="3222444D"/>
    <w:rsid w:val="32DC6C65"/>
    <w:rsid w:val="330A0A3F"/>
    <w:rsid w:val="337A79AA"/>
    <w:rsid w:val="33B757FC"/>
    <w:rsid w:val="344A2B14"/>
    <w:rsid w:val="35C44A43"/>
    <w:rsid w:val="366F0610"/>
    <w:rsid w:val="367F4CF7"/>
    <w:rsid w:val="36F04BFA"/>
    <w:rsid w:val="37CD719C"/>
    <w:rsid w:val="37CE1367"/>
    <w:rsid w:val="38F332CC"/>
    <w:rsid w:val="39156E45"/>
    <w:rsid w:val="39763A64"/>
    <w:rsid w:val="39C62C3D"/>
    <w:rsid w:val="3A8634A4"/>
    <w:rsid w:val="3AB10151"/>
    <w:rsid w:val="3AF92B9E"/>
    <w:rsid w:val="3B2A0FAA"/>
    <w:rsid w:val="3B2C2F74"/>
    <w:rsid w:val="3B810A32"/>
    <w:rsid w:val="3BBC42F8"/>
    <w:rsid w:val="3C8D7A42"/>
    <w:rsid w:val="3CC33464"/>
    <w:rsid w:val="3CEF4259"/>
    <w:rsid w:val="3CF77A7A"/>
    <w:rsid w:val="3D7E738B"/>
    <w:rsid w:val="3DDA22A6"/>
    <w:rsid w:val="3F593C0C"/>
    <w:rsid w:val="414D154E"/>
    <w:rsid w:val="41577831"/>
    <w:rsid w:val="41C3749C"/>
    <w:rsid w:val="42021661"/>
    <w:rsid w:val="42F32755"/>
    <w:rsid w:val="42F52011"/>
    <w:rsid w:val="432664FB"/>
    <w:rsid w:val="44DB5312"/>
    <w:rsid w:val="453F5D8D"/>
    <w:rsid w:val="45DD7344"/>
    <w:rsid w:val="468352B1"/>
    <w:rsid w:val="478B56E4"/>
    <w:rsid w:val="483C1A0A"/>
    <w:rsid w:val="48A6214D"/>
    <w:rsid w:val="48B8786D"/>
    <w:rsid w:val="49CC642A"/>
    <w:rsid w:val="4A177E28"/>
    <w:rsid w:val="4A4F4589"/>
    <w:rsid w:val="4A697D74"/>
    <w:rsid w:val="4A7F22CC"/>
    <w:rsid w:val="4C603913"/>
    <w:rsid w:val="4D4E0B28"/>
    <w:rsid w:val="4D5274CA"/>
    <w:rsid w:val="4FDD4B18"/>
    <w:rsid w:val="50CD1384"/>
    <w:rsid w:val="518E1351"/>
    <w:rsid w:val="51B15B29"/>
    <w:rsid w:val="51C00C6B"/>
    <w:rsid w:val="520C566A"/>
    <w:rsid w:val="530C1269"/>
    <w:rsid w:val="54F63F7F"/>
    <w:rsid w:val="55195EBF"/>
    <w:rsid w:val="55306D65"/>
    <w:rsid w:val="55651B5B"/>
    <w:rsid w:val="55C776C9"/>
    <w:rsid w:val="560A5808"/>
    <w:rsid w:val="57357FE0"/>
    <w:rsid w:val="58983BB5"/>
    <w:rsid w:val="5909502D"/>
    <w:rsid w:val="59791B67"/>
    <w:rsid w:val="59F86F12"/>
    <w:rsid w:val="5AA20705"/>
    <w:rsid w:val="5AC22E57"/>
    <w:rsid w:val="5B486867"/>
    <w:rsid w:val="5BF44F90"/>
    <w:rsid w:val="5C1473E0"/>
    <w:rsid w:val="5C6B5AAB"/>
    <w:rsid w:val="5E8F0FA0"/>
    <w:rsid w:val="61096DE8"/>
    <w:rsid w:val="611D6D37"/>
    <w:rsid w:val="61954B1F"/>
    <w:rsid w:val="628C0F0A"/>
    <w:rsid w:val="63F43D7F"/>
    <w:rsid w:val="64373C6C"/>
    <w:rsid w:val="656860D6"/>
    <w:rsid w:val="65C14135"/>
    <w:rsid w:val="65C94D98"/>
    <w:rsid w:val="67072735"/>
    <w:rsid w:val="674D6FBF"/>
    <w:rsid w:val="67DD2D7C"/>
    <w:rsid w:val="67E8281A"/>
    <w:rsid w:val="6850354E"/>
    <w:rsid w:val="69153CA1"/>
    <w:rsid w:val="6ADD1A27"/>
    <w:rsid w:val="6B582DFF"/>
    <w:rsid w:val="6BDD159D"/>
    <w:rsid w:val="6BE95B62"/>
    <w:rsid w:val="6C4E4249"/>
    <w:rsid w:val="6D390568"/>
    <w:rsid w:val="6E8E3022"/>
    <w:rsid w:val="6EF70BC7"/>
    <w:rsid w:val="6F5C6C7D"/>
    <w:rsid w:val="702C2AF3"/>
    <w:rsid w:val="711C66C3"/>
    <w:rsid w:val="714A76D4"/>
    <w:rsid w:val="71D7083C"/>
    <w:rsid w:val="731358A4"/>
    <w:rsid w:val="731F693F"/>
    <w:rsid w:val="73E62FB9"/>
    <w:rsid w:val="74092E99"/>
    <w:rsid w:val="7429579E"/>
    <w:rsid w:val="742E508B"/>
    <w:rsid w:val="7513602F"/>
    <w:rsid w:val="758D3DC5"/>
    <w:rsid w:val="75A35740"/>
    <w:rsid w:val="762805AD"/>
    <w:rsid w:val="76C34D3B"/>
    <w:rsid w:val="76DC034D"/>
    <w:rsid w:val="783B1B25"/>
    <w:rsid w:val="788F3C1F"/>
    <w:rsid w:val="794B6933"/>
    <w:rsid w:val="79BA116F"/>
    <w:rsid w:val="79D42231"/>
    <w:rsid w:val="7A536A59"/>
    <w:rsid w:val="7AE264D9"/>
    <w:rsid w:val="7CF934B1"/>
    <w:rsid w:val="7D5926B1"/>
    <w:rsid w:val="7DF369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iPriority="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uiPriority="0" w:name="HTML Typewriter"/>
    <w:lsdException w:qFormat="1"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qFormat/>
    <w:uiPriority w:val="0"/>
    <w:pPr>
      <w:adjustRightInd w:val="0"/>
      <w:spacing w:line="312" w:lineRule="atLeast"/>
      <w:jc w:val="left"/>
      <w:textAlignment w:val="baseline"/>
    </w:pPr>
    <w:rPr>
      <w:sz w:val="18"/>
      <w:szCs w:val="22"/>
    </w:rPr>
  </w:style>
  <w:style w:type="paragraph" w:styleId="3">
    <w:name w:val="index 5"/>
    <w:basedOn w:val="1"/>
    <w:next w:val="1"/>
    <w:qFormat/>
    <w:uiPriority w:val="0"/>
    <w:pPr>
      <w:ind w:left="800" w:leftChars="800"/>
    </w:pPr>
  </w:style>
  <w:style w:type="paragraph" w:styleId="5">
    <w:name w:val="Normal Indent"/>
    <w:basedOn w:val="1"/>
    <w:qFormat/>
    <w:uiPriority w:val="0"/>
    <w:pPr>
      <w:ind w:firstLine="420" w:firstLineChars="200"/>
    </w:pPr>
    <w:rPr>
      <w:rFonts w:eastAsia="仿宋_GB2312"/>
      <w:sz w:val="32"/>
    </w:rPr>
  </w:style>
  <w:style w:type="paragraph" w:styleId="6">
    <w:name w:val="caption"/>
    <w:basedOn w:val="1"/>
    <w:next w:val="1"/>
    <w:unhideWhenUsed/>
    <w:qFormat/>
    <w:uiPriority w:val="35"/>
    <w:pPr>
      <w:numPr>
        <w:ilvl w:val="0"/>
        <w:numId w:val="1"/>
      </w:numPr>
      <w:spacing w:line="360" w:lineRule="auto"/>
      <w:ind w:firstLine="0"/>
      <w:jc w:val="center"/>
    </w:pPr>
    <w:rPr>
      <w:rFonts w:ascii="Arial Unicode MS" w:hAnsi="Arial Unicode MS" w:cs="宋体"/>
      <w:szCs w:val="20"/>
    </w:rPr>
  </w:style>
  <w:style w:type="paragraph" w:styleId="7">
    <w:name w:val="Document Map"/>
    <w:basedOn w:val="1"/>
    <w:semiHidden/>
    <w:qFormat/>
    <w:uiPriority w:val="0"/>
    <w:pPr>
      <w:shd w:val="clear" w:color="auto" w:fill="000080"/>
    </w:pPr>
  </w:style>
  <w:style w:type="paragraph" w:styleId="8">
    <w:name w:val="Body Text"/>
    <w:basedOn w:val="1"/>
    <w:next w:val="1"/>
    <w:qFormat/>
    <w:uiPriority w:val="0"/>
    <w:rPr>
      <w:rFonts w:ascii="宋体"/>
      <w:sz w:val="28"/>
      <w:szCs w:val="20"/>
    </w:rPr>
  </w:style>
  <w:style w:type="paragraph" w:styleId="9">
    <w:name w:val="Block Text"/>
    <w:basedOn w:val="1"/>
    <w:next w:val="1"/>
    <w:qFormat/>
    <w:uiPriority w:val="0"/>
    <w:pPr>
      <w:spacing w:line="360" w:lineRule="auto"/>
      <w:ind w:right="210" w:firstLine="560"/>
    </w:pPr>
    <w:rPr>
      <w:rFonts w:ascii="宋体" w:hAnsi="宋体" w:cs="宋体"/>
      <w:color w:val="000000"/>
      <w:kern w:val="0"/>
      <w:sz w:val="24"/>
      <w:szCs w:val="20"/>
    </w:rPr>
  </w:style>
  <w:style w:type="paragraph" w:styleId="10">
    <w:name w:val="Plain Text"/>
    <w:basedOn w:val="1"/>
    <w:link w:val="34"/>
    <w:qFormat/>
    <w:uiPriority w:val="99"/>
    <w:pPr>
      <w:widowControl/>
      <w:spacing w:after="200" w:line="252" w:lineRule="auto"/>
      <w:jc w:val="left"/>
    </w:pPr>
    <w:rPr>
      <w:rFonts w:ascii="宋体" w:hAnsi="Courier New"/>
      <w:szCs w:val="20"/>
    </w:rPr>
  </w:style>
  <w:style w:type="paragraph" w:styleId="11">
    <w:name w:val="footer"/>
    <w:basedOn w:val="1"/>
    <w:link w:val="33"/>
    <w:qFormat/>
    <w:uiPriority w:val="0"/>
    <w:pPr>
      <w:tabs>
        <w:tab w:val="center" w:pos="4153"/>
        <w:tab w:val="right" w:pos="8306"/>
      </w:tabs>
      <w:snapToGrid w:val="0"/>
      <w:jc w:val="left"/>
    </w:pPr>
    <w:rPr>
      <w:sz w:val="18"/>
      <w:szCs w:val="18"/>
    </w:rPr>
  </w:style>
  <w:style w:type="paragraph" w:styleId="12">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Body Text First Indent"/>
    <w:basedOn w:val="8"/>
    <w:qFormat/>
    <w:uiPriority w:val="99"/>
    <w:pPr>
      <w:adjustRightInd w:val="0"/>
      <w:spacing w:line="275" w:lineRule="atLeast"/>
      <w:ind w:firstLine="420"/>
      <w:textAlignment w:val="baseline"/>
    </w:pPr>
    <w:rPr>
      <w:rFonts w:eastAsia="楷体_GB2312"/>
      <w:sz w:val="24"/>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page number"/>
    <w:basedOn w:val="17"/>
    <w:qFormat/>
    <w:uiPriority w:val="0"/>
  </w:style>
  <w:style w:type="character" w:styleId="20">
    <w:name w:val="FollowedHyperlink"/>
    <w:basedOn w:val="17"/>
    <w:semiHidden/>
    <w:unhideWhenUsed/>
    <w:qFormat/>
    <w:uiPriority w:val="0"/>
    <w:rPr>
      <w:rFonts w:ascii="微软雅黑" w:hAnsi="微软雅黑" w:eastAsia="微软雅黑" w:cs="微软雅黑"/>
      <w:color w:val="777777"/>
      <w:u w:val="none"/>
    </w:rPr>
  </w:style>
  <w:style w:type="character" w:styleId="21">
    <w:name w:val="Emphasis"/>
    <w:basedOn w:val="17"/>
    <w:qFormat/>
    <w:uiPriority w:val="0"/>
    <w:rPr>
      <w:b/>
      <w:bCs/>
      <w:color w:val="FFFFFF"/>
      <w:sz w:val="14"/>
      <w:szCs w:val="14"/>
      <w:shd w:val="clear" w:color="auto" w:fill="999999"/>
      <w:vertAlign w:val="baseline"/>
    </w:rPr>
  </w:style>
  <w:style w:type="character" w:styleId="22">
    <w:name w:val="HTML Definition"/>
    <w:basedOn w:val="17"/>
    <w:semiHidden/>
    <w:unhideWhenUsed/>
    <w:qFormat/>
    <w:uiPriority w:val="0"/>
  </w:style>
  <w:style w:type="character" w:styleId="23">
    <w:name w:val="HTML Variable"/>
    <w:basedOn w:val="17"/>
    <w:semiHidden/>
    <w:unhideWhenUsed/>
    <w:qFormat/>
    <w:uiPriority w:val="0"/>
  </w:style>
  <w:style w:type="character" w:styleId="24">
    <w:name w:val="Hyperlink"/>
    <w:basedOn w:val="17"/>
    <w:semiHidden/>
    <w:unhideWhenUsed/>
    <w:qFormat/>
    <w:uiPriority w:val="0"/>
    <w:rPr>
      <w:rFonts w:hint="eastAsia" w:ascii="微软雅黑" w:hAnsi="微软雅黑" w:eastAsia="微软雅黑" w:cs="微软雅黑"/>
      <w:color w:val="777777"/>
      <w:u w:val="none"/>
    </w:rPr>
  </w:style>
  <w:style w:type="character" w:styleId="25">
    <w:name w:val="HTML Code"/>
    <w:basedOn w:val="17"/>
    <w:semiHidden/>
    <w:unhideWhenUsed/>
    <w:qFormat/>
    <w:uiPriority w:val="0"/>
    <w:rPr>
      <w:rFonts w:ascii="Consolas" w:hAnsi="Consolas" w:eastAsia="Consolas" w:cs="Consolas"/>
      <w:color w:val="DD1144"/>
      <w:sz w:val="14"/>
      <w:szCs w:val="14"/>
      <w:bdr w:val="single" w:color="E1E1E8" w:sz="4" w:space="0"/>
      <w:shd w:val="clear" w:color="auto" w:fill="F7F7F9"/>
    </w:rPr>
  </w:style>
  <w:style w:type="character" w:styleId="26">
    <w:name w:val="HTML Cite"/>
    <w:basedOn w:val="17"/>
    <w:semiHidden/>
    <w:unhideWhenUsed/>
    <w:qFormat/>
    <w:uiPriority w:val="0"/>
  </w:style>
  <w:style w:type="character" w:styleId="27">
    <w:name w:val="HTML Keyboard"/>
    <w:basedOn w:val="17"/>
    <w:semiHidden/>
    <w:unhideWhenUsed/>
    <w:qFormat/>
    <w:uiPriority w:val="0"/>
    <w:rPr>
      <w:rFonts w:ascii="Courier New" w:hAnsi="Courier New"/>
      <w:sz w:val="20"/>
    </w:rPr>
  </w:style>
  <w:style w:type="character" w:styleId="28">
    <w:name w:val="HTML Sample"/>
    <w:basedOn w:val="17"/>
    <w:semiHidden/>
    <w:unhideWhenUsed/>
    <w:qFormat/>
    <w:uiPriority w:val="0"/>
    <w:rPr>
      <w:rFonts w:ascii="Courier New" w:hAnsi="Courier New"/>
    </w:rPr>
  </w:style>
  <w:style w:type="character" w:customStyle="1" w:styleId="29">
    <w:name w:val="font01"/>
    <w:basedOn w:val="17"/>
    <w:qFormat/>
    <w:uiPriority w:val="0"/>
    <w:rPr>
      <w:rFonts w:hint="eastAsia" w:ascii="仿宋" w:hAnsi="仿宋" w:eastAsia="仿宋" w:cs="仿宋"/>
      <w:color w:val="000000"/>
      <w:sz w:val="24"/>
      <w:szCs w:val="24"/>
      <w:u w:val="none"/>
      <w:vertAlign w:val="superscript"/>
    </w:rPr>
  </w:style>
  <w:style w:type="character" w:customStyle="1" w:styleId="30">
    <w:name w:val="font11"/>
    <w:basedOn w:val="17"/>
    <w:qFormat/>
    <w:uiPriority w:val="0"/>
    <w:rPr>
      <w:rFonts w:hint="eastAsia" w:ascii="仿宋" w:hAnsi="仿宋" w:eastAsia="仿宋" w:cs="仿宋"/>
      <w:color w:val="000000"/>
      <w:sz w:val="24"/>
      <w:szCs w:val="24"/>
      <w:u w:val="none"/>
    </w:rPr>
  </w:style>
  <w:style w:type="paragraph" w:styleId="31">
    <w:name w:val="List Paragraph"/>
    <w:basedOn w:val="1"/>
    <w:qFormat/>
    <w:uiPriority w:val="99"/>
    <w:pPr>
      <w:ind w:firstLine="420" w:firstLineChars="200"/>
    </w:pPr>
  </w:style>
  <w:style w:type="character" w:customStyle="1" w:styleId="32">
    <w:name w:val="页眉 字符"/>
    <w:basedOn w:val="17"/>
    <w:link w:val="12"/>
    <w:qFormat/>
    <w:uiPriority w:val="0"/>
    <w:rPr>
      <w:kern w:val="2"/>
      <w:sz w:val="18"/>
      <w:szCs w:val="18"/>
    </w:rPr>
  </w:style>
  <w:style w:type="character" w:customStyle="1" w:styleId="33">
    <w:name w:val="页脚 字符"/>
    <w:basedOn w:val="17"/>
    <w:link w:val="11"/>
    <w:qFormat/>
    <w:uiPriority w:val="0"/>
    <w:rPr>
      <w:kern w:val="2"/>
      <w:sz w:val="18"/>
      <w:szCs w:val="18"/>
    </w:rPr>
  </w:style>
  <w:style w:type="character" w:customStyle="1" w:styleId="34">
    <w:name w:val="纯文本 字符"/>
    <w:link w:val="10"/>
    <w:qFormat/>
    <w:uiPriority w:val="99"/>
    <w:rPr>
      <w:rFonts w:ascii="宋体" w:hAnsi="Courier New"/>
      <w:kern w:val="2"/>
      <w:sz w:val="21"/>
    </w:rPr>
  </w:style>
  <w:style w:type="paragraph" w:customStyle="1" w:styleId="35">
    <w:name w:val="样式3"/>
    <w:basedOn w:val="10"/>
    <w:qFormat/>
    <w:uiPriority w:val="0"/>
    <w:pPr>
      <w:spacing w:line="0" w:lineRule="atLeast"/>
      <w:outlineLvl w:val="0"/>
    </w:pPr>
    <w:rPr>
      <w:sz w:val="28"/>
    </w:rPr>
  </w:style>
  <w:style w:type="paragraph" w:customStyle="1" w:styleId="36">
    <w:name w:val="Char"/>
    <w:basedOn w:val="1"/>
    <w:qFormat/>
    <w:uiPriority w:val="0"/>
    <w:pPr>
      <w:tabs>
        <w:tab w:val="left" w:pos="360"/>
      </w:tabs>
    </w:pPr>
    <w:rPr>
      <w:rFonts w:eastAsia="仿宋_GB2312"/>
      <w:color w:val="000000"/>
      <w:sz w:val="24"/>
    </w:rPr>
  </w:style>
  <w:style w:type="paragraph" w:customStyle="1" w:styleId="37">
    <w:name w:val="NormalIndent"/>
    <w:basedOn w:val="1"/>
    <w:qFormat/>
    <w:uiPriority w:val="0"/>
    <w:pPr>
      <w:ind w:firstLine="420" w:firstLineChars="200"/>
    </w:pPr>
  </w:style>
  <w:style w:type="character" w:customStyle="1" w:styleId="38">
    <w:name w:val="right_arrow"/>
    <w:basedOn w:val="17"/>
    <w:qFormat/>
    <w:uiPriority w:val="0"/>
  </w:style>
  <w:style w:type="character" w:customStyle="1" w:styleId="39">
    <w:name w:val="border-orange"/>
    <w:basedOn w:val="17"/>
    <w:qFormat/>
    <w:uiPriority w:val="0"/>
    <w:rPr>
      <w:bdr w:val="single" w:color="FF9800" w:sz="4" w:space="0"/>
    </w:rPr>
  </w:style>
  <w:style w:type="character" w:customStyle="1" w:styleId="40">
    <w:name w:val="last-child"/>
    <w:basedOn w:val="17"/>
    <w:qFormat/>
    <w:uiPriority w:val="0"/>
    <w:rPr>
      <w:color w:val="F41913"/>
      <w:bdr w:val="single" w:color="F41913" w:sz="2" w:space="0"/>
      <w:shd w:val="clear" w:color="auto" w:fill="FFFFFF"/>
    </w:rPr>
  </w:style>
  <w:style w:type="character" w:customStyle="1" w:styleId="41">
    <w:name w:val="first-child"/>
    <w:basedOn w:val="17"/>
    <w:qFormat/>
    <w:uiPriority w:val="0"/>
    <w:rPr>
      <w:color w:val="FFFFFF"/>
      <w:shd w:val="clear" w:color="auto" w:fill="F41913"/>
    </w:rPr>
  </w:style>
  <w:style w:type="character" w:customStyle="1" w:styleId="42">
    <w:name w:val="border-dash"/>
    <w:basedOn w:val="17"/>
    <w:qFormat/>
    <w:uiPriority w:val="0"/>
    <w:rPr>
      <w:bdr w:val="dashed" w:color="C3C3C3" w:sz="4" w:space="0"/>
    </w:rPr>
  </w:style>
  <w:style w:type="character" w:customStyle="1" w:styleId="43">
    <w:name w:val="button2"/>
    <w:basedOn w:val="17"/>
    <w:qFormat/>
    <w:uiPriority w:val="0"/>
  </w:style>
  <w:style w:type="character" w:customStyle="1" w:styleId="44">
    <w:name w:val="button3"/>
    <w:basedOn w:val="17"/>
    <w:qFormat/>
    <w:uiPriority w:val="0"/>
  </w:style>
  <w:style w:type="character" w:customStyle="1" w:styleId="45">
    <w:name w:val="coll"/>
    <w:basedOn w:val="17"/>
    <w:qFormat/>
    <w:uiPriority w:val="0"/>
    <w:rPr>
      <w:color w:val="FFFFFF"/>
      <w:shd w:val="clear" w:color="auto" w:fill="FFB638"/>
    </w:rPr>
  </w:style>
  <w:style w:type="character" w:customStyle="1" w:styleId="46">
    <w:name w:val="closed"/>
    <w:basedOn w:val="17"/>
    <w:qFormat/>
    <w:uiPriority w:val="0"/>
    <w:rPr>
      <w:shd w:val="clear" w:color="auto" w:fill="F7F7F7"/>
    </w:rPr>
  </w:style>
  <w:style w:type="character" w:customStyle="1" w:styleId="47">
    <w:name w:val="tmpztreemove_arrow"/>
    <w:basedOn w:val="17"/>
    <w:qFormat/>
    <w:uiPriority w:val="0"/>
  </w:style>
  <w:style w:type="paragraph" w:customStyle="1" w:styleId="48">
    <w:name w:val="样式 首行缩进:  0 字符"/>
    <w:basedOn w:val="1"/>
    <w:qFormat/>
    <w:uiPriority w:val="0"/>
    <w:pPr>
      <w:spacing w:line="360" w:lineRule="auto"/>
      <w:ind w:firstLine="200" w:firstLineChars="200"/>
    </w:pPr>
    <w:rPr>
      <w:rFonts w:ascii="Arial" w:hAnsi="Arial" w:cs="宋体"/>
      <w:sz w:val="24"/>
      <w:szCs w:val="20"/>
    </w:rPr>
  </w:style>
  <w:style w:type="character" w:customStyle="1" w:styleId="49">
    <w:name w:val="failed"/>
    <w:basedOn w:val="17"/>
    <w:qFormat/>
    <w:uiPriority w:val="0"/>
    <w:rPr>
      <w:color w:val="FF0000"/>
    </w:rPr>
  </w:style>
  <w:style w:type="character" w:customStyle="1" w:styleId="50">
    <w:name w:val="hint"/>
    <w:basedOn w:val="17"/>
    <w:qFormat/>
    <w:uiPriority w:val="0"/>
    <w:rPr>
      <w:color w:val="E47C62"/>
    </w:rPr>
  </w:style>
  <w:style w:type="character" w:customStyle="1" w:styleId="51">
    <w:name w:val="gap"/>
    <w:basedOn w:val="17"/>
    <w:qFormat/>
    <w:uiPriority w:val="0"/>
    <w:rPr>
      <w:u w:val="none"/>
      <w:bdr w:val="single" w:color="DDDDDD" w:sz="2" w:space="0"/>
    </w:rPr>
  </w:style>
  <w:style w:type="character" w:customStyle="1" w:styleId="52">
    <w:name w:val="current"/>
    <w:basedOn w:val="17"/>
    <w:qFormat/>
    <w:uiPriority w:val="0"/>
    <w:rPr>
      <w:color w:val="FF0000"/>
      <w:u w:val="none"/>
      <w:bdr w:val="single" w:color="DDDDDD" w:sz="2" w:space="0"/>
    </w:rPr>
  </w:style>
  <w:style w:type="character" w:customStyle="1" w:styleId="53">
    <w:name w:val="success"/>
    <w:basedOn w:val="17"/>
    <w:qFormat/>
    <w:uiPriority w:val="0"/>
    <w:rPr>
      <w:color w:val="008000"/>
    </w:rPr>
  </w:style>
  <w:style w:type="character" w:customStyle="1" w:styleId="54">
    <w:name w:val="button"/>
    <w:basedOn w:val="17"/>
    <w:qFormat/>
    <w:uiPriority w:val="0"/>
  </w:style>
  <w:style w:type="paragraph" w:customStyle="1" w:styleId="55">
    <w:name w:val="Default"/>
    <w:next w:val="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56">
    <w:name w:val="hint2"/>
    <w:basedOn w:val="17"/>
    <w:qFormat/>
    <w:uiPriority w:val="0"/>
    <w:rPr>
      <w:color w:val="E47C62"/>
    </w:rPr>
  </w:style>
  <w:style w:type="character" w:customStyle="1" w:styleId="57">
    <w:name w:val="font51"/>
    <w:basedOn w:val="17"/>
    <w:qFormat/>
    <w:uiPriority w:val="0"/>
    <w:rPr>
      <w:rFonts w:hint="eastAsia" w:ascii="宋体" w:hAnsi="宋体" w:eastAsia="宋体" w:cs="宋体"/>
      <w:color w:val="000000"/>
      <w:sz w:val="22"/>
      <w:szCs w:val="22"/>
      <w:u w:val="none"/>
    </w:rPr>
  </w:style>
  <w:style w:type="character" w:customStyle="1" w:styleId="58">
    <w:name w:val="font21"/>
    <w:basedOn w:val="17"/>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4284</Words>
  <Characters>4426</Characters>
  <Lines>40</Lines>
  <Paragraphs>11</Paragraphs>
  <TotalTime>23</TotalTime>
  <ScaleCrop>false</ScaleCrop>
  <LinksUpToDate>false</LinksUpToDate>
  <CharactersWithSpaces>4688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2020-11-18T07:02:00Z</dcterms:created>
  <dc:creator>或许很悻福</dc:creator>
  <cp:lastModifiedBy>随便起起</cp:lastModifiedBy>
  <cp:lastPrinted>2023-04-24T09:17:22Z</cp:lastPrinted>
  <dcterms:modified xsi:type="dcterms:W3CDTF">2023-04-24T09:29:46Z</dcterms:modified>
  <cp:revision>145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94AFF64CDEEE46F5861ADC1831938BCB</vt:lpwstr>
  </property>
</Properties>
</file>