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950" w:firstLine="3040"/>
        <w:rPr>
          <w:rFonts w:ascii="宋体" w:eastAsia="宋体" w:hAnsi="宋体" w:cs="Times New Roman" w:hint="eastAsia"/>
          <w:sz w:val="32"/>
          <w:szCs w:val="20"/>
        </w:rPr>
      </w:pPr>
      <w:r w:rsidRPr="00CA6B00">
        <w:rPr>
          <w:rFonts w:ascii="宋体" w:eastAsia="宋体" w:hAnsi="宋体" w:cs="Times New Roman" w:hint="eastAsia"/>
          <w:sz w:val="32"/>
          <w:szCs w:val="20"/>
        </w:rPr>
        <w:t>皋财监〔2018〕7号</w:t>
      </w:r>
    </w:p>
    <w:p w:rsidR="00CA6B00" w:rsidRPr="00CA6B00" w:rsidRDefault="00CA6B00" w:rsidP="00CA6B00">
      <w:pPr>
        <w:overflowPunct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Times" w:cs="Times New Roman" w:hint="eastAsia"/>
          <w:sz w:val="36"/>
          <w:szCs w:val="20"/>
        </w:rPr>
      </w:pPr>
    </w:p>
    <w:p w:rsidR="00CA6B00" w:rsidRPr="00CA6B00" w:rsidRDefault="00CA6B00" w:rsidP="00CA6B00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宋体" w:cs="Times New Roman" w:hint="eastAsia"/>
          <w:sz w:val="44"/>
          <w:szCs w:val="20"/>
        </w:rPr>
      </w:pPr>
      <w:r w:rsidRPr="00CA6B00">
        <w:rPr>
          <w:rFonts w:ascii="方正小标宋简体" w:eastAsia="方正小标宋简体" w:hAnsi="宋体" w:cs="Times New Roman" w:hint="eastAsia"/>
          <w:kern w:val="0"/>
          <w:sz w:val="44"/>
          <w:szCs w:val="20"/>
        </w:rPr>
        <w:t>如皋市财政局财政检查整改通知</w:t>
      </w:r>
    </w:p>
    <w:p w:rsidR="00CA6B00" w:rsidRPr="00CA6B00" w:rsidRDefault="00CA6B00" w:rsidP="00CA6B00">
      <w:pPr>
        <w:overflowPunct w:val="0"/>
        <w:snapToGrid w:val="0"/>
        <w:spacing w:beforeLines="50" w:line="540" w:lineRule="exact"/>
        <w:rPr>
          <w:rFonts w:ascii="仿宋_GB2312" w:eastAsia="仿宋_GB2312" w:hAnsi="Times" w:cs="Times New Roman" w:hint="eastAsia"/>
          <w:sz w:val="32"/>
          <w:szCs w:val="32"/>
        </w:rPr>
      </w:pPr>
    </w:p>
    <w:p w:rsidR="00CA6B00" w:rsidRPr="00CA6B00" w:rsidRDefault="00CA6B00" w:rsidP="00CA6B00">
      <w:pPr>
        <w:overflowPunct w:val="0"/>
        <w:snapToGrid w:val="0"/>
        <w:spacing w:line="540" w:lineRule="exact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_GB2312" w:eastAsia="仿宋_GB2312" w:hAnsi="Times New Roman" w:cs="Times New Roman" w:hint="eastAsia"/>
          <w:kern w:val="0"/>
          <w:sz w:val="32"/>
          <w:szCs w:val="20"/>
        </w:rPr>
        <w:t>如皋市水绘园风景区管理处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：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根据《中华人民共和国会计法》、《中华人民共和国预算法》、《财政部门实施会计监督办法》的有关规定，按照《关于开展会计监督检查工作的通知》（皋财监</w:t>
      </w:r>
      <w:r w:rsidRPr="00CA6B00">
        <w:rPr>
          <w:rFonts w:ascii="宋体" w:eastAsia="宋体" w:hAnsi="宋体" w:cs="Times New Roman" w:hint="eastAsia"/>
          <w:sz w:val="32"/>
          <w:szCs w:val="20"/>
        </w:rPr>
        <w:t>〔2018〕4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号）的部署要求，我局派出检查组于2018年10月10日至10月19日对你单位2017年度会计信息质量和财务管理情况进行了检查。现将检查情况通报如下。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10" w:firstLine="672"/>
        <w:rPr>
          <w:rFonts w:ascii="黑体" w:eastAsia="黑体" w:hAnsi="黑体" w:cs="Times New Roman" w:hint="eastAsia"/>
          <w:bCs/>
          <w:kern w:val="0"/>
          <w:sz w:val="32"/>
          <w:szCs w:val="32"/>
        </w:rPr>
      </w:pPr>
      <w:r w:rsidRPr="00CA6B00">
        <w:rPr>
          <w:rFonts w:ascii="黑体" w:eastAsia="黑体" w:hAnsi="黑体" w:cs="Times New Roman" w:hint="eastAsia"/>
          <w:bCs/>
          <w:kern w:val="0"/>
          <w:sz w:val="32"/>
          <w:szCs w:val="32"/>
        </w:rPr>
        <w:t>一、检查中发现的主要问题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150" w:firstLine="480"/>
        <w:jc w:val="left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CA6B00">
        <w:rPr>
          <w:rFonts w:ascii="楷体" w:eastAsia="楷体" w:hAnsi="楷体" w:cs="Times New Roman" w:hint="eastAsia"/>
          <w:bCs/>
          <w:kern w:val="0"/>
          <w:sz w:val="32"/>
          <w:szCs w:val="32"/>
        </w:rPr>
        <w:t>（一）在执行津补贴发放方面存在的问题。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未经相关部门审批发放节假日、休息日加班工资。2017年共发放节假日、休息日加班工资54.03万元，无相关部门审批手续。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150" w:firstLine="480"/>
        <w:jc w:val="left"/>
        <w:rPr>
          <w:rFonts w:ascii="楷体" w:eastAsia="楷体" w:hAnsi="楷体" w:cs="Times New Roman"/>
          <w:bCs/>
          <w:kern w:val="0"/>
          <w:sz w:val="32"/>
          <w:szCs w:val="32"/>
        </w:rPr>
      </w:pPr>
      <w:r w:rsidRPr="00CA6B00">
        <w:rPr>
          <w:rFonts w:ascii="楷体" w:eastAsia="楷体" w:hAnsi="楷体" w:cs="Times New Roman" w:hint="eastAsia"/>
          <w:bCs/>
          <w:kern w:val="0"/>
          <w:sz w:val="32"/>
          <w:szCs w:val="32"/>
        </w:rPr>
        <w:t>（二）财务管理及会计核算管理中存在的问题。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lastRenderedPageBreak/>
        <w:t>1.往来清理不及时。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账面反映的其他应收款为77.14万元，其他应付款为409.17万元，大部分为以前年度结转，往来长期挂账未及时清理。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2.部分票据支出审核审批不规范。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部分费用报支经办人、证明人未在原始凭证上签字，在单据粘贴簿上进行审核审批，审批人未签注报销费用大写金额，粘贴簿上经办人、证明人、单据张数等要素填列不齐全。如：2017年1月份33#凭证支出春节购买灯笼2945元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3.维修改造工程未履行政府采购手续。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如：2017年1月62#凭证支出游路修整、索桥改造工程款19.49万元。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4.租金收入票据使用不规范。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使用普通收款收据收取商铺租金和公园内场地外包租金，收据上未明确具体租金收缴期间。如：2017年1月65#凭证收德胜斋房租收入64600元。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5.部门决算数与账表不相符。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部门决算报表编报数与账面反映的数据不相符，年末上缴上级支出</w:t>
      </w:r>
      <w:r w:rsidRPr="00CA6B00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491.37万元，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未结转事业结余。如：账面反映财政补助收入159.31万元、事业收入1063.51万元、事业支出1189.81万元，决算报表反映财政补助收入100万元、事业收入1095.55万元、事业支出1180.82万元。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6.各项社保及住房公积金扣缴核算不准确。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单位代缴的个人应缴社保款和住房公积金与代扣金额不一致，年初借方余额为4.44万元，年末借方余额为5.58万元，社保与公积金扣缴未分开核算，同在“其他应付款-代垫社保费用”科目中核算。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7.专项资金收支科目未能一一对应且未及时结转。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2017年“拨入专款”科目上年结转192.5万元，明细科目分别为：土管局、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lastRenderedPageBreak/>
        <w:t>土地储备中心、钢球厂拨地置换、旅游局，“专款支出”科目上年结转108.02万元，明细科目分别为：西大门门堂、动物园改造、水绘园改造、一会两节专款，收入与支出科目未形成一一对应关系，2017年全年该科目未发生收支活动，年末收支仍未结转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8.部分会计科目使用不准确,原始凭证及附件手续不全。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如： 2017年1月41#凭证支零星用工劳务费8840元，记“事业支出-工资福利支出-***-临时工工资”，应记“事业支出-商品和服务支出-劳务费”；2017年1月75#凭证支银行手续费230元，记“事业支出-商品和服务支出-办公费-其他”，应记“事业支出-商品和服务支出-手续费”。支出动物饲料费用等原始发票、证明人等手续不齐全，如：2017年1月45#凭证支出购买锦鲤及饲料费用2110元，用经费支出报销表作原始支出凭据；2017年4月50#凭证支出动物园饲料款6064.60元，签收单无证明人。</w:t>
      </w:r>
    </w:p>
    <w:p w:rsidR="00CA6B00" w:rsidRPr="00CA6B00" w:rsidRDefault="00CA6B00" w:rsidP="00CA6B00">
      <w:pPr>
        <w:widowControl/>
        <w:overflowPunct w:val="0"/>
        <w:snapToGrid w:val="0"/>
        <w:spacing w:line="560" w:lineRule="exact"/>
        <w:ind w:firstLineChars="150" w:firstLine="480"/>
        <w:jc w:val="left"/>
        <w:rPr>
          <w:rFonts w:ascii="黑体" w:eastAsia="黑体" w:hAnsi="黑体" w:cs="Times New Roman" w:hint="eastAsia"/>
          <w:bCs/>
          <w:kern w:val="0"/>
          <w:sz w:val="32"/>
          <w:szCs w:val="32"/>
        </w:rPr>
      </w:pPr>
      <w:r w:rsidRPr="00CA6B00">
        <w:rPr>
          <w:rFonts w:ascii="黑体" w:eastAsia="黑体" w:hAnsi="黑体" w:cs="Times New Roman" w:hint="eastAsia"/>
          <w:bCs/>
          <w:kern w:val="0"/>
          <w:sz w:val="32"/>
          <w:szCs w:val="32"/>
        </w:rPr>
        <w:t>二、整改意见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楷体" w:eastAsia="楷体" w:hAnsi="楷体" w:cs="Times New Roman" w:hint="eastAsia"/>
          <w:sz w:val="32"/>
          <w:szCs w:val="32"/>
        </w:rPr>
      </w:pPr>
      <w:r w:rsidRPr="00CA6B00">
        <w:rPr>
          <w:rFonts w:ascii="楷体" w:eastAsia="楷体" w:hAnsi="楷体" w:cs="Times New Roman" w:hint="eastAsia"/>
          <w:sz w:val="32"/>
          <w:szCs w:val="32"/>
        </w:rPr>
        <w:t>（一）严格执行津补贴发放规定，健全工作管理制度。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楷体" w:eastAsia="楷体" w:hAnsi="楷体" w:cs="Times New Roman" w:hint="eastAsia"/>
          <w:sz w:val="32"/>
          <w:szCs w:val="32"/>
        </w:rPr>
      </w:pPr>
      <w:r w:rsidRPr="00CA6B00">
        <w:rPr>
          <w:rFonts w:ascii="仿宋" w:eastAsia="仿宋" w:hAnsi="仿宋" w:cs="Times New Roman" w:hint="eastAsia"/>
          <w:sz w:val="32"/>
          <w:szCs w:val="32"/>
        </w:rPr>
        <w:t>对检查中发现的无相关部门审批发放加班工资的问题，应按照津补贴发放规定进行整改，对无依据发放的加班工资要予以清退。应建立健全工作管理制度，制定节假日、休息日轮休、补休制度，维护工作秩序，提高工作效率，控减运营成本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10" w:firstLine="672"/>
        <w:rPr>
          <w:rFonts w:ascii="楷体" w:eastAsia="楷体" w:hAnsi="楷体" w:cs="Times New Roman" w:hint="eastAsia"/>
          <w:sz w:val="32"/>
          <w:szCs w:val="32"/>
        </w:rPr>
      </w:pPr>
      <w:r w:rsidRPr="00CA6B00">
        <w:rPr>
          <w:rFonts w:ascii="楷体" w:eastAsia="楷体" w:hAnsi="楷体" w:cs="Times New Roman" w:hint="eastAsia"/>
          <w:sz w:val="32"/>
          <w:szCs w:val="32"/>
        </w:rPr>
        <w:t>（二）加强非税收入管理，正确使用合法票据。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依据《财政部关于加强政府非税收入管理的通知》规定，政府非税收入来源中按照国家有关规定需要依法纳税的，应按税务部门的规定使用税务发票，并将缴纳税款后的政府非税收入全额上缴国库或财政专户。国家税收法律法规和税收政策明确规定，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lastRenderedPageBreak/>
        <w:t>行政事业单位存在出租房屋行为的，应作为纳税义务人，依法主动申报缴纳相关税费。单位</w:t>
      </w:r>
      <w:r w:rsidRPr="00CA6B00">
        <w:rPr>
          <w:rFonts w:ascii="仿宋_GB2312" w:eastAsia="仿宋_GB2312" w:hAnsi="宋体" w:cs="Times New Roman" w:hint="eastAsia"/>
          <w:bCs/>
          <w:kern w:val="0"/>
          <w:sz w:val="32"/>
          <w:szCs w:val="32"/>
        </w:rPr>
        <w:t>收取的商铺租金和公园内场地外包租金应使用合法票据，并填全要素，标明租金归属期。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160" w:firstLine="512"/>
        <w:jc w:val="left"/>
        <w:rPr>
          <w:rFonts w:ascii="楷体" w:eastAsia="楷体" w:hAnsi="楷体" w:cs="Times New Roman" w:hint="eastAsia"/>
          <w:bCs/>
          <w:kern w:val="0"/>
          <w:sz w:val="32"/>
          <w:szCs w:val="32"/>
        </w:rPr>
      </w:pPr>
      <w:r w:rsidRPr="00CA6B00">
        <w:rPr>
          <w:rFonts w:ascii="楷体" w:eastAsia="楷体" w:hAnsi="楷体" w:cs="Times New Roman" w:hint="eastAsia"/>
          <w:bCs/>
          <w:kern w:val="0"/>
          <w:sz w:val="32"/>
          <w:szCs w:val="32"/>
        </w:rPr>
        <w:t>（三）加强会计基础工作，规范会计核算行为。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160" w:firstLine="512"/>
        <w:jc w:val="left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楷体" w:eastAsia="楷体" w:hAnsi="楷体" w:cs="Times New Roman" w:hint="eastAsia"/>
          <w:bCs/>
          <w:kern w:val="0"/>
          <w:sz w:val="32"/>
          <w:szCs w:val="32"/>
        </w:rPr>
        <w:t xml:space="preserve"> </w:t>
      </w: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1.认真核查，及时清理往来账款。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健全往来管理制度，增强往来清理意识，对长期挂账的往来，应查明原因、分清责任，逐笔分析并清理落实到位，对确实无法收回的呆账、死账，要依照国家现行规定进行处理。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210" w:firstLine="672"/>
        <w:jc w:val="left"/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2.规范政府采购行为，完善政府采购手续。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根据《中华人民共和国政府采购法》规定，采购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限额标准以上的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货物、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工程和服务的行为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，必须履行政府采购法定程序。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bCs/>
          <w:kern w:val="0"/>
          <w:sz w:val="32"/>
          <w:szCs w:val="32"/>
        </w:rPr>
        <w:t>3.加强专项资金管理，保证资金专项专用。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专项资金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是财政部门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或上级部门下拨</w:t>
      </w:r>
      <w:hyperlink r:id="rId6" w:tgtFrame="_blank" w:history="1">
        <w:r w:rsidRPr="00CA6B00">
          <w:rPr>
            <w:rFonts w:ascii="仿宋_GB2312" w:eastAsia="仿宋_GB2312" w:hAnsi="仿宋" w:cs="Times New Roman"/>
            <w:bCs/>
            <w:kern w:val="0"/>
            <w:sz w:val="32"/>
            <w:szCs w:val="32"/>
          </w:rPr>
          <w:t>行政事业单位</w:t>
        </w:r>
      </w:hyperlink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具有专门指定用途或特殊用途的资金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，必须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按规定的用途</w:t>
      </w:r>
      <w:hyperlink r:id="rId7" w:tgtFrame="_blank" w:history="1">
        <w:r w:rsidRPr="00CA6B00">
          <w:rPr>
            <w:rFonts w:ascii="仿宋_GB2312" w:eastAsia="仿宋_GB2312" w:hAnsi="仿宋" w:cs="Times New Roman"/>
            <w:bCs/>
            <w:kern w:val="0"/>
            <w:sz w:val="32"/>
            <w:szCs w:val="32"/>
          </w:rPr>
          <w:t>专款专用</w:t>
        </w:r>
      </w:hyperlink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，</w:t>
      </w:r>
      <w:r w:rsidRPr="00CA6B00">
        <w:rPr>
          <w:rFonts w:ascii="仿宋_GB2312" w:eastAsia="仿宋_GB2312" w:hAnsi="仿宋" w:cs="Times New Roman"/>
          <w:bCs/>
          <w:kern w:val="0"/>
          <w:sz w:val="32"/>
          <w:szCs w:val="32"/>
        </w:rPr>
        <w:t>不得移作他用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，对已完工项目，应当将“拨入专款”与“专款支出”相应余额对冲，对冲后拨入专款有余额的，应按照拨款单位的规定处理。</w:t>
      </w:r>
    </w:p>
    <w:p w:rsidR="00CA6B00" w:rsidRPr="00CA6B00" w:rsidRDefault="00CA6B00" w:rsidP="00CA6B00">
      <w:pPr>
        <w:widowControl/>
        <w:overflowPunct w:val="0"/>
        <w:snapToGrid w:val="0"/>
        <w:spacing w:line="540" w:lineRule="exact"/>
        <w:ind w:firstLineChars="210" w:firstLine="672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kern w:val="0"/>
          <w:sz w:val="32"/>
          <w:szCs w:val="32"/>
        </w:rPr>
        <w:t>4.规范社保、公积金等扣缴款核算。</w:t>
      </w:r>
      <w:r w:rsidRPr="00CA6B00">
        <w:rPr>
          <w:rFonts w:ascii="仿宋" w:eastAsia="仿宋" w:hAnsi="仿宋" w:cs="Times New Roman" w:hint="eastAsia"/>
          <w:kern w:val="0"/>
          <w:sz w:val="32"/>
          <w:szCs w:val="32"/>
        </w:rPr>
        <w:t>对扣缴的应由个人负担的医疗保险、失业保险等社保及公积金重新进行核算，确保缴纳数与个人负担数一致。</w:t>
      </w:r>
    </w:p>
    <w:p w:rsidR="00CA6B00" w:rsidRPr="00CA6B00" w:rsidRDefault="00CA6B00" w:rsidP="00CA6B00">
      <w:pPr>
        <w:overflowPunct w:val="0"/>
        <w:snapToGrid w:val="0"/>
        <w:spacing w:line="560" w:lineRule="exact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宋体" w:eastAsia="宋体" w:hAnsi="宋体" w:cs="Times New Roman" w:hint="eastAsia"/>
          <w:kern w:val="0"/>
          <w:sz w:val="32"/>
          <w:szCs w:val="32"/>
        </w:rPr>
        <w:t>5.核准原始凭证，正确使用会计科目，保证决算报告真实。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依据《中华人民共和国会计法》第十四条规定认真审核原始凭证，规范支出票据，所有支出报销的凭证必须有经办人、证明人签字，确保原始凭证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反映真实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、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内容完整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、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手续完备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。</w:t>
      </w:r>
      <w:r w:rsidRPr="00CA6B00">
        <w:rPr>
          <w:rFonts w:ascii="仿宋" w:eastAsia="仿宋" w:hAnsi="仿宋" w:cs="Times New Roman" w:hint="eastAsia"/>
          <w:kern w:val="0"/>
          <w:sz w:val="32"/>
          <w:szCs w:val="32"/>
        </w:rPr>
        <w:t>要按照政府分类改革的相关要求设置会计科目，分清每项支出的项目类型和资金来源，进行会计核算，年末收支应及时结转，真实完整反映当年</w:t>
      </w:r>
      <w:r w:rsidRPr="00CA6B00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收支情况，同时严格按照会计账簿填列决算报表，使决算报表真实客观。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请你单位在收到本通知书之后认真进行整改，并在30日内将整改情况书面报告我局。</w:t>
      </w: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</w:p>
    <w:p w:rsidR="00CA6B00" w:rsidRPr="00CA6B00" w:rsidRDefault="00CA6B00" w:rsidP="00CA6B00">
      <w:pPr>
        <w:overflowPunct w:val="0"/>
        <w:snapToGrid w:val="0"/>
        <w:spacing w:line="540" w:lineRule="exact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</w:p>
    <w:p w:rsidR="00CA6B00" w:rsidRPr="00CA6B00" w:rsidRDefault="00CA6B00" w:rsidP="00CA6B00">
      <w:pPr>
        <w:overflowPunct w:val="0"/>
        <w:snapToGrid w:val="0"/>
        <w:spacing w:line="540" w:lineRule="exact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</w:p>
    <w:p w:rsidR="00CA6B00" w:rsidRPr="00CA6B00" w:rsidRDefault="00CA6B00" w:rsidP="00CA6B00">
      <w:pPr>
        <w:overflowPunct w:val="0"/>
        <w:snapToGrid w:val="0"/>
        <w:spacing w:line="540" w:lineRule="exact"/>
        <w:ind w:firstLineChars="1560" w:firstLine="4992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201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8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年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11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月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>5</w:t>
      </w:r>
      <w:r w:rsidRPr="00CA6B00">
        <w:rPr>
          <w:rFonts w:ascii="仿宋" w:eastAsia="仿宋" w:hAnsi="仿宋" w:cs="Times New Roman"/>
          <w:bCs/>
          <w:kern w:val="0"/>
          <w:sz w:val="32"/>
          <w:szCs w:val="32"/>
        </w:rPr>
        <w:t>日</w:t>
      </w: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 xml:space="preserve">  </w:t>
      </w:r>
    </w:p>
    <w:p w:rsidR="00CA6B00" w:rsidRPr="00CA6B00" w:rsidRDefault="00CA6B00" w:rsidP="00CA6B00">
      <w:pPr>
        <w:overflowPunct w:val="0"/>
        <w:snapToGrid w:val="0"/>
        <w:spacing w:line="540" w:lineRule="exact"/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</w:pPr>
      <w:r w:rsidRPr="00CA6B00">
        <w:rPr>
          <w:rFonts w:ascii="仿宋" w:eastAsia="仿宋" w:hAnsi="仿宋" w:cs="Times New Roman" w:hint="eastAsia"/>
          <w:bCs/>
          <w:kern w:val="0"/>
          <w:sz w:val="32"/>
          <w:szCs w:val="32"/>
        </w:rPr>
        <w:t xml:space="preserve">                                              </w:t>
      </w:r>
      <w:r w:rsidRPr="00CA6B00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 xml:space="preserve">    </w:t>
      </w:r>
    </w:p>
    <w:p w:rsidR="00D515C4" w:rsidRDefault="00D515C4"/>
    <w:sectPr w:rsidR="00D515C4" w:rsidSect="00EA6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851" w:footer="992" w:gutter="0"/>
      <w:cols w:space="425"/>
      <w:docGrid w:type="lines" w:linePitch="436" w:charSpace="25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C4" w:rsidRDefault="00D515C4" w:rsidP="00CA6B00">
      <w:r>
        <w:separator/>
      </w:r>
    </w:p>
  </w:endnote>
  <w:endnote w:type="continuationSeparator" w:id="1">
    <w:p w:rsidR="00D515C4" w:rsidRDefault="00D515C4" w:rsidP="00CA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37" w:rsidRDefault="00D515C4" w:rsidP="00556966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437" w:rsidRDefault="00D515C4" w:rsidP="0008643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37" w:rsidRDefault="00D515C4" w:rsidP="00556966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B00">
      <w:rPr>
        <w:rStyle w:val="a5"/>
        <w:noProof/>
      </w:rPr>
      <w:t>1</w:t>
    </w:r>
    <w:r>
      <w:rPr>
        <w:rStyle w:val="a5"/>
      </w:rPr>
      <w:fldChar w:fldCharType="end"/>
    </w:r>
  </w:p>
  <w:p w:rsidR="00086437" w:rsidRDefault="00D515C4" w:rsidP="005E42E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FB" w:rsidRDefault="00D515C4" w:rsidP="009775F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C4" w:rsidRDefault="00D515C4" w:rsidP="00CA6B00">
      <w:r>
        <w:separator/>
      </w:r>
    </w:p>
  </w:footnote>
  <w:footnote w:type="continuationSeparator" w:id="1">
    <w:p w:rsidR="00D515C4" w:rsidRDefault="00D515C4" w:rsidP="00CA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FB" w:rsidRDefault="00D515C4" w:rsidP="00461672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FB" w:rsidRDefault="00D515C4" w:rsidP="005E42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FB" w:rsidRDefault="00D515C4" w:rsidP="009775F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B00"/>
    <w:rsid w:val="00CA6B00"/>
    <w:rsid w:val="00D5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B00"/>
    <w:rPr>
      <w:sz w:val="18"/>
      <w:szCs w:val="18"/>
    </w:rPr>
  </w:style>
  <w:style w:type="character" w:styleId="a5">
    <w:name w:val="page number"/>
    <w:basedOn w:val="a0"/>
    <w:rsid w:val="00CA6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8%93%E6%AC%BE%E4%B8%93%E7%94%A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A1%8C%E6%94%BF%E4%BA%8B%E4%B8%9A%E5%8D%95%E4%BD%8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2018-11-16T01:45:00Z</dcterms:created>
  <dcterms:modified xsi:type="dcterms:W3CDTF">2018-11-16T01:45:00Z</dcterms:modified>
</cp:coreProperties>
</file>