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0"/>
          <w:szCs w:val="30"/>
        </w:rPr>
      </w:pPr>
      <w:r>
        <w:rPr>
          <w:rFonts w:hint="eastAsia" w:ascii="方正小标宋简体" w:eastAsia="方正小标宋简体"/>
          <w:sz w:val="30"/>
          <w:szCs w:val="30"/>
        </w:rPr>
        <w:t>《如皋市</w:t>
      </w:r>
      <w:r>
        <w:rPr>
          <w:rFonts w:hint="eastAsia" w:ascii="方正小标宋简体" w:eastAsia="方正小标宋简体"/>
          <w:sz w:val="30"/>
          <w:szCs w:val="30"/>
          <w:lang w:val="en-US" w:eastAsia="zh-CN"/>
        </w:rPr>
        <w:t>城乡</w:t>
      </w:r>
      <w:r>
        <w:rPr>
          <w:rFonts w:hint="eastAsia" w:ascii="方正小标宋简体" w:eastAsia="方正小标宋简体"/>
          <w:sz w:val="30"/>
          <w:szCs w:val="30"/>
        </w:rPr>
        <w:t>环境卫生</w:t>
      </w:r>
      <w:r>
        <w:rPr>
          <w:rFonts w:hint="eastAsia" w:ascii="方正小标宋简体" w:eastAsia="方正小标宋简体"/>
          <w:sz w:val="30"/>
          <w:szCs w:val="30"/>
          <w:lang w:val="en-US" w:eastAsia="zh-CN"/>
        </w:rPr>
        <w:t>及垃圾分类</w:t>
      </w:r>
      <w:r>
        <w:rPr>
          <w:rFonts w:hint="eastAsia" w:ascii="方正小标宋简体" w:eastAsia="方正小标宋简体"/>
          <w:sz w:val="30"/>
          <w:szCs w:val="30"/>
        </w:rPr>
        <w:t>专项规划（2022-2035）》</w:t>
      </w:r>
    </w:p>
    <w:p>
      <w:pPr>
        <w:spacing w:line="360" w:lineRule="auto"/>
        <w:jc w:val="center"/>
        <w:rPr>
          <w:rFonts w:hint="eastAsia" w:eastAsia="方正小标宋简体"/>
          <w:sz w:val="30"/>
          <w:szCs w:val="30"/>
          <w:lang w:eastAsia="zh-CN"/>
        </w:rPr>
      </w:pPr>
      <w:r>
        <w:rPr>
          <w:rFonts w:hint="eastAsia" w:ascii="方正小标宋简体" w:eastAsia="方正小标宋简体"/>
          <w:sz w:val="30"/>
          <w:szCs w:val="30"/>
          <w:lang w:val="en-US" w:eastAsia="zh-CN"/>
        </w:rPr>
        <w:t>批前公示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eastAsia="仿宋_GB2312" w:cs="Times New Roman"/>
          <w:sz w:val="28"/>
          <w:szCs w:val="28"/>
        </w:rPr>
      </w:pPr>
      <w:r>
        <w:rPr>
          <w:rFonts w:hint="eastAsia" w:eastAsia="仿宋_GB2312"/>
          <w:sz w:val="28"/>
          <w:szCs w:val="28"/>
        </w:rPr>
        <w:t>为适应如皋市城镇发展要求，确定不同时期城市环境卫生发展目标和发展任务，合理布局城市环境卫生设施</w:t>
      </w:r>
      <w:r>
        <w:rPr>
          <w:rFonts w:hint="eastAsia" w:eastAsia="仿宋_GB2312"/>
          <w:sz w:val="28"/>
          <w:szCs w:val="28"/>
          <w:lang w:eastAsia="zh-CN"/>
        </w:rPr>
        <w:t>，</w:t>
      </w:r>
      <w:r>
        <w:rPr>
          <w:rFonts w:hint="eastAsia" w:ascii="Times New Roman" w:hAnsi="Times New Roman" w:eastAsia="仿宋_GB2312" w:cs="Times New Roman"/>
          <w:sz w:val="28"/>
          <w:szCs w:val="28"/>
          <w:lang w:val="en-US" w:eastAsia="zh-CN"/>
        </w:rPr>
        <w:t>我</w:t>
      </w:r>
      <w:r>
        <w:rPr>
          <w:rFonts w:hint="eastAsia" w:ascii="Times New Roman" w:hAnsi="Times New Roman" w:eastAsia="仿宋_GB2312" w:cs="Times New Roman"/>
          <w:sz w:val="28"/>
          <w:szCs w:val="28"/>
        </w:rPr>
        <w:t>局特组织编制《如皋市</w:t>
      </w:r>
      <w:r>
        <w:rPr>
          <w:rFonts w:hint="eastAsia" w:ascii="Times New Roman" w:hAnsi="Times New Roman" w:eastAsia="仿宋_GB2312" w:cs="Times New Roman"/>
          <w:sz w:val="28"/>
          <w:szCs w:val="28"/>
          <w:lang w:val="en-US" w:eastAsia="zh-CN"/>
        </w:rPr>
        <w:t>城乡</w:t>
      </w:r>
      <w:r>
        <w:rPr>
          <w:rFonts w:hint="eastAsia" w:ascii="Times New Roman" w:hAnsi="Times New Roman" w:eastAsia="仿宋_GB2312" w:cs="Times New Roman"/>
          <w:sz w:val="28"/>
          <w:szCs w:val="28"/>
        </w:rPr>
        <w:t>环境卫生</w:t>
      </w:r>
      <w:r>
        <w:rPr>
          <w:rFonts w:hint="eastAsia" w:ascii="Times New Roman" w:hAnsi="Times New Roman" w:eastAsia="仿宋_GB2312" w:cs="Times New Roman"/>
          <w:sz w:val="28"/>
          <w:szCs w:val="28"/>
          <w:lang w:val="en-US" w:eastAsia="zh-CN"/>
        </w:rPr>
        <w:t>及垃圾分类</w:t>
      </w:r>
      <w:r>
        <w:rPr>
          <w:rFonts w:hint="eastAsia" w:ascii="Times New Roman" w:hAnsi="Times New Roman" w:eastAsia="仿宋_GB2312" w:cs="Times New Roman"/>
          <w:sz w:val="28"/>
          <w:szCs w:val="28"/>
        </w:rPr>
        <w:t>专项规划》（以下简称《规划》）。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为充分征求公众意见，我局现将《</w:t>
      </w:r>
      <w:r>
        <w:rPr>
          <w:rFonts w:hint="eastAsia" w:ascii="Times New Roman" w:hAnsi="Times New Roman" w:eastAsia="仿宋_GB2312" w:cs="Times New Roman"/>
          <w:sz w:val="28"/>
          <w:szCs w:val="28"/>
        </w:rPr>
        <w:t>规划</w:t>
      </w:r>
      <w:r>
        <w:rPr>
          <w:rFonts w:hint="eastAsia" w:eastAsia="仿宋_GB2312"/>
          <w:sz w:val="28"/>
          <w:szCs w:val="28"/>
        </w:rPr>
        <w:t>》进行公示。公示时间自2023年7月</w:t>
      </w:r>
      <w:r>
        <w:rPr>
          <w:rFonts w:hint="eastAsia" w:eastAsia="仿宋_GB2312"/>
          <w:sz w:val="28"/>
          <w:szCs w:val="28"/>
          <w:lang w:val="en-US" w:eastAsia="zh-CN"/>
        </w:rPr>
        <w:t>31</w:t>
      </w:r>
      <w:r>
        <w:rPr>
          <w:rFonts w:hint="eastAsia" w:eastAsia="仿宋_GB2312"/>
          <w:sz w:val="28"/>
          <w:szCs w:val="28"/>
        </w:rPr>
        <w:t>日起至2023年8月</w:t>
      </w:r>
      <w:r>
        <w:rPr>
          <w:rFonts w:hint="eastAsia" w:eastAsia="仿宋_GB2312"/>
          <w:sz w:val="28"/>
          <w:szCs w:val="28"/>
          <w:lang w:val="en-US" w:eastAsia="zh-CN"/>
        </w:rPr>
        <w:t>31</w:t>
      </w:r>
      <w:r>
        <w:rPr>
          <w:rFonts w:hint="eastAsia" w:eastAsia="仿宋_GB2312"/>
          <w:sz w:val="28"/>
          <w:szCs w:val="28"/>
        </w:rPr>
        <w:t>日止。为了便于意见的收集统计，请书面邮件和电子邮件形式为准。公众如有建议意见，请将书面意见邮寄至江苏省</w:t>
      </w:r>
      <w:r>
        <w:rPr>
          <w:rFonts w:hint="eastAsia" w:eastAsia="仿宋_GB2312"/>
          <w:sz w:val="28"/>
          <w:szCs w:val="28"/>
          <w:lang w:val="en-US" w:eastAsia="zh-CN"/>
        </w:rPr>
        <w:t>如皋市李渔路88号如皋市环境卫生管理处</w:t>
      </w:r>
      <w:r>
        <w:rPr>
          <w:rFonts w:hint="eastAsia" w:eastAsia="仿宋_GB2312"/>
          <w:sz w:val="28"/>
          <w:szCs w:val="28"/>
        </w:rPr>
        <w:t>（邮政编码226500，信封上请注明“如皋市城乡环境卫生及垃圾分类专项规划（2022-2035）书面意见反馈”）或将书面意见发送至邮箱：（</w:t>
      </w:r>
      <w:r>
        <w:rPr>
          <w:rFonts w:hint="eastAsia" w:eastAsia="仿宋_GB2312"/>
          <w:sz w:val="28"/>
          <w:szCs w:val="28"/>
          <w:lang w:val="en-US" w:eastAsia="zh-CN"/>
        </w:rPr>
        <w:t>461212442@qq.com</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p>
    <w:p>
      <w:pPr>
        <w:rPr>
          <w:rFonts w:hint="eastAsia" w:eastAsia="仿宋_GB2312"/>
          <w:sz w:val="28"/>
          <w:szCs w:val="28"/>
        </w:rPr>
      </w:pPr>
      <w:r>
        <w:rPr>
          <w:rFonts w:hint="eastAsia" w:eastAsia="仿宋_GB2312"/>
          <w:sz w:val="28"/>
          <w:szCs w:val="28"/>
        </w:rPr>
        <w:br w:type="page"/>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default" w:eastAsia="仿宋_GB2312"/>
          <w:b/>
          <w:bCs/>
          <w:sz w:val="28"/>
          <w:szCs w:val="28"/>
          <w:lang w:val="en-US" w:eastAsia="zh-CN"/>
        </w:rPr>
      </w:pPr>
      <w:bookmarkStart w:id="0" w:name="_Toc9068"/>
      <w:bookmarkStart w:id="1" w:name="_Toc16580"/>
      <w:r>
        <w:rPr>
          <w:rFonts w:hint="eastAsia" w:eastAsia="仿宋_GB2312"/>
          <w:b/>
          <w:bCs/>
          <w:sz w:val="28"/>
          <w:szCs w:val="28"/>
          <w:lang w:val="en-US" w:eastAsia="zh-CN"/>
        </w:rPr>
        <w:t>规划主要内容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rPr>
      </w:pPr>
      <w:r>
        <w:rPr>
          <w:rFonts w:hint="eastAsia" w:eastAsia="仿宋_GB2312"/>
          <w:b/>
          <w:bCs/>
          <w:sz w:val="28"/>
          <w:szCs w:val="28"/>
          <w:lang w:val="en-US" w:eastAsia="zh-CN"/>
        </w:rPr>
        <w:t>一、</w:t>
      </w:r>
      <w:r>
        <w:rPr>
          <w:rFonts w:hint="eastAsia" w:eastAsia="仿宋_GB2312"/>
          <w:b/>
          <w:bCs/>
          <w:sz w:val="28"/>
          <w:szCs w:val="28"/>
        </w:rPr>
        <w:t>规划目标</w:t>
      </w:r>
      <w:bookmarkEnd w:id="0"/>
      <w:bookmarkEnd w:id="1"/>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在遵守相关政策、法规的前提下，依据如皋市现状城市经济发展水平，提出如皋市环境卫生事业各项规划指标：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1、近期（202</w:t>
      </w:r>
      <w:r>
        <w:rPr>
          <w:rFonts w:hint="eastAsia" w:eastAsia="仿宋_GB2312"/>
          <w:sz w:val="28"/>
          <w:szCs w:val="28"/>
          <w:lang w:val="en-US" w:eastAsia="zh-CN"/>
        </w:rPr>
        <w:t>2</w:t>
      </w:r>
      <w:r>
        <w:rPr>
          <w:rFonts w:hint="eastAsia" w:eastAsia="仿宋_GB2312"/>
          <w:sz w:val="28"/>
          <w:szCs w:val="28"/>
        </w:rPr>
        <w:t>～2025年）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全面规划，合理布局，建立合理的垃圾收运、处理处置体系，配置与社会经济发展水平相协调的综合处理技术和各类环卫设施。力争做到城市生活垃圾产量与处置能力动态平衡，进一步实现</w:t>
      </w:r>
      <w:r>
        <w:rPr>
          <w:rFonts w:hint="eastAsia" w:eastAsia="仿宋_GB2312"/>
          <w:sz w:val="28"/>
          <w:szCs w:val="28"/>
          <w:lang w:eastAsia="zh-CN"/>
        </w:rPr>
        <w:t>固体</w:t>
      </w:r>
      <w:r>
        <w:rPr>
          <w:rFonts w:hint="eastAsia" w:eastAsia="仿宋_GB2312"/>
          <w:sz w:val="28"/>
          <w:szCs w:val="28"/>
        </w:rPr>
        <w:t>废物处理减量化、无害化、资源化，实现市容环境干净、整洁、有序，逐步提升城市环卫系统的处理能力和处理水平。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2、远期（2026～203</w:t>
      </w:r>
      <w:r>
        <w:rPr>
          <w:rFonts w:hint="eastAsia" w:eastAsia="仿宋_GB2312"/>
          <w:sz w:val="28"/>
          <w:szCs w:val="28"/>
          <w:lang w:val="en-US" w:eastAsia="zh-CN"/>
        </w:rPr>
        <w:t>5</w:t>
      </w:r>
      <w:r>
        <w:rPr>
          <w:rFonts w:hint="eastAsia" w:eastAsia="仿宋_GB2312"/>
          <w:sz w:val="28"/>
          <w:szCs w:val="28"/>
        </w:rPr>
        <w:t>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实现环卫作业机械化，全面提高城市环境卫生水平；持续推进固体废物源头减量和资源化利用，最大限度减少填埋量，将固体废物环境影响降至最低的城市发展模式</w:t>
      </w:r>
      <w:r>
        <w:rPr>
          <w:rFonts w:hint="eastAsia" w:eastAsia="仿宋_GB2312"/>
          <w:sz w:val="28"/>
          <w:szCs w:val="28"/>
          <w:lang w:eastAsia="zh-CN"/>
        </w:rPr>
        <w:t>，</w:t>
      </w:r>
      <w:r>
        <w:rPr>
          <w:rFonts w:hint="eastAsia" w:eastAsia="仿宋_GB2312"/>
          <w:sz w:val="28"/>
          <w:szCs w:val="28"/>
          <w:lang w:val="en-US" w:eastAsia="zh-CN"/>
        </w:rPr>
        <w:t>建设</w:t>
      </w:r>
      <w:r>
        <w:rPr>
          <w:rFonts w:hint="eastAsia" w:eastAsia="仿宋_GB2312"/>
          <w:sz w:val="28"/>
          <w:szCs w:val="28"/>
        </w:rPr>
        <w:t>“无废城市”</w:t>
      </w:r>
      <w:r>
        <w:rPr>
          <w:rFonts w:hint="eastAsia" w:eastAsia="仿宋_GB2312"/>
          <w:sz w:val="28"/>
          <w:szCs w:val="28"/>
          <w:lang w:eastAsia="zh-CN"/>
        </w:rPr>
        <w:t>，</w:t>
      </w:r>
      <w:r>
        <w:rPr>
          <w:rFonts w:hint="eastAsia" w:eastAsia="仿宋_GB2312"/>
          <w:sz w:val="28"/>
          <w:szCs w:val="28"/>
        </w:rPr>
        <w:t>进一步完善垃圾收运处置体系，日常保洁系统；营造清洁、优美的市容市貌，为如皋市民提供良好的生活工作环境。</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rPr>
      </w:pPr>
      <w:bookmarkStart w:id="2" w:name="_Toc1573"/>
      <w:bookmarkStart w:id="3" w:name="_Toc29509"/>
      <w:r>
        <w:rPr>
          <w:rFonts w:hint="eastAsia" w:eastAsia="仿宋_GB2312"/>
          <w:b/>
          <w:bCs/>
          <w:sz w:val="28"/>
          <w:szCs w:val="28"/>
          <w:lang w:val="en-US" w:eastAsia="zh-CN"/>
        </w:rPr>
        <w:t>二、</w:t>
      </w:r>
      <w:r>
        <w:rPr>
          <w:rFonts w:hint="eastAsia" w:eastAsia="仿宋_GB2312"/>
          <w:b/>
          <w:bCs/>
          <w:sz w:val="28"/>
          <w:szCs w:val="28"/>
        </w:rPr>
        <w:t>规划指标</w:t>
      </w:r>
      <w:bookmarkEnd w:id="2"/>
      <w:bookmarkEnd w:id="3"/>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rPr>
      </w:pPr>
      <w:r>
        <w:rPr>
          <w:rFonts w:hint="eastAsia" w:eastAsia="仿宋_GB2312"/>
          <w:sz w:val="28"/>
          <w:szCs w:val="28"/>
        </w:rPr>
        <w:t>在遵守相关政策、法规的前提下，依据如皋市现状城市经济发展水平，提出如皋市环境卫生事业各项规划指标：</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eastAsia="仿宋_GB2312"/>
          <w:sz w:val="28"/>
          <w:szCs w:val="28"/>
        </w:rPr>
      </w:pPr>
      <w:r>
        <w:rPr>
          <w:rFonts w:hint="eastAsia" w:eastAsia="仿宋_GB2312"/>
          <w:b/>
          <w:bCs/>
          <w:sz w:val="28"/>
          <w:szCs w:val="28"/>
        </w:rPr>
        <w:t>表</w:t>
      </w:r>
      <w:r>
        <w:rPr>
          <w:rFonts w:hint="eastAsia" w:eastAsia="仿宋_GB2312"/>
          <w:b/>
          <w:bCs/>
          <w:sz w:val="28"/>
          <w:szCs w:val="28"/>
          <w:lang w:val="en-US" w:eastAsia="zh-CN"/>
        </w:rPr>
        <w:t>1</w:t>
      </w:r>
      <w:r>
        <w:rPr>
          <w:rFonts w:hint="eastAsia" w:eastAsia="仿宋_GB2312"/>
          <w:b/>
          <w:bCs/>
          <w:sz w:val="28"/>
          <w:szCs w:val="28"/>
        </w:rPr>
        <w:t>：  城市环卫规划指标</w:t>
      </w:r>
    </w:p>
    <w:tbl>
      <w:tblPr>
        <w:tblStyle w:val="6"/>
        <w:tblW w:w="8522" w:type="dxa"/>
        <w:jc w:val="center"/>
        <w:tblLayout w:type="fixed"/>
        <w:tblCellMar>
          <w:top w:w="0" w:type="dxa"/>
          <w:left w:w="108" w:type="dxa"/>
          <w:bottom w:w="0" w:type="dxa"/>
          <w:right w:w="108" w:type="dxa"/>
        </w:tblCellMar>
      </w:tblPr>
      <w:tblGrid>
        <w:gridCol w:w="680"/>
        <w:gridCol w:w="3760"/>
        <w:gridCol w:w="680"/>
        <w:gridCol w:w="680"/>
        <w:gridCol w:w="680"/>
        <w:gridCol w:w="680"/>
        <w:gridCol w:w="681"/>
        <w:gridCol w:w="681"/>
      </w:tblGrid>
      <w:tr>
        <w:tblPrEx>
          <w:tblCellMar>
            <w:top w:w="0" w:type="dxa"/>
            <w:left w:w="108" w:type="dxa"/>
            <w:bottom w:w="0" w:type="dxa"/>
            <w:right w:w="108" w:type="dxa"/>
          </w:tblCellMar>
        </w:tblPrEx>
        <w:trPr>
          <w:trHeight w:val="407" w:hRule="atLeast"/>
          <w:tblHeader/>
          <w:jc w:val="center"/>
        </w:trPr>
        <w:tc>
          <w:tcPr>
            <w:tcW w:w="680" w:type="dxa"/>
            <w:vMerge w:val="restart"/>
            <w:tcBorders>
              <w:top w:val="single" w:color="auto" w:sz="4" w:space="0"/>
              <w:left w:val="single" w:color="auto" w:sz="4" w:space="0"/>
              <w:bottom w:val="single" w:color="000000"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序号</w:t>
            </w:r>
          </w:p>
        </w:tc>
        <w:tc>
          <w:tcPr>
            <w:tcW w:w="3760" w:type="dxa"/>
            <w:vMerge w:val="restart"/>
            <w:tcBorders>
              <w:top w:val="single" w:color="auto" w:sz="4" w:space="0"/>
              <w:left w:val="single" w:color="auto" w:sz="4" w:space="0"/>
              <w:bottom w:val="single" w:color="000000"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内容</w:t>
            </w:r>
          </w:p>
        </w:tc>
        <w:tc>
          <w:tcPr>
            <w:tcW w:w="1360" w:type="dxa"/>
            <w:gridSpan w:val="2"/>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中心城区</w:t>
            </w:r>
          </w:p>
        </w:tc>
        <w:tc>
          <w:tcPr>
            <w:tcW w:w="1360" w:type="dxa"/>
            <w:gridSpan w:val="2"/>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镇区</w:t>
            </w:r>
          </w:p>
        </w:tc>
        <w:tc>
          <w:tcPr>
            <w:tcW w:w="1362" w:type="dxa"/>
            <w:gridSpan w:val="2"/>
            <w:tcBorders>
              <w:top w:val="single" w:color="auto" w:sz="4" w:space="0"/>
              <w:left w:val="nil"/>
              <w:bottom w:val="single" w:color="auto" w:sz="4" w:space="0"/>
              <w:right w:val="single" w:color="000000"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村庄</w:t>
            </w:r>
          </w:p>
        </w:tc>
      </w:tr>
      <w:tr>
        <w:tblPrEx>
          <w:tblCellMar>
            <w:top w:w="0" w:type="dxa"/>
            <w:left w:w="108" w:type="dxa"/>
            <w:bottom w:w="0" w:type="dxa"/>
            <w:right w:w="108" w:type="dxa"/>
          </w:tblCellMar>
        </w:tblPrEx>
        <w:trPr>
          <w:trHeight w:val="436" w:hRule="atLeast"/>
          <w:tblHeader/>
          <w:jc w:val="center"/>
        </w:trPr>
        <w:tc>
          <w:tcPr>
            <w:tcW w:w="680" w:type="dxa"/>
            <w:vMerge w:val="continue"/>
            <w:tcBorders>
              <w:top w:val="single" w:color="auto"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p>
        </w:tc>
        <w:tc>
          <w:tcPr>
            <w:tcW w:w="3760" w:type="dxa"/>
            <w:vMerge w:val="continue"/>
            <w:tcBorders>
              <w:top w:val="single" w:color="auto"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近期</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远期</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近期</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远期</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近期</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远期</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生活垃圾分类收集覆盖率（%）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60%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40%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70%</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2</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生活垃圾机械化收集率（%）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3</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生活垃圾密闭化运输率（%）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4</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垃圾压缩运输率（%）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5</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生活垃圾回收利用率（%）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20</w:t>
            </w:r>
            <w:r>
              <w:rPr>
                <w:rFonts w:hint="eastAsia" w:eastAsia="仿宋_GB2312"/>
                <w:sz w:val="24"/>
                <w:szCs w:val="24"/>
              </w:rPr>
              <w:t>%</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4</w:t>
            </w:r>
            <w:r>
              <w:rPr>
                <w:rFonts w:hint="eastAsia" w:eastAsia="仿宋_GB2312"/>
                <w:sz w:val="24"/>
                <w:szCs w:val="24"/>
                <w:lang w:val="en-US" w:eastAsia="zh-CN"/>
              </w:rPr>
              <w:t>0</w:t>
            </w:r>
            <w:r>
              <w:rPr>
                <w:rFonts w:hint="eastAsia" w:eastAsia="仿宋_GB2312"/>
                <w:sz w:val="24"/>
                <w:szCs w:val="24"/>
              </w:rPr>
              <w:t>%</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10%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30%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6</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生活垃圾无害化处理率（%）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100</w:t>
            </w:r>
            <w:r>
              <w:rPr>
                <w:rFonts w:hint="eastAsia" w:eastAsia="仿宋_GB2312"/>
                <w:sz w:val="24"/>
                <w:szCs w:val="24"/>
              </w:rPr>
              <w:t>%</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80</w:t>
            </w: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100</w:t>
            </w: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7</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粪便纳管率（%）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95%</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粪便无害化处理率（%）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40%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城市道路（广场）清扫保洁率（%）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50%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清扫洒水覆盖率（%）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60%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80%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11</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道路机械清扫率（%）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lang w:val="en-US" w:eastAsia="zh-CN"/>
              </w:rPr>
              <w:t>90</w:t>
            </w:r>
            <w:r>
              <w:rPr>
                <w:rFonts w:hint="eastAsia" w:eastAsia="仿宋_GB2312"/>
                <w:sz w:val="24"/>
                <w:szCs w:val="24"/>
              </w:rPr>
              <w:t>%</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lang w:val="en-US"/>
              </w:rPr>
            </w:pPr>
            <w:r>
              <w:rPr>
                <w:rFonts w:hint="eastAsia" w:eastAsia="仿宋_GB2312"/>
                <w:sz w:val="24"/>
                <w:szCs w:val="24"/>
                <w:lang w:val="en-US" w:eastAsia="zh-CN"/>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60%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12</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水域保洁率（%）</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60%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40%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60%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13</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压缩式垃圾转运站比例（%）</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w:t>
            </w:r>
          </w:p>
        </w:tc>
      </w:tr>
      <w:tr>
        <w:tblPrEx>
          <w:tblCellMar>
            <w:top w:w="0" w:type="dxa"/>
            <w:left w:w="108" w:type="dxa"/>
            <w:bottom w:w="0" w:type="dxa"/>
            <w:right w:w="108" w:type="dxa"/>
          </w:tblCellMar>
        </w:tblPrEx>
        <w:trPr>
          <w:trHeight w:val="567" w:hRule="atLeast"/>
          <w:jc w:val="center"/>
        </w:trPr>
        <w:tc>
          <w:tcPr>
            <w:tcW w:w="680" w:type="dxa"/>
            <w:tcBorders>
              <w:top w:val="nil"/>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14</w:t>
            </w:r>
          </w:p>
        </w:tc>
        <w:tc>
          <w:tcPr>
            <w:tcW w:w="376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水冲式公共厕所比例（%）</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0"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95%</w:t>
            </w:r>
          </w:p>
        </w:tc>
        <w:tc>
          <w:tcPr>
            <w:tcW w:w="681" w:type="dxa"/>
            <w:tcBorders>
              <w:top w:val="nil"/>
              <w:left w:val="nil"/>
              <w:bottom w:val="single" w:color="auto" w:sz="4" w:space="0"/>
              <w:right w:val="single" w:color="auto" w:sz="4"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eastAsia="仿宋_GB2312"/>
                <w:sz w:val="24"/>
                <w:szCs w:val="24"/>
              </w:rPr>
            </w:pPr>
            <w:r>
              <w:rPr>
                <w:rFonts w:hint="eastAsia" w:eastAsia="仿宋_GB2312"/>
                <w:sz w:val="24"/>
                <w:szCs w:val="24"/>
              </w:rPr>
              <w:t>100%</w:t>
            </w:r>
          </w:p>
        </w:tc>
      </w:tr>
    </w:tbl>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三、垃圾产生量与处理量预测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1、居民生活垃圾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eastAsia="zh-CN"/>
        </w:rPr>
      </w:pPr>
      <w:r>
        <w:rPr>
          <w:rFonts w:hint="eastAsia" w:eastAsia="仿宋_GB2312"/>
          <w:sz w:val="28"/>
          <w:szCs w:val="28"/>
          <w:lang w:val="en-US" w:eastAsia="zh-CN"/>
        </w:rPr>
        <w:t>预测至2025年，如皋市中心城区生活垃圾产生量425</w:t>
      </w:r>
      <w:r>
        <w:rPr>
          <w:rFonts w:hint="eastAsia" w:eastAsia="仿宋_GB2312"/>
          <w:sz w:val="28"/>
          <w:szCs w:val="28"/>
        </w:rPr>
        <w:t>t/d</w:t>
      </w:r>
      <w:r>
        <w:rPr>
          <w:rFonts w:hint="eastAsia" w:eastAsia="仿宋_GB2312"/>
          <w:sz w:val="28"/>
          <w:szCs w:val="28"/>
          <w:lang w:val="en-US" w:eastAsia="zh-CN"/>
        </w:rPr>
        <w:t>，可回收物分出量85</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有害垃圾分出量5</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厨余垃圾分出量85</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其他垃圾288</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至2035年，如皋市中心城区生活垃圾产生量700</w:t>
      </w:r>
      <w:r>
        <w:rPr>
          <w:rFonts w:hint="eastAsia" w:eastAsia="仿宋_GB2312"/>
          <w:sz w:val="28"/>
          <w:szCs w:val="28"/>
        </w:rPr>
        <w:t>t/d</w:t>
      </w:r>
      <w:r>
        <w:rPr>
          <w:rFonts w:hint="eastAsia" w:eastAsia="仿宋_GB2312"/>
          <w:sz w:val="28"/>
          <w:szCs w:val="28"/>
          <w:lang w:val="en-US" w:eastAsia="zh-CN"/>
        </w:rPr>
        <w:t>，可回收物分出量280</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有害垃圾分出量7</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厨余垃圾分出量175</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其他垃圾238</w:t>
      </w:r>
      <w:r>
        <w:rPr>
          <w:rFonts w:hint="eastAsia" w:eastAsia="仿宋_GB2312"/>
          <w:sz w:val="28"/>
          <w:szCs w:val="28"/>
        </w:rPr>
        <w:t>t/d</w:t>
      </w:r>
      <w:r>
        <w:rPr>
          <w:rFonts w:hint="eastAsia" w:eastAsia="仿宋_GB2312"/>
          <w:sz w:val="28"/>
          <w:szCs w:val="28"/>
          <w:lang w:eastAsia="zh-CN"/>
        </w:rPr>
        <w:t>。</w:t>
      </w:r>
      <w:r>
        <w:rPr>
          <w:rFonts w:hint="eastAsia" w:eastAsia="仿宋_GB2312"/>
          <w:sz w:val="28"/>
          <w:szCs w:val="28"/>
          <w:lang w:val="en-US" w:eastAsia="zh-CN"/>
        </w:rPr>
        <w:t>预测结果</w:t>
      </w:r>
      <w:r>
        <w:rPr>
          <w:rFonts w:hint="eastAsia" w:eastAsia="仿宋_GB2312"/>
          <w:sz w:val="28"/>
          <w:szCs w:val="28"/>
        </w:rPr>
        <w:t>如下表所示</w:t>
      </w:r>
      <w:r>
        <w:rPr>
          <w:rFonts w:hint="eastAsia" w:eastAsia="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eastAsia="仿宋_GB2312"/>
          <w:b/>
          <w:bCs/>
          <w:sz w:val="28"/>
          <w:szCs w:val="28"/>
        </w:rPr>
      </w:pPr>
      <w:r>
        <w:rPr>
          <w:rFonts w:hint="eastAsia" w:eastAsia="仿宋_GB2312"/>
          <w:b/>
          <w:bCs/>
          <w:sz w:val="28"/>
          <w:szCs w:val="28"/>
        </w:rPr>
        <w:t>表</w:t>
      </w:r>
      <w:r>
        <w:rPr>
          <w:rFonts w:hint="eastAsia" w:eastAsia="仿宋_GB2312"/>
          <w:b/>
          <w:bCs/>
          <w:sz w:val="28"/>
          <w:szCs w:val="28"/>
          <w:lang w:val="en-US" w:eastAsia="zh-CN"/>
        </w:rPr>
        <w:t>2：</w:t>
      </w:r>
      <w:r>
        <w:rPr>
          <w:rFonts w:hint="eastAsia" w:eastAsia="仿宋_GB2312"/>
          <w:b/>
          <w:bCs/>
          <w:sz w:val="28"/>
          <w:szCs w:val="28"/>
        </w:rPr>
        <w:t>如皋市生活垃圾</w:t>
      </w:r>
      <w:r>
        <w:rPr>
          <w:rFonts w:hint="eastAsia" w:eastAsia="仿宋_GB2312"/>
          <w:b/>
          <w:bCs/>
          <w:sz w:val="28"/>
          <w:szCs w:val="28"/>
          <w:lang w:val="en-US" w:eastAsia="zh-CN"/>
        </w:rPr>
        <w:t>分类量</w:t>
      </w:r>
      <w:r>
        <w:rPr>
          <w:rFonts w:hint="eastAsia" w:eastAsia="仿宋_GB2312"/>
          <w:b/>
          <w:bCs/>
          <w:sz w:val="28"/>
          <w:szCs w:val="28"/>
        </w:rPr>
        <w:t>预测表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052"/>
        <w:gridCol w:w="1063"/>
        <w:gridCol w:w="996"/>
        <w:gridCol w:w="1079"/>
        <w:gridCol w:w="1079"/>
        <w:gridCol w:w="107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分期</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中心城区常住人口（万人）</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人均产生量（kg/人·d）</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可回收物</w:t>
            </w:r>
            <w:r>
              <w:rPr>
                <w:rFonts w:hint="eastAsia" w:eastAsia="仿宋_GB2312"/>
                <w:sz w:val="24"/>
                <w:szCs w:val="24"/>
              </w:rPr>
              <w:t>（t/d）</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有害垃圾</w:t>
            </w:r>
            <w:r>
              <w:rPr>
                <w:rFonts w:hint="eastAsia" w:eastAsia="仿宋_GB2312"/>
                <w:sz w:val="24"/>
                <w:szCs w:val="24"/>
              </w:rPr>
              <w:t>（t/d）</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厨余垃圾</w:t>
            </w:r>
            <w:r>
              <w:rPr>
                <w:rFonts w:hint="eastAsia" w:eastAsia="仿宋_GB2312"/>
                <w:sz w:val="24"/>
                <w:szCs w:val="24"/>
              </w:rPr>
              <w:t>（t/d）</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其他垃圾</w:t>
            </w:r>
            <w:r>
              <w:rPr>
                <w:rFonts w:hint="eastAsia" w:eastAsia="仿宋_GB2312"/>
                <w:sz w:val="24"/>
                <w:szCs w:val="24"/>
              </w:rPr>
              <w:t>（t/d）</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生活垃圾总量</w:t>
            </w:r>
            <w:r>
              <w:rPr>
                <w:rFonts w:hint="eastAsia" w:eastAsia="仿宋_GB2312"/>
                <w:sz w:val="24"/>
                <w:szCs w:val="24"/>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近期（2025年）</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50</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0.85</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85</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5</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85</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288</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远期</w:t>
            </w:r>
            <w:r>
              <w:rPr>
                <w:rFonts w:hint="eastAsia" w:eastAsia="仿宋_GB2312"/>
                <w:sz w:val="24"/>
                <w:szCs w:val="24"/>
              </w:rPr>
              <w:t>（203</w:t>
            </w:r>
            <w:r>
              <w:rPr>
                <w:rFonts w:hint="eastAsia" w:eastAsia="仿宋_GB2312"/>
                <w:sz w:val="24"/>
                <w:szCs w:val="24"/>
                <w:lang w:val="en-US" w:eastAsia="zh-CN"/>
              </w:rPr>
              <w:t>5</w:t>
            </w:r>
            <w:r>
              <w:rPr>
                <w:rFonts w:hint="eastAsia" w:eastAsia="仿宋_GB2312"/>
                <w:sz w:val="24"/>
                <w:szCs w:val="24"/>
              </w:rPr>
              <w:t>年）</w:t>
            </w:r>
          </w:p>
        </w:tc>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70</w:t>
            </w:r>
          </w:p>
        </w:tc>
        <w:tc>
          <w:tcPr>
            <w:tcW w:w="9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1.0</w:t>
            </w:r>
          </w:p>
        </w:tc>
        <w:tc>
          <w:tcPr>
            <w:tcW w:w="8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280</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7</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175</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238</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700</w:t>
            </w:r>
          </w:p>
        </w:tc>
      </w:tr>
    </w:tbl>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2、建筑垃圾清运量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预测2025年，如皋市工程垃圾33万吨/年、拆除垃圾5万吨/年，装修垃圾产生量15.81万吨/年；2035年，如皋市工程垃圾42万吨/年、拆除垃圾5万吨/年，装修垃圾产生量16.6万吨/年。</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eastAsia="仿宋_GB2312"/>
          <w:b/>
          <w:bCs/>
          <w:sz w:val="28"/>
          <w:szCs w:val="28"/>
          <w:lang w:val="en-US" w:eastAsia="zh-CN"/>
        </w:rPr>
      </w:pPr>
      <w:r>
        <w:rPr>
          <w:rFonts w:hint="eastAsia" w:eastAsia="仿宋_GB2312"/>
          <w:b/>
          <w:bCs/>
          <w:sz w:val="28"/>
          <w:szCs w:val="28"/>
          <w:lang w:val="en-US" w:eastAsia="zh-CN"/>
        </w:rPr>
        <w:t>表3：建筑垃圾产量预测表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0"/>
        <w:gridCol w:w="1692"/>
        <w:gridCol w:w="1692"/>
        <w:gridCol w:w="1692"/>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3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分期</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工程渣土（万方）</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工程垃圾（万吨）</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拆除垃圾（万吨）</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装修垃圾（万吨）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近期（2025年）</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605</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33</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5</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远期（2035年）</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770</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42</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5</w:t>
            </w:r>
          </w:p>
        </w:tc>
        <w:tc>
          <w:tcPr>
            <w:tcW w:w="19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16.6</w:t>
            </w:r>
          </w:p>
        </w:tc>
      </w:tr>
    </w:tbl>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3、大件垃圾量预测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根据其他城市大件垃圾量的统计，大件垃圾量约为生活垃圾量的2%~3%。考虑到如皋市经济发展状况，近期比例取为2%，远期取为3%，则近、远期大件垃圾量分别约为9.12吨/日、27吨/日。</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eastAsia="仿宋_GB2312"/>
          <w:b/>
          <w:bCs/>
          <w:sz w:val="28"/>
          <w:szCs w:val="28"/>
          <w:lang w:val="en-US" w:eastAsia="zh-CN"/>
        </w:rPr>
      </w:pPr>
      <w:r>
        <w:rPr>
          <w:rFonts w:hint="eastAsia" w:eastAsia="仿宋_GB2312"/>
          <w:b/>
          <w:bCs/>
          <w:sz w:val="28"/>
          <w:szCs w:val="28"/>
          <w:lang w:val="en-US" w:eastAsia="zh-CN"/>
        </w:rPr>
        <w:t>四、环境卫生作业规划</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1、环卫作业责任区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环卫作业主要指：生活垃圾、粪便垃圾、其他固体废弃物的收运和处理处置；道路、水域、建（构）筑物立面的保洁等。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根据《如皋市城市市容和环境卫生责任区管理办法的通知》，市容环卫责任区，是指单位和个人所有、使用或者管理的建（构）筑物、设施、场所的土地使用权范围以及管理范围。市容环卫责任区范围按以下规定划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（1）实行物业服务的住宅小区的责任范围，为其物业服务区域，包括住宅小区围墙（围栏）范围以内所有区域和住宅小区围墙（围栏）外侧配建的绿化带区域；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（2）建（构）筑物沿街立面及沿街一侧房基线（有护栏、标志或者围墙的，从护栏、标志或者围墙起）至人行道的路沿石（无人行道的，以道路边线为界）；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（3）无人行道的街巷责任区的划分以街巷中心线为界，沿街巷立面房基线至道路中心线为责任人的责任区；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（4）无责任人的地段和城市公用设施等，由相关部门和单位根据部门职能和产权所有，做好相应工作。</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2、环卫作业责任人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环卫作业责任人是指履行环卫作业责任的单位和个人，建（构）筑物、设施、场所的所有权人、管理人或者使用人是市容环卫责任人。所有权人、管理人、使用人之间约定管理责任的，从其约定。市容环卫责任区的责任人按照以下规定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除已明确相关单位或者专业部门负责之外的道路（含人行道）、桥梁、公共广场、公共绿地、内外城河、公共厕所等城市公共区域的市容环卫工作，由市城管局负责。道路（含人行道）、桥梁、公共广场、公共绿地、内外城河、公共厕所、管网、管线等公共基础设施的建设、维修、保养由相应的建设、管理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（2）实行物业服务的住宅小区、街巷由物业服务单位负责，未实行物业服务的老小区、城中村、街巷由所属街道社区负责；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（3）商店、超市、集贸市场、展览展销场馆、银行网点、证券市场、宾馆、饭店等场所，由经营管理单位负责；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（4）车站、码头、停车场、公交站点、加油站等，由经营管理单位负责；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（5）城市范围内的河道、湖泊等水域、岸线等，由使用或者管理单位负责；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（6）建设工程的施工现场由施工单位负责，尚未开工的建设工程用地由建设单位负责，搬迁工地由搬迁主体责任单位负责，储备土地由土地储备机构负责；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（7）文化、体育、娱乐场所和公园、旅游景点、风景名胜区、科技园区、独立工业区、生态园区内等公共场地，由经营管理单位负责；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（8）机关、团体、部队、学校、医院等单位以及各类企业的管理区域，由本单位负责。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责任人应当做好责任区内的市容环卫工作，责任区、责任人不明确或者有争议的，由市城管局确定并予以告知。所有权人、管理人、使用人之间约定管理责任不损害公共利益的，从其约定。</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五、生活垃圾分类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城市居民生活垃圾实施四分类：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可回收物：指适宜回收利用的生活垃圾，包括纸类、塑料、金属、玻璃、织物等。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有害垃圾：指《国家危险废物名录》中的家庭源危险废物，包括灯管、家用化学品和电池等。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厨余垃圾：指易腐烂的、含有机质的生活垃圾，包括家庭厨余垃圾、餐厨垃圾和其他厨余垃圾等。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其他垃圾：除可回收物、有害垃圾、厨余垃圾之外的生活垃圾。</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六、生活垃圾分类收集运输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1、分类投放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居住区：逐步推行“三定一督”即“定时定点定人督导”生活垃圾分类投放制度，合理设置分类投放点、科学安排投放时间。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公共机构和相关企业：办公和经营场所设置有害垃圾、可回收物、其他垃圾收集容器，食堂或其他产生厨余垃圾的区域设置厨余垃圾收集容器。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公共区域：道路、广场、公园、公共绿地、客运站、轨道交通站点以及旅游、文化、体育、娱乐、商业等公共场所设置可回收物及其他垃圾“两桶式”收集容器；厨余垃圾产生量较多的公共场所增设厨余垃圾收集容器；临时大型活动场所在活动期间设置分类收集容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2、分类收集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居住区：小区物业保洁人员或街道社区保洁人员定期收集有害垃圾、可回收物、厨余垃圾、其他垃圾并分类暂存至小区集中清运点。鼓励对可回收物及时售卖。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公共机构和相关企业：办公、经营场所的保洁人员定期将分类垃圾收集至集中清运点。沿街商铺结合环卫作业单位“上门收集”实行定时定点分类交投或自行收集至附近清运点。厨余垃圾由有资质的专业队伍采用专用车辆上门收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公共区域：可回收物由保洁人员巡回捡拾；其他垃圾就近收集至附近清运点。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3、分类运输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有害垃圾：通过预约或者定期方式收集至各区有害垃圾暂存点，再由具备危险废物运输资质单位清运。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可回收物：通过预约或定期协议方式，由经商务部门备案的再生资源回收企业或环卫收运企业清运。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厨余垃圾：由具备收运资质的企业采用密闭专用车辆清运。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其他垃圾：由环卫作业公司采用小型收集车或压缩车清运至生活垃圾转运中心后压缩转运，或者采用直运模式。</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eastAsia="仿宋_GB2312"/>
          <w:b/>
          <w:bCs/>
          <w:sz w:val="28"/>
          <w:szCs w:val="28"/>
          <w:lang w:val="en-US" w:eastAsia="zh-CN"/>
        </w:rPr>
      </w:pPr>
      <w:bookmarkStart w:id="4" w:name="_Toc409771076"/>
      <w:bookmarkStart w:id="5" w:name="_Toc421951999"/>
      <w:bookmarkStart w:id="6" w:name="_Toc10965"/>
      <w:bookmarkStart w:id="7" w:name="_Toc25192"/>
      <w:bookmarkStart w:id="8" w:name="_Toc32750"/>
      <w:r>
        <w:rPr>
          <w:rFonts w:hint="eastAsia" w:eastAsia="仿宋_GB2312"/>
          <w:b/>
          <w:bCs/>
          <w:sz w:val="28"/>
          <w:szCs w:val="28"/>
          <w:lang w:val="en-US" w:eastAsia="zh-CN"/>
        </w:rPr>
        <w:t>七、环境卫生设施</w:t>
      </w:r>
      <w:bookmarkEnd w:id="4"/>
      <w:bookmarkEnd w:id="5"/>
      <w:bookmarkEnd w:id="6"/>
      <w:bookmarkEnd w:id="7"/>
      <w:bookmarkEnd w:id="8"/>
      <w:r>
        <w:rPr>
          <w:rFonts w:hint="eastAsia" w:eastAsia="仿宋_GB2312"/>
          <w:b/>
          <w:bCs/>
          <w:sz w:val="28"/>
          <w:szCs w:val="28"/>
          <w:lang w:val="en-US" w:eastAsia="zh-CN"/>
        </w:rPr>
        <w:t>规划</w:t>
      </w:r>
    </w:p>
    <w:p>
      <w:pPr>
        <w:keepNext w:val="0"/>
        <w:keepLines w:val="0"/>
        <w:pageBreakBefore w:val="0"/>
        <w:widowControl w:val="0"/>
        <w:kinsoku/>
        <w:wordWrap/>
        <w:overflowPunct/>
        <w:topLinePunct w:val="0"/>
        <w:autoSpaceDE/>
        <w:autoSpaceDN/>
        <w:bidi w:val="0"/>
        <w:adjustRightInd/>
        <w:snapToGrid/>
        <w:ind w:firstLine="562" w:firstLineChars="200"/>
        <w:jc w:val="left"/>
        <w:textAlignment w:val="auto"/>
        <w:rPr>
          <w:rFonts w:hint="eastAsia" w:eastAsia="仿宋_GB2312"/>
          <w:b/>
          <w:bCs/>
          <w:sz w:val="28"/>
          <w:szCs w:val="28"/>
          <w:lang w:val="en-US" w:eastAsia="zh-CN"/>
        </w:rPr>
      </w:pPr>
      <w:bookmarkStart w:id="9" w:name="_Toc421952000"/>
      <w:bookmarkStart w:id="10" w:name="_Toc409771077"/>
      <w:bookmarkStart w:id="11" w:name="_Toc10680"/>
      <w:bookmarkStart w:id="12" w:name="_Toc4929"/>
      <w:bookmarkStart w:id="13" w:name="_Toc12323"/>
      <w:r>
        <w:rPr>
          <w:rFonts w:hint="eastAsia" w:eastAsia="仿宋_GB2312"/>
          <w:b/>
          <w:bCs/>
          <w:sz w:val="28"/>
          <w:szCs w:val="28"/>
          <w:lang w:val="en-US" w:eastAsia="zh-CN"/>
        </w:rPr>
        <w:t xml:space="preserve">第一节  </w:t>
      </w:r>
      <w:bookmarkEnd w:id="9"/>
      <w:bookmarkEnd w:id="10"/>
      <w:r>
        <w:rPr>
          <w:rFonts w:hint="eastAsia" w:eastAsia="仿宋_GB2312"/>
          <w:b/>
          <w:bCs/>
          <w:sz w:val="28"/>
          <w:szCs w:val="28"/>
          <w:lang w:val="en-US" w:eastAsia="zh-CN"/>
        </w:rPr>
        <w:t>生活垃圾处理处置设施</w:t>
      </w:r>
      <w:bookmarkEnd w:id="11"/>
      <w:bookmarkEnd w:id="12"/>
      <w:bookmarkEnd w:id="13"/>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生活垃圾处理处置设施一般包括：生活垃圾焚烧场、生活垃圾卫生填埋场、生活垃圾堆肥处理设施等。如皋市生活垃圾处理处置设施多为区域联建工程设施。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1、生活垃圾填埋场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保留现有垃圾填埋场一处，即南通市生活垃圾填埋（长江镇）场。规划作为应急填埋场，其中1-6号填埋池已封场，7号池用于垃圾焚烧厂设备检修期垃圾卫生处置，规模165吨/日，用地规模控制在85公顷左右。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2、生活垃圾焚烧场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规划继续使用南通市生活垃圾焚烧发电厂处理处置本市生活垃圾。南通市生活垃圾焚烧发电厂位于如皋市石庄镇四号港西侧，目前日处理能力为2250吨/日，垃圾焚烧残渣进行填埋。规划到2025年末，预测日清运至焚烧发电场垃圾量为360吨，2035年末为550吨，能够满足服务，无需另建垃圾处理设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bookmarkStart w:id="14" w:name="_Toc25164"/>
      <w:bookmarkStart w:id="15" w:name="_Toc20291"/>
      <w:bookmarkStart w:id="16" w:name="_Toc19472"/>
      <w:r>
        <w:rPr>
          <w:rFonts w:hint="eastAsia" w:eastAsia="仿宋_GB2312"/>
          <w:b/>
          <w:bCs/>
          <w:sz w:val="28"/>
          <w:szCs w:val="28"/>
          <w:lang w:val="en-US" w:eastAsia="zh-CN"/>
        </w:rPr>
        <w:t>第二节  生活垃圾收运设施</w:t>
      </w:r>
      <w:bookmarkEnd w:id="14"/>
      <w:bookmarkEnd w:id="15"/>
      <w:bookmarkEnd w:id="16"/>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1、生活垃圾收集设施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生活垃圾收集设施一般包括生活垃圾分类投放点、生活垃圾收集站、建筑垃圾（大件垃圾）收集点。</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（1）生活垃圾分类投放点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生活垃圾分类投放点的服务半径不宜超过70m ，宜满足居民投放生活垃圾不穿越城市道路的要求；市场、交通客运枢纽及其生活垃</w:t>
      </w:r>
      <w:bookmarkStart w:id="20" w:name="_GoBack"/>
      <w:bookmarkEnd w:id="20"/>
      <w:r>
        <w:rPr>
          <w:rFonts w:hint="eastAsia" w:eastAsia="仿宋_GB2312"/>
          <w:sz w:val="28"/>
          <w:szCs w:val="28"/>
          <w:lang w:val="en-US" w:eastAsia="zh-CN"/>
        </w:rPr>
        <w:t>圾产量较大的场所附近应单独设置生活垃圾收集点。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城市房产项目配建生活垃圾分类投放点具体数量宜按照不少于低层建筑（建筑层数在3层及以下的建筑物）户数/50+多层建筑（建筑层数在9层及以下的建筑物）户数/200+高层建筑（建筑层数在9层以上的建筑物）户数/300 核定。投放点设置四分类投放容器，地面硬化，具备清洗池、排污设施。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生活垃圾分类投放点宜采用封闭或半封闭式，形式包括但不限于投放亭、清洁屋等构筑物，一般为轻质结构，能满足非投放期间封闭管理需求。住宅区垃圾投放点占地面积按照每处不少于10平方米设置，非住宅区宜按照实际需要设置。</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（2）生活垃圾收集站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每个房产开发、改造项目至少建设一处生活垃圾收集站，便于居民集中分类投放生活垃圾，能够短期存储生活垃圾，暂存分类容器，形式为相对密闭的建筑物，应满足项目内所有分类容器清洗、消毒和暂存需要。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生活垃圾收集站应采用封闭式和“内投外运”形式，室内净高原则上不小于4.5米，大门净宽不小于3米，站内应当设置可回收物、其他垃圾、厨余垃圾、有害垃圾四类分类投放口，内部单独设置垃圾桶暂存区、可回收物回收间和垃圾桶清洗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住宅区生活垃圾收集站总建筑面积按照规划户数每户不少于0.07平方米核定，且每处原则上不少于50平方米。非住宅区房产项目生活垃圾收集站总建筑面积一般按该房产项目建筑面积的千分之一核定，且每处原则上不少于50平方米，垃圾收集站距离住宅建筑距离大于8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（3）建筑垃圾（大件垃圾）收集点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每个房产开发、改造项目至少建设一处建筑垃圾（大件垃圾）收集点，能满足非投放期间封闭管理需要，宜采用封闭或半封闭形式，混凝土结构，具备条件的区域应采用封闭形式的建筑物。收集点应设置三格式分类堆放池并标出“可利用建筑垃圾、其他垃圾、大件垃圾”三类标识，宜设置可移动防尘装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住宅区可结合规划户数每户不少于0.06平方米核定，非住宅区可结合实际需要核定，每处收集点占地面积原则上不少于50平方米，封闭式收集点层高不低于4.5米，半封闭式收集点应设置高度不低于2米的封闭硬质围挡、可开关的大门以及顶棚等防雨防晒设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2、生活垃圾转运设施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规划保留城区2座环卫中转中心，为滨溪路环卫中转中心、城北环卫中转中心；扩建1座环卫中转中心，城南环卫中转中心，新增2座城区环卫转运中心，分别是西部环卫中转中心、东部环卫中转中心。</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eastAsia="仿宋_GB2312"/>
          <w:b/>
          <w:bCs/>
          <w:sz w:val="28"/>
          <w:szCs w:val="28"/>
          <w:lang w:val="en-US" w:eastAsia="zh-CN"/>
        </w:rPr>
      </w:pPr>
      <w:r>
        <w:rPr>
          <w:rFonts w:hint="eastAsia" w:eastAsia="仿宋_GB2312"/>
          <w:b/>
          <w:bCs/>
          <w:sz w:val="28"/>
          <w:szCs w:val="28"/>
          <w:lang w:val="en-US" w:eastAsia="zh-CN"/>
        </w:rPr>
        <w:t>表4：如皋市中心城区垃圾转运站一览表</w:t>
      </w:r>
    </w:p>
    <w:tbl>
      <w:tblPr>
        <w:tblStyle w:val="6"/>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214"/>
        <w:gridCol w:w="2507"/>
        <w:gridCol w:w="1156"/>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9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名称</w:t>
            </w:r>
          </w:p>
        </w:tc>
        <w:tc>
          <w:tcPr>
            <w:tcW w:w="12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设计规模</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（吨/日）</w:t>
            </w:r>
          </w:p>
        </w:tc>
        <w:tc>
          <w:tcPr>
            <w:tcW w:w="2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建设地点</w:t>
            </w:r>
          </w:p>
        </w:tc>
        <w:tc>
          <w:tcPr>
            <w:tcW w:w="11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用地面积</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（m2）</w:t>
            </w:r>
          </w:p>
        </w:tc>
        <w:tc>
          <w:tcPr>
            <w:tcW w:w="16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绿化隔离带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9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城北环卫中转中心（保留）</w:t>
            </w:r>
          </w:p>
        </w:tc>
        <w:tc>
          <w:tcPr>
            <w:tcW w:w="12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150</w:t>
            </w:r>
          </w:p>
        </w:tc>
        <w:tc>
          <w:tcPr>
            <w:tcW w:w="2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鹿门路与雪袁线交叉口东南侧</w:t>
            </w:r>
          </w:p>
        </w:tc>
        <w:tc>
          <w:tcPr>
            <w:tcW w:w="11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2500</w:t>
            </w:r>
          </w:p>
        </w:tc>
        <w:tc>
          <w:tcPr>
            <w:tcW w:w="16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9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滨溪路环卫中转中心（保留）</w:t>
            </w:r>
          </w:p>
        </w:tc>
        <w:tc>
          <w:tcPr>
            <w:tcW w:w="12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80</w:t>
            </w:r>
          </w:p>
        </w:tc>
        <w:tc>
          <w:tcPr>
            <w:tcW w:w="2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滨溪路与益寿路交叉口东北侧</w:t>
            </w:r>
          </w:p>
        </w:tc>
        <w:tc>
          <w:tcPr>
            <w:tcW w:w="11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1500</w:t>
            </w:r>
          </w:p>
        </w:tc>
        <w:tc>
          <w:tcPr>
            <w:tcW w:w="16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9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如城西部环卫中转中心（新建）</w:t>
            </w:r>
          </w:p>
        </w:tc>
        <w:tc>
          <w:tcPr>
            <w:tcW w:w="12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250</w:t>
            </w:r>
          </w:p>
        </w:tc>
        <w:tc>
          <w:tcPr>
            <w:tcW w:w="2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城西大道与十里路交叉口东南侧鸿源污水处理厂东侧</w:t>
            </w:r>
          </w:p>
        </w:tc>
        <w:tc>
          <w:tcPr>
            <w:tcW w:w="11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6600</w:t>
            </w:r>
          </w:p>
        </w:tc>
        <w:tc>
          <w:tcPr>
            <w:tcW w:w="16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9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如城东部环卫中转中心（新建）</w:t>
            </w:r>
          </w:p>
        </w:tc>
        <w:tc>
          <w:tcPr>
            <w:tcW w:w="12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250</w:t>
            </w:r>
          </w:p>
        </w:tc>
        <w:tc>
          <w:tcPr>
            <w:tcW w:w="2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中山东路北，紫光路东侧</w:t>
            </w:r>
          </w:p>
        </w:tc>
        <w:tc>
          <w:tcPr>
            <w:tcW w:w="11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10000</w:t>
            </w:r>
          </w:p>
        </w:tc>
        <w:tc>
          <w:tcPr>
            <w:tcW w:w="16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jc w:val="center"/>
        </w:trPr>
        <w:tc>
          <w:tcPr>
            <w:tcW w:w="19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城南环卫中转中心（桃园转运站扩建）</w:t>
            </w:r>
          </w:p>
        </w:tc>
        <w:tc>
          <w:tcPr>
            <w:tcW w:w="121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150</w:t>
            </w:r>
          </w:p>
        </w:tc>
        <w:tc>
          <w:tcPr>
            <w:tcW w:w="2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大明河南，如港公路西侧</w:t>
            </w:r>
          </w:p>
        </w:tc>
        <w:tc>
          <w:tcPr>
            <w:tcW w:w="115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10000</w:t>
            </w:r>
          </w:p>
        </w:tc>
        <w:tc>
          <w:tcPr>
            <w:tcW w:w="169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仿宋_GB2312"/>
                <w:sz w:val="24"/>
                <w:szCs w:val="24"/>
                <w:lang w:val="en-US" w:eastAsia="zh-CN"/>
              </w:rPr>
            </w:pPr>
            <w:r>
              <w:rPr>
                <w:rFonts w:hint="eastAsia" w:eastAsia="仿宋_GB2312"/>
                <w:sz w:val="24"/>
                <w:szCs w:val="24"/>
                <w:lang w:val="en-US" w:eastAsia="zh-CN"/>
              </w:rPr>
              <w:t>≥15m</w:t>
            </w:r>
          </w:p>
        </w:tc>
      </w:tr>
    </w:tbl>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bookmarkStart w:id="17" w:name="_Toc5534"/>
      <w:bookmarkStart w:id="18" w:name="_Toc6534"/>
      <w:bookmarkStart w:id="19" w:name="_Toc29628"/>
      <w:r>
        <w:rPr>
          <w:rFonts w:hint="eastAsia" w:eastAsia="仿宋_GB2312"/>
          <w:b/>
          <w:bCs/>
          <w:sz w:val="28"/>
          <w:szCs w:val="28"/>
          <w:lang w:val="en-US" w:eastAsia="zh-CN"/>
        </w:rPr>
        <w:t>第三节  其他固体废弃物收运与处理处置设施</w:t>
      </w:r>
      <w:bookmarkEnd w:id="17"/>
      <w:bookmarkEnd w:id="18"/>
      <w:bookmarkEnd w:id="19"/>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1、垃圾分类中心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规划远期在市域南部长江镇新建1座垃圾分类中心，主要包含金属、玻璃、PET塑料、纸类、织物等可回收物的分拣存放；大件垃圾分拣、破拆、筛分、加工再利用等功能。</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2、建筑垃圾处理处置设施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规划远期新增1处建筑垃圾处置设施，协调处理市域各镇（区）建筑垃圾，选址位于长江镇，鼓励利用闲置建设用地中工业用地或仓储用地等用地改造建设，设施处置能力为20t/d。</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3、厨余垃圾处理设施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规划新增厨余垃圾处理设施1处，位于长江镇，结合长江镇富港污水处理厂进行建设，处理厨余垃圾能力100t/d。</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第四节  镇村公共环卫设施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根据《环境卫生设置标准》（CJJ27-2012）和《江苏省农村生活垃圾分类工作评估办法（2022年版）》等技术标准和文件要求，镇村公共环卫设施包括：垃圾收集点（垃圾清运点）、垃圾收集站（中转点）、大件垃圾处理中心和可回收物分拣中心、建筑垃圾调配场、公厕、易腐垃圾处置中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各镇（区、街道）要结合镇级国土空间规划、村庄规划，将环卫设施用地作为规划编制的必备内容。要提前谋划、放眼未来、因地制宜，在相关规划中统筹好环卫设施用地布局、规模、标准等，注重布局的科学性、合理性、便民性，确保环卫设施用地空间需求。并将环卫设施布局作为规划成果报批必须审查的内容。</w:t>
      </w:r>
    </w:p>
    <w:p>
      <w:pPr>
        <w:pStyle w:val="9"/>
        <w:bidi w:val="0"/>
        <w:rPr>
          <w:rFonts w:hint="eastAsia"/>
          <w:b/>
          <w:bCs/>
        </w:rPr>
      </w:pPr>
      <w:r>
        <w:rPr>
          <w:rFonts w:hint="eastAsia"/>
          <w:b/>
          <w:bCs/>
        </w:rPr>
        <w:t>表</w:t>
      </w:r>
      <w:r>
        <w:rPr>
          <w:rFonts w:hint="eastAsia"/>
          <w:b/>
          <w:bCs/>
          <w:lang w:val="en-US" w:eastAsia="zh-CN"/>
        </w:rPr>
        <w:t>5</w:t>
      </w:r>
      <w:r>
        <w:rPr>
          <w:rFonts w:hint="eastAsia"/>
          <w:b/>
          <w:bCs/>
        </w:rPr>
        <w:t>：</w:t>
      </w:r>
      <w:r>
        <w:rPr>
          <w:rFonts w:hint="eastAsia"/>
          <w:b/>
          <w:bCs/>
          <w:lang w:eastAsia="zh-CN"/>
        </w:rPr>
        <w:t>镇村公共环卫设施设置项目</w:t>
      </w:r>
      <w:r>
        <w:rPr>
          <w:rFonts w:hint="eastAsia"/>
          <w:b/>
          <w:bCs/>
        </w:rPr>
        <w:t>表</w:t>
      </w:r>
    </w:p>
    <w:tbl>
      <w:tblPr>
        <w:tblStyle w:val="6"/>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0"/>
        <w:gridCol w:w="1110"/>
        <w:gridCol w:w="2073"/>
        <w:gridCol w:w="1450"/>
        <w:gridCol w:w="3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b w:val="0"/>
                <w:bCs w:val="0"/>
                <w:w w:val="100"/>
                <w:sz w:val="21"/>
                <w:szCs w:val="21"/>
                <w:lang w:val="en-US" w:eastAsia="zh-CN"/>
              </w:rPr>
            </w:pPr>
            <w:r>
              <w:rPr>
                <w:rFonts w:hint="eastAsia"/>
                <w:b w:val="0"/>
                <w:bCs w:val="0"/>
                <w:w w:val="100"/>
                <w:sz w:val="21"/>
                <w:szCs w:val="21"/>
                <w:lang w:val="en-US" w:eastAsia="zh-CN"/>
              </w:rPr>
              <w:t>级别</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b w:val="0"/>
                <w:bCs w:val="0"/>
                <w:w w:val="100"/>
                <w:sz w:val="21"/>
                <w:szCs w:val="21"/>
                <w:lang w:val="en-US" w:eastAsia="zh-CN"/>
              </w:rPr>
            </w:pPr>
            <w:r>
              <w:rPr>
                <w:rFonts w:hint="eastAsia"/>
                <w:b w:val="0"/>
                <w:bCs w:val="0"/>
                <w:w w:val="100"/>
                <w:sz w:val="21"/>
                <w:szCs w:val="21"/>
                <w:lang w:val="en-US" w:eastAsia="zh-CN"/>
              </w:rPr>
              <w:t>项目</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b w:val="0"/>
                <w:bCs w:val="0"/>
                <w:w w:val="100"/>
                <w:sz w:val="21"/>
                <w:szCs w:val="21"/>
                <w:lang w:val="en-US" w:eastAsia="zh-CN"/>
              </w:rPr>
            </w:pPr>
            <w:r>
              <w:rPr>
                <w:rFonts w:hint="eastAsia"/>
                <w:b w:val="0"/>
                <w:bCs w:val="0"/>
                <w:w w:val="100"/>
                <w:sz w:val="21"/>
                <w:szCs w:val="21"/>
                <w:lang w:val="en-US" w:eastAsia="zh-CN"/>
              </w:rPr>
              <w:t>数量要求(个)</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b w:val="0"/>
                <w:bCs w:val="0"/>
                <w:w w:val="100"/>
                <w:sz w:val="21"/>
                <w:szCs w:val="21"/>
                <w:lang w:val="en-US" w:eastAsia="zh-CN"/>
              </w:rPr>
            </w:pPr>
            <w:r>
              <w:rPr>
                <w:rFonts w:hint="eastAsia"/>
                <w:b w:val="0"/>
                <w:bCs w:val="0"/>
                <w:w w:val="100"/>
                <w:sz w:val="21"/>
                <w:szCs w:val="21"/>
                <w:lang w:val="en-US" w:eastAsia="zh-CN"/>
              </w:rPr>
              <w:t>用地面积</w:t>
            </w:r>
          </w:p>
          <w:p>
            <w:pPr>
              <w:spacing w:line="240" w:lineRule="auto"/>
              <w:ind w:firstLine="0" w:firstLineChars="0"/>
              <w:jc w:val="center"/>
              <w:rPr>
                <w:rFonts w:hint="default"/>
                <w:b w:val="0"/>
                <w:bCs w:val="0"/>
                <w:w w:val="100"/>
                <w:sz w:val="21"/>
                <w:szCs w:val="21"/>
                <w:lang w:val="en-US" w:eastAsia="zh-CN"/>
              </w:rPr>
            </w:pPr>
            <w:r>
              <w:rPr>
                <w:rFonts w:hint="eastAsia"/>
                <w:b w:val="0"/>
                <w:bCs w:val="0"/>
                <w:w w:val="100"/>
                <w:sz w:val="21"/>
                <w:szCs w:val="21"/>
                <w:lang w:val="en-US" w:eastAsia="zh-CN"/>
              </w:rPr>
              <w:t>(平方米)</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b w:val="0"/>
                <w:bCs w:val="0"/>
                <w:w w:val="100"/>
                <w:sz w:val="21"/>
                <w:szCs w:val="21"/>
                <w:lang w:val="en-US" w:eastAsia="zh-CN"/>
              </w:rPr>
            </w:pPr>
            <w:r>
              <w:rPr>
                <w:rFonts w:hint="eastAsia"/>
                <w:b w:val="0"/>
                <w:bCs w:val="0"/>
                <w:w w:val="100"/>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镇级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垃圾收集点(清运点)</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每个收集点服务半径不宜超过100米(数量按半径≤</w:t>
            </w:r>
          </w:p>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100米设置)。</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≥10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依据《环境卫生设置标准》</w:t>
            </w:r>
          </w:p>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(CJJ27-2012)单独设置。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大件垃圾处理中心和可回收物分拣中心</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各1处(可合建一处，分别设置)。</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大件垃圾处理中心≥200；可回收</w:t>
            </w:r>
          </w:p>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物分拣中心</w:t>
            </w:r>
          </w:p>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≥500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eastAsia"/>
                <w:w w:val="100"/>
                <w:sz w:val="21"/>
                <w:szCs w:val="21"/>
                <w:lang w:val="en-US" w:eastAsia="zh-CN"/>
              </w:rPr>
            </w:pPr>
            <w:r>
              <w:rPr>
                <w:rFonts w:hint="eastAsia"/>
                <w:w w:val="100"/>
                <w:sz w:val="21"/>
                <w:szCs w:val="21"/>
                <w:lang w:val="en-US" w:eastAsia="zh-CN"/>
              </w:rPr>
              <w:t>1.依据《环境卫生设置标准》(CJJ27-2012)和《江苏省农村生活垃圾分类工作评估办法(2022年版)》；</w:t>
            </w:r>
          </w:p>
          <w:p>
            <w:pPr>
              <w:spacing w:line="240" w:lineRule="auto"/>
              <w:ind w:firstLine="0" w:firstLineChars="0"/>
              <w:jc w:val="left"/>
              <w:rPr>
                <w:rFonts w:hint="default"/>
                <w:w w:val="100"/>
                <w:sz w:val="21"/>
                <w:szCs w:val="21"/>
                <w:lang w:val="en-US" w:eastAsia="zh-CN"/>
              </w:rPr>
            </w:pPr>
            <w:r>
              <w:rPr>
                <w:rFonts w:hint="eastAsia"/>
                <w:w w:val="100"/>
                <w:sz w:val="21"/>
                <w:szCs w:val="21"/>
                <w:lang w:val="en-US" w:eastAsia="zh-CN"/>
              </w:rPr>
              <w:t>2.存贮场所要符合《一般工业固废废物储存、处置场污染控制标准》(GB18599)。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建筑垃圾调配场</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1处</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≥5000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eastAsia"/>
                <w:w w:val="100"/>
                <w:sz w:val="21"/>
                <w:szCs w:val="21"/>
                <w:lang w:val="en-US" w:eastAsia="zh-CN"/>
              </w:rPr>
            </w:pPr>
            <w:r>
              <w:rPr>
                <w:rFonts w:hint="eastAsia"/>
                <w:w w:val="100"/>
                <w:sz w:val="21"/>
                <w:szCs w:val="21"/>
                <w:lang w:val="en-US" w:eastAsia="zh-CN"/>
              </w:rPr>
              <w:t>1.依据《环境卫生设置标准》距居民居住区大于0.5公里，堆放高度不超过地坪3米。</w:t>
            </w:r>
          </w:p>
          <w:p>
            <w:pPr>
              <w:spacing w:line="240" w:lineRule="auto"/>
              <w:ind w:firstLine="0" w:firstLineChars="0"/>
              <w:jc w:val="left"/>
              <w:rPr>
                <w:rFonts w:hint="default"/>
                <w:w w:val="100"/>
                <w:sz w:val="21"/>
                <w:szCs w:val="21"/>
                <w:lang w:val="en-US" w:eastAsia="zh-CN"/>
              </w:rPr>
            </w:pPr>
            <w:r>
              <w:rPr>
                <w:rFonts w:hint="eastAsia"/>
                <w:w w:val="100"/>
                <w:sz w:val="21"/>
                <w:szCs w:val="21"/>
                <w:lang w:val="en-US" w:eastAsia="zh-CN"/>
              </w:rPr>
              <w:t>2.落实扬尘管控六个百分百，符合安全要求。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易腐垃圾处置场所</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1处(处理能力需大于产生数量)</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eastAsia"/>
                <w:w w:val="100"/>
                <w:sz w:val="21"/>
                <w:szCs w:val="21"/>
                <w:lang w:val="en-US" w:eastAsia="zh-CN"/>
              </w:rPr>
            </w:pPr>
            <w:r>
              <w:rPr>
                <w:rFonts w:hint="eastAsia"/>
                <w:w w:val="100"/>
                <w:sz w:val="21"/>
                <w:szCs w:val="21"/>
                <w:lang w:val="en-US" w:eastAsia="zh-CN"/>
              </w:rPr>
              <w:t>日处理能力5吨以内≥60；</w:t>
            </w:r>
          </w:p>
          <w:p>
            <w:pPr>
              <w:spacing w:line="240" w:lineRule="auto"/>
              <w:ind w:firstLine="0" w:firstLineChars="0"/>
              <w:jc w:val="left"/>
              <w:rPr>
                <w:rFonts w:hint="eastAsia"/>
                <w:w w:val="100"/>
                <w:sz w:val="21"/>
                <w:szCs w:val="21"/>
                <w:lang w:val="en-US" w:eastAsia="zh-CN"/>
              </w:rPr>
            </w:pPr>
            <w:r>
              <w:rPr>
                <w:rFonts w:hint="eastAsia"/>
                <w:w w:val="100"/>
                <w:sz w:val="21"/>
                <w:szCs w:val="21"/>
                <w:lang w:val="en-US" w:eastAsia="zh-CN"/>
              </w:rPr>
              <w:t>日处理能力10吨以内≥300；</w:t>
            </w:r>
          </w:p>
          <w:p>
            <w:pPr>
              <w:spacing w:line="240" w:lineRule="auto"/>
              <w:ind w:firstLine="0" w:firstLineChars="0"/>
              <w:jc w:val="left"/>
              <w:rPr>
                <w:rFonts w:hint="default"/>
                <w:w w:val="100"/>
                <w:sz w:val="21"/>
                <w:szCs w:val="21"/>
                <w:lang w:val="en-US" w:eastAsia="zh-CN"/>
              </w:rPr>
            </w:pPr>
            <w:r>
              <w:rPr>
                <w:rFonts w:hint="eastAsia"/>
                <w:w w:val="100"/>
                <w:sz w:val="21"/>
                <w:szCs w:val="21"/>
                <w:lang w:val="en-US" w:eastAsia="zh-CN"/>
              </w:rPr>
              <w:t>停车场≥100。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left"/>
              <w:rPr>
                <w:rFonts w:hint="default"/>
                <w:w w:val="100"/>
                <w:sz w:val="21"/>
                <w:szCs w:val="21"/>
                <w:lang w:val="en-US" w:eastAsia="zh-CN"/>
              </w:rPr>
            </w:pPr>
            <w:r>
              <w:rPr>
                <w:rFonts w:hint="eastAsia"/>
                <w:w w:val="100"/>
                <w:sz w:val="21"/>
                <w:szCs w:val="21"/>
                <w:lang w:val="en-US" w:eastAsia="zh-CN"/>
              </w:rPr>
              <w:t>1. 《江苏省农村生活垃圾分类工作评估办法(2022年版)》,易腐垃圾处置场所距居民大于0.5公里，另预留停车场地约100平方米。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公厕</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每平方公里不宜少于3处 。</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≥60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依据《环境卫生设置标准》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default"/>
                <w:w w:val="100"/>
                <w:sz w:val="21"/>
                <w:szCs w:val="21"/>
                <w:lang w:val="en-US" w:eastAsia="zh-CN"/>
              </w:rPr>
            </w:pPr>
            <w:r>
              <w:rPr>
                <w:rFonts w:hint="eastAsia"/>
                <w:w w:val="100"/>
                <w:sz w:val="21"/>
                <w:szCs w:val="21"/>
                <w:lang w:val="en-US" w:eastAsia="zh-CN"/>
              </w:rPr>
              <w:t>村级</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垃圾收集点(清运点)</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每个收集点服务半径不宜超过0.5公里(数量按半径≤0.5公里设置)。</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≥20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单独设置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垃圾收集站(中转点)</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人力收集服务半径宜为0.4公里以内，最大不宜超过1公里；小型机动车(电动车)收集，服务半径不宜超过2公里；建议每个自然村1至2处。</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≥80</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依据《环境卫生设置标准》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易腐垃圾处置场所</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日处理能力4-5吨，占地100平方米。</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依据《环境卫生设置标准》，易腐垃圾处置场所距居民大于0.5公里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w w:val="100"/>
                <w:sz w:val="21"/>
                <w:szCs w:val="21"/>
                <w:lang w:val="en-US" w:eastAsia="zh-CN"/>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公厕</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有公共活动区域的村(居),每村至少一处。</w:t>
            </w:r>
          </w:p>
        </w:tc>
        <w:tc>
          <w:tcPr>
            <w:tcW w:w="14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ind w:firstLine="0" w:firstLineChars="0"/>
              <w:jc w:val="center"/>
              <w:rPr>
                <w:rFonts w:hint="eastAsia"/>
                <w:w w:val="100"/>
                <w:sz w:val="21"/>
                <w:szCs w:val="21"/>
                <w:lang w:val="en-US" w:eastAsia="zh-CN"/>
              </w:rPr>
            </w:pP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hint="eastAsia"/>
                <w:w w:val="100"/>
                <w:sz w:val="21"/>
                <w:szCs w:val="21"/>
                <w:lang w:val="en-US" w:eastAsia="zh-CN"/>
              </w:rPr>
            </w:pPr>
            <w:r>
              <w:rPr>
                <w:rFonts w:hint="eastAsia"/>
                <w:w w:val="100"/>
                <w:sz w:val="21"/>
                <w:szCs w:val="21"/>
                <w:lang w:val="en-US" w:eastAsia="zh-CN"/>
              </w:rPr>
              <w:t>依据《环境卫生设置标准》</w:t>
            </w:r>
          </w:p>
        </w:tc>
      </w:tr>
    </w:tbl>
    <w:p>
      <w:pPr>
        <w:bidi w:val="0"/>
        <w:rPr>
          <w:rFonts w:hint="eastAsia"/>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eastAsia="仿宋_GB2312"/>
          <w:b/>
          <w:bCs/>
          <w:sz w:val="28"/>
          <w:szCs w:val="28"/>
          <w:lang w:val="en-US" w:eastAsia="zh-CN"/>
        </w:rPr>
      </w:pPr>
      <w:r>
        <w:rPr>
          <w:rFonts w:hint="eastAsia" w:eastAsia="仿宋_GB2312"/>
          <w:b/>
          <w:bCs/>
          <w:sz w:val="28"/>
          <w:szCs w:val="28"/>
          <w:lang w:val="en-US" w:eastAsia="zh-CN"/>
        </w:rPr>
        <w:t>第五节：公共厕所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各类城市用地公共厕所布局标准应符合下表规定：</w:t>
      </w:r>
    </w:p>
    <w:p>
      <w:pPr>
        <w:pStyle w:val="9"/>
        <w:bidi w:val="0"/>
        <w:rPr>
          <w:rFonts w:hint="eastAsia"/>
        </w:rPr>
      </w:pPr>
      <w:r>
        <w:rPr>
          <w:rFonts w:hint="eastAsia"/>
        </w:rPr>
        <w:t>表</w:t>
      </w:r>
      <w:r>
        <w:rPr>
          <w:rFonts w:hint="eastAsia"/>
          <w:lang w:val="en-US" w:eastAsia="zh-CN"/>
        </w:rPr>
        <w:t>6</w:t>
      </w:r>
      <w:r>
        <w:rPr>
          <w:rFonts w:hint="eastAsia"/>
        </w:rPr>
        <w:t>：公共厕所</w:t>
      </w:r>
      <w:r>
        <w:rPr>
          <w:rFonts w:hint="eastAsia"/>
          <w:lang w:eastAsia="zh-CN"/>
        </w:rPr>
        <w:t>布局</w:t>
      </w:r>
      <w:r>
        <w:rPr>
          <w:rFonts w:hint="eastAsia"/>
        </w:rPr>
        <w:t>标准</w:t>
      </w:r>
    </w:p>
    <w:tbl>
      <w:tblPr>
        <w:tblStyle w:val="6"/>
        <w:tblW w:w="8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59"/>
        <w:gridCol w:w="1919"/>
        <w:gridCol w:w="1921"/>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275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4"/>
                <w:szCs w:val="24"/>
              </w:rPr>
            </w:pPr>
            <w:r>
              <w:rPr>
                <w:rFonts w:hint="eastAsia"/>
                <w:w w:val="100"/>
                <w:sz w:val="24"/>
                <w:szCs w:val="24"/>
              </w:rPr>
              <w:t>城市用地类型</w:t>
            </w:r>
          </w:p>
        </w:tc>
        <w:tc>
          <w:tcPr>
            <w:tcW w:w="191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eastAsia="宋体"/>
                <w:w w:val="100"/>
                <w:sz w:val="24"/>
                <w:szCs w:val="24"/>
                <w:lang w:val="en-US" w:eastAsia="zh-CN"/>
              </w:rPr>
            </w:pPr>
            <w:r>
              <w:rPr>
                <w:rFonts w:hint="eastAsia"/>
                <w:w w:val="100"/>
                <w:sz w:val="24"/>
                <w:szCs w:val="24"/>
                <w:lang w:val="en-US" w:eastAsia="zh-CN"/>
              </w:rPr>
              <w:t>设置密度（</w:t>
            </w:r>
            <w:r>
              <w:rPr>
                <w:rFonts w:hint="eastAsia"/>
                <w:w w:val="100"/>
                <w:sz w:val="24"/>
                <w:szCs w:val="24"/>
              </w:rPr>
              <w:t>座/</w:t>
            </w:r>
            <w:r>
              <w:rPr>
                <w:rFonts w:hint="eastAsia"/>
                <w:w w:val="100"/>
                <w:sz w:val="24"/>
                <w:szCs w:val="24"/>
                <w:lang w:val="en-US" w:eastAsia="zh-CN"/>
              </w:rPr>
              <w:t>k</w:t>
            </w:r>
            <w:r>
              <w:rPr>
                <w:rFonts w:hint="eastAsia"/>
                <w:w w:val="100"/>
                <w:sz w:val="24"/>
                <w:szCs w:val="24"/>
              </w:rPr>
              <w:t>m</w:t>
            </w:r>
            <w:r>
              <w:rPr>
                <w:rFonts w:hint="eastAsia"/>
                <w:w w:val="100"/>
                <w:sz w:val="24"/>
                <w:szCs w:val="24"/>
                <w:vertAlign w:val="superscript"/>
              </w:rPr>
              <w:t>2</w:t>
            </w:r>
            <w:r>
              <w:rPr>
                <w:rFonts w:hint="eastAsia"/>
                <w:w w:val="100"/>
                <w:sz w:val="24"/>
                <w:szCs w:val="24"/>
                <w:lang w:val="en-US" w:eastAsia="zh-CN"/>
              </w:rPr>
              <w:t>）</w:t>
            </w:r>
          </w:p>
        </w:tc>
        <w:tc>
          <w:tcPr>
            <w:tcW w:w="1921"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4"/>
                <w:szCs w:val="24"/>
              </w:rPr>
            </w:pPr>
            <w:r>
              <w:rPr>
                <w:rFonts w:hint="eastAsia"/>
                <w:w w:val="100"/>
                <w:sz w:val="24"/>
                <w:szCs w:val="24"/>
              </w:rPr>
              <w:t>建筑面积（m</w:t>
            </w:r>
            <w:r>
              <w:rPr>
                <w:rFonts w:hint="eastAsia"/>
                <w:w w:val="100"/>
                <w:sz w:val="24"/>
                <w:szCs w:val="24"/>
                <w:vertAlign w:val="superscript"/>
              </w:rPr>
              <w:t>2</w:t>
            </w:r>
            <w:r>
              <w:rPr>
                <w:rFonts w:hint="eastAsia"/>
                <w:w w:val="100"/>
                <w:sz w:val="24"/>
                <w:szCs w:val="24"/>
              </w:rPr>
              <w:t>/座）</w:t>
            </w:r>
          </w:p>
        </w:tc>
        <w:tc>
          <w:tcPr>
            <w:tcW w:w="1920"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4"/>
                <w:szCs w:val="24"/>
              </w:rPr>
            </w:pPr>
            <w:r>
              <w:rPr>
                <w:rFonts w:hint="eastAsia"/>
                <w:w w:val="100"/>
                <w:sz w:val="24"/>
                <w:szCs w:val="24"/>
              </w:rPr>
              <w:t>独立式公厕用地面积</w:t>
            </w:r>
          </w:p>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4"/>
                <w:szCs w:val="24"/>
              </w:rPr>
            </w:pPr>
            <w:r>
              <w:rPr>
                <w:rFonts w:hint="eastAsia"/>
                <w:w w:val="100"/>
                <w:sz w:val="24"/>
                <w:szCs w:val="24"/>
              </w:rPr>
              <w:t>（m</w:t>
            </w:r>
            <w:r>
              <w:rPr>
                <w:rFonts w:hint="eastAsia"/>
                <w:w w:val="100"/>
                <w:sz w:val="24"/>
                <w:szCs w:val="24"/>
                <w:vertAlign w:val="superscript"/>
              </w:rPr>
              <w:t>2</w:t>
            </w:r>
            <w:r>
              <w:rPr>
                <w:rFonts w:hint="eastAsia"/>
                <w:w w:val="100"/>
                <w:sz w:val="24"/>
                <w:szCs w:val="24"/>
              </w:rPr>
              <w:t>/座）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75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居住用地</w:t>
            </w:r>
          </w:p>
        </w:tc>
        <w:tc>
          <w:tcPr>
            <w:tcW w:w="191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3-5</w:t>
            </w:r>
          </w:p>
        </w:tc>
        <w:tc>
          <w:tcPr>
            <w:tcW w:w="1921"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eastAsia="宋体"/>
                <w:w w:val="100"/>
                <w:sz w:val="21"/>
                <w:szCs w:val="21"/>
                <w:lang w:val="en-US" w:eastAsia="zh-CN"/>
              </w:rPr>
            </w:pPr>
            <w:r>
              <w:rPr>
                <w:rFonts w:hint="eastAsia"/>
                <w:w w:val="100"/>
                <w:sz w:val="21"/>
                <w:szCs w:val="21"/>
              </w:rPr>
              <w:t>30-</w:t>
            </w:r>
            <w:r>
              <w:rPr>
                <w:rFonts w:hint="eastAsia"/>
                <w:w w:val="100"/>
                <w:sz w:val="21"/>
                <w:szCs w:val="21"/>
                <w:lang w:val="en-US" w:eastAsia="zh-CN"/>
              </w:rPr>
              <w:t>80</w:t>
            </w:r>
          </w:p>
        </w:tc>
        <w:tc>
          <w:tcPr>
            <w:tcW w:w="1920"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eastAsia="宋体"/>
                <w:w w:val="100"/>
                <w:sz w:val="21"/>
                <w:szCs w:val="21"/>
                <w:lang w:val="en-US" w:eastAsia="zh-CN"/>
              </w:rPr>
            </w:pPr>
            <w:r>
              <w:rPr>
                <w:rFonts w:hint="eastAsia"/>
                <w:w w:val="100"/>
                <w:sz w:val="21"/>
                <w:szCs w:val="21"/>
              </w:rPr>
              <w:t>60-</w:t>
            </w:r>
            <w:r>
              <w:rPr>
                <w:rFonts w:hint="eastAsia"/>
                <w:w w:val="100"/>
                <w:sz w:val="21"/>
                <w:szCs w:val="21"/>
                <w:lang w:val="en-US" w:eastAsia="zh-CN"/>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75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w w:val="100"/>
                <w:sz w:val="21"/>
                <w:szCs w:val="21"/>
                <w:lang w:val="en-US" w:eastAsia="zh-CN"/>
              </w:rPr>
            </w:pPr>
            <w:r>
              <w:rPr>
                <w:rFonts w:hint="eastAsia"/>
                <w:w w:val="100"/>
                <w:sz w:val="21"/>
                <w:szCs w:val="21"/>
              </w:rPr>
              <w:t>公共</w:t>
            </w:r>
            <w:r>
              <w:rPr>
                <w:rFonts w:hint="eastAsia"/>
                <w:w w:val="100"/>
                <w:sz w:val="21"/>
                <w:szCs w:val="21"/>
                <w:lang w:val="en-US" w:eastAsia="zh-CN"/>
              </w:rPr>
              <w:t>管理与公共服务设施用地、商业服务设施用地、道路与交通设施用地</w:t>
            </w:r>
          </w:p>
        </w:tc>
        <w:tc>
          <w:tcPr>
            <w:tcW w:w="191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4-11</w:t>
            </w:r>
          </w:p>
        </w:tc>
        <w:tc>
          <w:tcPr>
            <w:tcW w:w="1921"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50-120</w:t>
            </w:r>
          </w:p>
        </w:tc>
        <w:tc>
          <w:tcPr>
            <w:tcW w:w="1920"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80-170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75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eastAsia="宋体"/>
                <w:w w:val="100"/>
                <w:sz w:val="21"/>
                <w:szCs w:val="21"/>
                <w:lang w:val="en-US" w:eastAsia="zh-CN"/>
              </w:rPr>
            </w:pPr>
            <w:r>
              <w:rPr>
                <w:rFonts w:hint="eastAsia"/>
                <w:w w:val="100"/>
                <w:sz w:val="21"/>
                <w:szCs w:val="21"/>
                <w:lang w:val="en-US" w:eastAsia="zh-CN"/>
              </w:rPr>
              <w:t>绿地与广场用地</w:t>
            </w:r>
          </w:p>
        </w:tc>
        <w:tc>
          <w:tcPr>
            <w:tcW w:w="191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5-6</w:t>
            </w:r>
          </w:p>
        </w:tc>
        <w:tc>
          <w:tcPr>
            <w:tcW w:w="1921"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50-120</w:t>
            </w:r>
          </w:p>
        </w:tc>
        <w:tc>
          <w:tcPr>
            <w:tcW w:w="1920"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80-170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75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w w:val="100"/>
                <w:sz w:val="21"/>
                <w:szCs w:val="21"/>
                <w:lang w:val="en-US" w:eastAsia="zh-CN"/>
              </w:rPr>
            </w:pPr>
            <w:r>
              <w:rPr>
                <w:rFonts w:hint="eastAsia"/>
                <w:w w:val="100"/>
                <w:sz w:val="21"/>
                <w:szCs w:val="21"/>
                <w:lang w:val="en-US" w:eastAsia="zh-CN"/>
              </w:rPr>
              <w:t>工业用地、物流仓储用地、公用设施用地</w:t>
            </w:r>
          </w:p>
        </w:tc>
        <w:tc>
          <w:tcPr>
            <w:tcW w:w="1919"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w w:val="100"/>
                <w:sz w:val="21"/>
                <w:szCs w:val="21"/>
              </w:rPr>
            </w:pPr>
            <w:r>
              <w:rPr>
                <w:rFonts w:hint="eastAsia"/>
                <w:w w:val="100"/>
                <w:sz w:val="21"/>
                <w:szCs w:val="21"/>
              </w:rPr>
              <w:t>1-2</w:t>
            </w:r>
          </w:p>
        </w:tc>
        <w:tc>
          <w:tcPr>
            <w:tcW w:w="1921"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eastAsia="宋体"/>
                <w:w w:val="100"/>
                <w:sz w:val="21"/>
                <w:szCs w:val="21"/>
                <w:lang w:val="en-US" w:eastAsia="zh-CN"/>
              </w:rPr>
            </w:pPr>
            <w:r>
              <w:rPr>
                <w:rFonts w:hint="eastAsia"/>
                <w:w w:val="100"/>
                <w:sz w:val="21"/>
                <w:szCs w:val="21"/>
              </w:rPr>
              <w:t>30</w:t>
            </w:r>
            <w:r>
              <w:rPr>
                <w:rFonts w:hint="eastAsia"/>
                <w:w w:val="100"/>
                <w:sz w:val="21"/>
                <w:szCs w:val="21"/>
                <w:lang w:val="en-US" w:eastAsia="zh-CN"/>
              </w:rPr>
              <w:t>-60</w:t>
            </w:r>
          </w:p>
        </w:tc>
        <w:tc>
          <w:tcPr>
            <w:tcW w:w="1920" w:type="dxa"/>
            <w:vAlign w:val="center"/>
          </w:tcPr>
          <w:p>
            <w:pPr>
              <w:pStyle w:val="10"/>
              <w:keepNext w:val="0"/>
              <w:keepLines w:val="0"/>
              <w:pageBreakBefore w:val="0"/>
              <w:widowControl/>
              <w:kinsoku/>
              <w:wordWrap/>
              <w:overflowPunct/>
              <w:topLinePunct/>
              <w:autoSpaceDE/>
              <w:autoSpaceDN/>
              <w:bidi w:val="0"/>
              <w:adjustRightInd/>
              <w:snapToGrid/>
              <w:spacing w:line="240" w:lineRule="auto"/>
              <w:ind w:firstLine="0"/>
              <w:textAlignment w:val="auto"/>
              <w:rPr>
                <w:rFonts w:hint="default" w:eastAsia="宋体"/>
                <w:w w:val="100"/>
                <w:sz w:val="21"/>
                <w:szCs w:val="21"/>
                <w:lang w:val="en-US" w:eastAsia="zh-CN"/>
              </w:rPr>
            </w:pPr>
            <w:r>
              <w:rPr>
                <w:rFonts w:hint="eastAsia"/>
                <w:w w:val="100"/>
                <w:sz w:val="21"/>
                <w:szCs w:val="21"/>
              </w:rPr>
              <w:t>60</w:t>
            </w:r>
            <w:r>
              <w:rPr>
                <w:rFonts w:hint="eastAsia"/>
                <w:w w:val="100"/>
                <w:sz w:val="21"/>
                <w:szCs w:val="21"/>
                <w:lang w:val="en-US" w:eastAsia="zh-CN"/>
              </w:rPr>
              <w:t>-100</w:t>
            </w:r>
          </w:p>
        </w:tc>
      </w:tr>
    </w:tbl>
    <w:p>
      <w:pPr>
        <w:spacing w:line="240" w:lineRule="auto"/>
        <w:ind w:firstLine="480"/>
        <w:rPr>
          <w:rFonts w:hint="eastAsia"/>
          <w:w w:val="100"/>
          <w:sz w:val="18"/>
          <w:szCs w:val="18"/>
          <w:lang w:val="en-US" w:eastAsia="zh-CN"/>
        </w:rPr>
      </w:pPr>
      <w:r>
        <w:rPr>
          <w:rFonts w:hint="eastAsia"/>
          <w:w w:val="100"/>
          <w:sz w:val="18"/>
          <w:szCs w:val="18"/>
          <w:lang w:val="en-US" w:eastAsia="zh-CN"/>
        </w:rPr>
        <w:t>注：①公共厕所用地面积、建筑面积应根据现场用地情况、人流量和区域重要性确定。特殊区域或具有特殊功能的公共厕所可突破本标准面积上限。②道路与交通设施用地不包括城市道路用地和城市轨道交通用地。③绿地用地不包括防护绿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沿道路设置的公共厕所间距应符合下表规定：</w:t>
      </w:r>
    </w:p>
    <w:p>
      <w:pPr>
        <w:pStyle w:val="9"/>
        <w:bidi w:val="0"/>
        <w:rPr>
          <w:rFonts w:hint="eastAsia"/>
        </w:rPr>
      </w:pPr>
      <w:r>
        <w:rPr>
          <w:rFonts w:hint="eastAsia"/>
        </w:rPr>
        <w:t>表</w:t>
      </w:r>
      <w:r>
        <w:rPr>
          <w:rFonts w:hint="eastAsia"/>
          <w:lang w:val="en-US" w:eastAsia="zh-CN"/>
        </w:rPr>
        <w:t>7</w:t>
      </w:r>
      <w:r>
        <w:rPr>
          <w:rFonts w:hint="eastAsia"/>
        </w:rPr>
        <w:t>：公共厕所设置标准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default" w:ascii="宋体" w:hAnsi="Times New Roman" w:eastAsia="宋体" w:cs="Times New Roman"/>
                <w:snapToGrid w:val="0"/>
                <w:w w:val="100"/>
                <w:kern w:val="0"/>
                <w:sz w:val="24"/>
                <w:szCs w:val="24"/>
                <w:lang w:val="en-US" w:eastAsia="zh-CN" w:bidi="ar-SA"/>
              </w:rPr>
            </w:pPr>
            <w:r>
              <w:rPr>
                <w:rFonts w:hint="eastAsia" w:ascii="宋体" w:hAnsi="Times New Roman" w:eastAsia="宋体" w:cs="Times New Roman"/>
                <w:snapToGrid w:val="0"/>
                <w:w w:val="100"/>
                <w:kern w:val="0"/>
                <w:sz w:val="24"/>
                <w:szCs w:val="24"/>
                <w:lang w:val="en-US" w:eastAsia="zh-CN" w:bidi="ar-SA"/>
              </w:rPr>
              <w:t>设置位置</w:t>
            </w:r>
          </w:p>
        </w:tc>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default" w:ascii="宋体" w:hAnsi="Times New Roman" w:eastAsia="宋体" w:cs="Times New Roman"/>
                <w:snapToGrid w:val="0"/>
                <w:w w:val="100"/>
                <w:kern w:val="0"/>
                <w:sz w:val="24"/>
                <w:szCs w:val="24"/>
                <w:lang w:val="en-US" w:eastAsia="zh-CN" w:bidi="ar-SA"/>
              </w:rPr>
            </w:pPr>
            <w:r>
              <w:rPr>
                <w:rFonts w:hint="eastAsia" w:ascii="宋体" w:hAnsi="Times New Roman" w:eastAsia="宋体" w:cs="Times New Roman"/>
                <w:snapToGrid w:val="0"/>
                <w:w w:val="100"/>
                <w:kern w:val="0"/>
                <w:sz w:val="24"/>
                <w:szCs w:val="24"/>
                <w:lang w:val="en-US" w:eastAsia="zh-CN" w:bidi="ar-SA"/>
              </w:rPr>
              <w:t>设置间距（m）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eastAsia" w:ascii="宋体" w:hAnsi="Times New Roman" w:eastAsia="宋体" w:cs="Times New Roman"/>
                <w:snapToGrid w:val="0"/>
                <w:w w:val="100"/>
                <w:kern w:val="0"/>
                <w:sz w:val="21"/>
                <w:szCs w:val="21"/>
                <w:lang w:val="en-US" w:eastAsia="zh-CN" w:bidi="ar-SA"/>
              </w:rPr>
            </w:pPr>
            <w:r>
              <w:rPr>
                <w:rFonts w:hint="eastAsia" w:ascii="宋体" w:hAnsi="Times New Roman" w:eastAsia="宋体" w:cs="Times New Roman"/>
                <w:snapToGrid w:val="0"/>
                <w:w w:val="100"/>
                <w:kern w:val="0"/>
                <w:sz w:val="21"/>
                <w:szCs w:val="21"/>
                <w:lang w:val="en-US" w:eastAsia="zh-CN" w:bidi="ar-SA"/>
              </w:rPr>
              <w:t>商业区周边道路</w:t>
            </w:r>
          </w:p>
        </w:tc>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default" w:ascii="宋体" w:hAnsi="Times New Roman" w:eastAsia="宋体" w:cs="Times New Roman"/>
                <w:snapToGrid w:val="0"/>
                <w:w w:val="100"/>
                <w:kern w:val="0"/>
                <w:sz w:val="21"/>
                <w:szCs w:val="21"/>
                <w:lang w:val="en-US" w:eastAsia="zh-CN" w:bidi="ar-SA"/>
              </w:rPr>
            </w:pPr>
            <w:r>
              <w:rPr>
                <w:rFonts w:hint="eastAsia" w:ascii="宋体" w:hAnsi="Times New Roman" w:eastAsia="宋体" w:cs="Times New Roman"/>
                <w:snapToGrid w:val="0"/>
                <w:w w:val="100"/>
                <w:kern w:val="0"/>
                <w:sz w:val="21"/>
                <w:szCs w:val="21"/>
                <w:lang w:val="en-US" w:eastAsia="zh-CN" w:bidi="ar-S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eastAsia" w:ascii="宋体" w:hAnsi="Times New Roman" w:eastAsia="宋体" w:cs="Times New Roman"/>
                <w:snapToGrid w:val="0"/>
                <w:w w:val="100"/>
                <w:kern w:val="0"/>
                <w:sz w:val="21"/>
                <w:szCs w:val="21"/>
                <w:lang w:val="en-US" w:eastAsia="zh-CN" w:bidi="ar-SA"/>
              </w:rPr>
            </w:pPr>
            <w:r>
              <w:rPr>
                <w:rFonts w:hint="eastAsia" w:ascii="宋体" w:hAnsi="Times New Roman" w:eastAsia="宋体" w:cs="Times New Roman"/>
                <w:snapToGrid w:val="0"/>
                <w:w w:val="100"/>
                <w:kern w:val="0"/>
                <w:sz w:val="21"/>
                <w:szCs w:val="21"/>
                <w:lang w:val="en-US" w:eastAsia="zh-CN" w:bidi="ar-SA"/>
              </w:rPr>
              <w:t>生活区周边道路</w:t>
            </w:r>
          </w:p>
        </w:tc>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default" w:ascii="宋体" w:hAnsi="Times New Roman" w:eastAsia="宋体" w:cs="Times New Roman"/>
                <w:snapToGrid w:val="0"/>
                <w:w w:val="100"/>
                <w:kern w:val="0"/>
                <w:sz w:val="21"/>
                <w:szCs w:val="21"/>
                <w:lang w:val="en-US" w:eastAsia="zh-CN" w:bidi="ar-SA"/>
              </w:rPr>
            </w:pPr>
            <w:r>
              <w:rPr>
                <w:rFonts w:hint="eastAsia" w:ascii="宋体" w:hAnsi="Times New Roman" w:eastAsia="宋体" w:cs="Times New Roman"/>
                <w:snapToGrid w:val="0"/>
                <w:w w:val="100"/>
                <w:kern w:val="0"/>
                <w:sz w:val="21"/>
                <w:szCs w:val="21"/>
                <w:lang w:val="en-US" w:eastAsia="zh-CN" w:bidi="ar-SA"/>
              </w:rPr>
              <w:t>400-600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eastAsia" w:ascii="宋体" w:hAnsi="Times New Roman" w:eastAsia="宋体" w:cs="Times New Roman"/>
                <w:snapToGrid w:val="0"/>
                <w:w w:val="100"/>
                <w:kern w:val="0"/>
                <w:sz w:val="21"/>
                <w:szCs w:val="21"/>
                <w:lang w:val="en-US" w:eastAsia="zh-CN" w:bidi="ar-SA"/>
              </w:rPr>
            </w:pPr>
            <w:r>
              <w:rPr>
                <w:rFonts w:hint="eastAsia" w:ascii="宋体" w:hAnsi="Times New Roman" w:eastAsia="宋体" w:cs="Times New Roman"/>
                <w:snapToGrid w:val="0"/>
                <w:w w:val="100"/>
                <w:kern w:val="0"/>
                <w:sz w:val="21"/>
                <w:szCs w:val="21"/>
                <w:lang w:val="en-US" w:eastAsia="zh-CN" w:bidi="ar-SA"/>
              </w:rPr>
              <w:t>其他区周边道路</w:t>
            </w:r>
          </w:p>
        </w:tc>
        <w:tc>
          <w:tcPr>
            <w:tcW w:w="4261" w:type="dxa"/>
            <w:vAlign w:val="center"/>
          </w:tcPr>
          <w:p>
            <w:pPr>
              <w:keepNext w:val="0"/>
              <w:keepLines w:val="0"/>
              <w:pageBreakBefore w:val="0"/>
              <w:widowControl/>
              <w:kinsoku/>
              <w:wordWrap/>
              <w:overflowPunct/>
              <w:topLinePunct/>
              <w:autoSpaceDE/>
              <w:autoSpaceDN/>
              <w:bidi w:val="0"/>
              <w:adjustRightInd w:val="0"/>
              <w:snapToGrid w:val="0"/>
              <w:spacing w:line="240" w:lineRule="auto"/>
              <w:ind w:firstLine="0" w:firstLineChars="0"/>
              <w:jc w:val="center"/>
              <w:textAlignment w:val="auto"/>
              <w:rPr>
                <w:rFonts w:hint="default" w:ascii="宋体" w:hAnsi="Times New Roman" w:eastAsia="宋体" w:cs="Times New Roman"/>
                <w:snapToGrid w:val="0"/>
                <w:w w:val="100"/>
                <w:kern w:val="0"/>
                <w:sz w:val="21"/>
                <w:szCs w:val="21"/>
                <w:lang w:val="en-US" w:eastAsia="zh-CN" w:bidi="ar-SA"/>
              </w:rPr>
            </w:pPr>
            <w:r>
              <w:rPr>
                <w:rFonts w:hint="eastAsia" w:ascii="宋体" w:hAnsi="Times New Roman" w:eastAsia="宋体" w:cs="Times New Roman"/>
                <w:snapToGrid w:val="0"/>
                <w:w w:val="100"/>
                <w:kern w:val="0"/>
                <w:sz w:val="21"/>
                <w:szCs w:val="21"/>
                <w:lang w:val="en-US" w:eastAsia="zh-CN" w:bidi="ar-SA"/>
              </w:rPr>
              <w:t>600-1200</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对于新建的交通场站、商业设施、文体娱乐设施、公园、加油站、旅游景点等公共场所由产权单位按照规范建设社会公厕。部分社会投资建设的项目，如新建住宅、商务办公等，根据规划条件要求，除自身配建，还需配套建设市政公厕的，市政公厕建成后移交环卫部门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除地块配建，沿道路设置的公共厕所作为市政公厕，由环卫部门统一管理。现状中心城区内、外城河两侧公共厕所较为密集，间距在150-400米之间，规划不考虑进行新增；花城大道、惠民路、惠政路、紫光路作为交通性主干道，考虑加油站配建公共厕所外不再新建公共厕所；其余道路两侧及地块根据相应指标进行配置。本次规划近期新建公共厕所19座，远期新建20座。</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eastAsia="仿宋_GB2312"/>
          <w:b/>
          <w:bCs/>
          <w:sz w:val="28"/>
          <w:szCs w:val="28"/>
          <w:lang w:val="en-US" w:eastAsia="zh-CN"/>
        </w:rPr>
      </w:pPr>
      <w:r>
        <w:rPr>
          <w:rFonts w:hint="eastAsia" w:eastAsia="仿宋_GB2312"/>
          <w:b/>
          <w:bCs/>
          <w:sz w:val="28"/>
          <w:szCs w:val="28"/>
          <w:lang w:val="en-US" w:eastAsia="zh-CN"/>
        </w:rPr>
        <w:t>第六节  其他环卫设施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规划在如城街道红星社区中山路南侧，花市路西侧，红星河东侧，设置环卫车辆调度中心，兼具车辆停放与修理功能，停车面积约为9000㎡。</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eastAsia="仿宋_GB2312"/>
          <w:b/>
          <w:bCs/>
          <w:sz w:val="28"/>
          <w:szCs w:val="28"/>
          <w:lang w:val="en-US" w:eastAsia="zh-CN"/>
        </w:rPr>
      </w:pPr>
      <w:r>
        <w:rPr>
          <w:rFonts w:hint="eastAsia" w:eastAsia="仿宋_GB2312"/>
          <w:b/>
          <w:bCs/>
          <w:sz w:val="28"/>
          <w:szCs w:val="28"/>
          <w:lang w:val="en-US" w:eastAsia="zh-CN"/>
        </w:rPr>
        <w:t>八、建设项目实施和用地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仿宋_GB2312"/>
          <w:sz w:val="28"/>
          <w:szCs w:val="28"/>
          <w:lang w:val="en-US" w:eastAsia="zh-CN"/>
        </w:rPr>
      </w:pPr>
      <w:r>
        <w:rPr>
          <w:rFonts w:hint="eastAsia" w:eastAsia="仿宋_GB2312"/>
          <w:sz w:val="28"/>
          <w:szCs w:val="28"/>
          <w:lang w:val="en-US" w:eastAsia="zh-CN"/>
        </w:rPr>
        <w:t>建设项目包括公共厕所、环卫休息点、垃圾转运站、进城车辆清洗站、环卫机构、环卫停车场、垃圾容器、废物箱、环卫车辆、水域保洁基地、生活垃圾处理场等机构、设施和设备。</w:t>
      </w:r>
    </w:p>
    <w:p>
      <w:pPr>
        <w:pStyle w:val="9"/>
        <w:bidi w:val="0"/>
        <w:rPr>
          <w:rFonts w:hint="eastAsia"/>
        </w:rPr>
      </w:pPr>
      <w:r>
        <w:rPr>
          <w:rFonts w:hint="eastAsia"/>
        </w:rPr>
        <w:t>表</w:t>
      </w:r>
      <w:r>
        <w:rPr>
          <w:rFonts w:hint="eastAsia"/>
          <w:lang w:val="en-US" w:eastAsia="zh-CN"/>
        </w:rPr>
        <w:t>8</w:t>
      </w:r>
      <w:r>
        <w:rPr>
          <w:rFonts w:hint="eastAsia"/>
        </w:rPr>
        <w:t>：如皋市中心城区环卫规划近期建设项目一览表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2769"/>
        <w:gridCol w:w="1487"/>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Align w:val="center"/>
          </w:tcPr>
          <w:p>
            <w:pPr>
              <w:pStyle w:val="10"/>
              <w:spacing w:line="360" w:lineRule="auto"/>
              <w:rPr>
                <w:w w:val="100"/>
                <w:sz w:val="24"/>
                <w:szCs w:val="24"/>
              </w:rPr>
            </w:pPr>
            <w:r>
              <w:rPr>
                <w:rFonts w:hint="eastAsia"/>
                <w:w w:val="100"/>
                <w:sz w:val="24"/>
                <w:szCs w:val="24"/>
              </w:rPr>
              <w:t>序号</w:t>
            </w:r>
          </w:p>
        </w:tc>
        <w:tc>
          <w:tcPr>
            <w:tcW w:w="2769" w:type="dxa"/>
            <w:vAlign w:val="center"/>
          </w:tcPr>
          <w:p>
            <w:pPr>
              <w:pStyle w:val="10"/>
              <w:spacing w:line="360" w:lineRule="auto"/>
              <w:rPr>
                <w:w w:val="100"/>
                <w:sz w:val="24"/>
                <w:szCs w:val="24"/>
              </w:rPr>
            </w:pPr>
            <w:r>
              <w:rPr>
                <w:rFonts w:hint="eastAsia"/>
                <w:w w:val="100"/>
                <w:sz w:val="24"/>
                <w:szCs w:val="24"/>
              </w:rPr>
              <w:t>规划项目</w:t>
            </w:r>
          </w:p>
        </w:tc>
        <w:tc>
          <w:tcPr>
            <w:tcW w:w="1487" w:type="dxa"/>
            <w:vAlign w:val="center"/>
          </w:tcPr>
          <w:p>
            <w:pPr>
              <w:pStyle w:val="10"/>
              <w:spacing w:line="360" w:lineRule="auto"/>
              <w:rPr>
                <w:w w:val="100"/>
                <w:sz w:val="24"/>
                <w:szCs w:val="24"/>
              </w:rPr>
            </w:pPr>
            <w:r>
              <w:rPr>
                <w:rFonts w:hint="eastAsia"/>
                <w:w w:val="100"/>
                <w:sz w:val="24"/>
                <w:szCs w:val="24"/>
              </w:rPr>
              <w:t>项目数量</w:t>
            </w:r>
          </w:p>
        </w:tc>
        <w:tc>
          <w:tcPr>
            <w:tcW w:w="3202" w:type="dxa"/>
            <w:vAlign w:val="center"/>
          </w:tcPr>
          <w:p>
            <w:pPr>
              <w:pStyle w:val="10"/>
              <w:spacing w:line="360" w:lineRule="auto"/>
              <w:rPr>
                <w:w w:val="100"/>
                <w:sz w:val="24"/>
                <w:szCs w:val="24"/>
              </w:rPr>
            </w:pPr>
            <w:r>
              <w:rPr>
                <w:rFonts w:hint="eastAsia"/>
                <w:w w:val="100"/>
                <w:sz w:val="24"/>
                <w:szCs w:val="24"/>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Align w:val="center"/>
          </w:tcPr>
          <w:p>
            <w:pPr>
              <w:pStyle w:val="10"/>
              <w:spacing w:line="360" w:lineRule="auto"/>
              <w:rPr>
                <w:rFonts w:hint="eastAsia" w:eastAsia="宋体"/>
                <w:w w:val="100"/>
                <w:sz w:val="24"/>
                <w:szCs w:val="24"/>
                <w:lang w:val="en-US" w:eastAsia="zh-CN"/>
              </w:rPr>
            </w:pPr>
            <w:r>
              <w:rPr>
                <w:rFonts w:hint="eastAsia"/>
                <w:w w:val="100"/>
                <w:sz w:val="24"/>
                <w:szCs w:val="24"/>
                <w:lang w:val="en-US" w:eastAsia="zh-CN"/>
              </w:rPr>
              <w:t>1</w:t>
            </w:r>
          </w:p>
        </w:tc>
        <w:tc>
          <w:tcPr>
            <w:tcW w:w="2769" w:type="dxa"/>
            <w:vAlign w:val="center"/>
          </w:tcPr>
          <w:p>
            <w:pPr>
              <w:pStyle w:val="10"/>
              <w:spacing w:line="360" w:lineRule="auto"/>
              <w:ind w:firstLine="0" w:firstLineChars="0"/>
              <w:rPr>
                <w:rFonts w:hint="default" w:eastAsia="宋体"/>
                <w:w w:val="100"/>
                <w:sz w:val="24"/>
                <w:szCs w:val="24"/>
                <w:lang w:val="en-US" w:eastAsia="zh-CN"/>
              </w:rPr>
            </w:pPr>
            <w:r>
              <w:rPr>
                <w:rFonts w:hint="eastAsia" w:hAnsi="宋体" w:cs="宋体"/>
                <w:w w:val="100"/>
                <w:sz w:val="24"/>
                <w:szCs w:val="24"/>
                <w:lang w:val="en-US" w:eastAsia="zh-CN"/>
              </w:rPr>
              <w:t>新建环卫中转中心</w:t>
            </w:r>
          </w:p>
        </w:tc>
        <w:tc>
          <w:tcPr>
            <w:tcW w:w="1487" w:type="dxa"/>
            <w:vAlign w:val="center"/>
          </w:tcPr>
          <w:p>
            <w:pPr>
              <w:pStyle w:val="10"/>
              <w:spacing w:line="360" w:lineRule="auto"/>
              <w:ind w:firstLine="0" w:firstLineChars="0"/>
              <w:rPr>
                <w:rFonts w:hint="eastAsia" w:eastAsia="宋体"/>
                <w:w w:val="100"/>
                <w:sz w:val="24"/>
                <w:szCs w:val="24"/>
                <w:lang w:eastAsia="zh-CN"/>
              </w:rPr>
            </w:pPr>
            <w:r>
              <w:rPr>
                <w:rFonts w:hint="eastAsia" w:ascii="宋体" w:hAnsi="宋体" w:eastAsia="宋体" w:cs="宋体"/>
                <w:w w:val="100"/>
                <w:sz w:val="24"/>
                <w:szCs w:val="24"/>
                <w:lang w:val="en-US" w:eastAsia="zh-CN"/>
              </w:rPr>
              <w:t>2</w:t>
            </w:r>
          </w:p>
        </w:tc>
        <w:tc>
          <w:tcPr>
            <w:tcW w:w="3202" w:type="dxa"/>
            <w:vAlign w:val="center"/>
          </w:tcPr>
          <w:p>
            <w:pPr>
              <w:pStyle w:val="10"/>
              <w:spacing w:line="360" w:lineRule="auto"/>
              <w:ind w:firstLine="0" w:firstLineChars="0"/>
              <w:rPr>
                <w:rFonts w:hint="eastAsia" w:hAnsi="宋体" w:cs="宋体"/>
                <w:w w:val="100"/>
                <w:sz w:val="24"/>
                <w:szCs w:val="24"/>
                <w:lang w:val="en-US" w:eastAsia="zh-CN"/>
              </w:rPr>
            </w:pPr>
            <w:r>
              <w:rPr>
                <w:rFonts w:hint="eastAsia" w:hAnsi="宋体" w:cs="宋体"/>
                <w:w w:val="100"/>
                <w:sz w:val="24"/>
                <w:szCs w:val="24"/>
                <w:lang w:val="en-US" w:eastAsia="zh-CN"/>
              </w:rPr>
              <w:t>西部环卫中转中心：0.66ha</w:t>
            </w:r>
          </w:p>
          <w:p>
            <w:pPr>
              <w:pStyle w:val="10"/>
              <w:spacing w:line="360" w:lineRule="auto"/>
              <w:ind w:firstLine="0" w:firstLineChars="0"/>
              <w:rPr>
                <w:rFonts w:hint="default" w:hAnsi="宋体" w:cs="宋体"/>
                <w:w w:val="100"/>
                <w:sz w:val="24"/>
                <w:szCs w:val="24"/>
                <w:lang w:val="en-US" w:eastAsia="zh-CN"/>
              </w:rPr>
            </w:pPr>
            <w:r>
              <w:rPr>
                <w:rFonts w:hint="eastAsia" w:hAnsi="宋体" w:cs="宋体"/>
                <w:w w:val="100"/>
                <w:sz w:val="24"/>
                <w:szCs w:val="24"/>
                <w:lang w:val="en-US" w:eastAsia="zh-CN"/>
              </w:rPr>
              <w:t>东部环卫中转中心：0.75ha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Align w:val="center"/>
          </w:tcPr>
          <w:p>
            <w:pPr>
              <w:pStyle w:val="10"/>
              <w:spacing w:line="360" w:lineRule="auto"/>
              <w:ind w:firstLine="0" w:firstLineChars="0"/>
              <w:rPr>
                <w:rFonts w:hint="eastAsia" w:ascii="宋体" w:hAnsi="Times New Roman" w:eastAsia="宋体" w:cs="Times New Roman"/>
                <w:snapToGrid w:val="0"/>
                <w:w w:val="100"/>
                <w:kern w:val="0"/>
                <w:sz w:val="24"/>
                <w:szCs w:val="24"/>
                <w:lang w:val="en-US" w:eastAsia="zh-CN" w:bidi="ar-SA"/>
              </w:rPr>
            </w:pPr>
            <w:r>
              <w:rPr>
                <w:rFonts w:hint="eastAsia"/>
                <w:w w:val="100"/>
                <w:sz w:val="24"/>
                <w:szCs w:val="24"/>
                <w:lang w:val="en-US" w:eastAsia="zh-CN"/>
              </w:rPr>
              <w:t>2</w:t>
            </w:r>
          </w:p>
        </w:tc>
        <w:tc>
          <w:tcPr>
            <w:tcW w:w="2769" w:type="dxa"/>
            <w:vAlign w:val="center"/>
          </w:tcPr>
          <w:p>
            <w:pPr>
              <w:pStyle w:val="10"/>
              <w:spacing w:line="360" w:lineRule="auto"/>
              <w:ind w:firstLine="0" w:firstLineChars="0"/>
              <w:rPr>
                <w:rFonts w:hint="default" w:ascii="宋体" w:hAnsi="宋体" w:eastAsia="宋体" w:cs="宋体"/>
                <w:w w:val="100"/>
                <w:sz w:val="24"/>
                <w:szCs w:val="24"/>
                <w:lang w:val="en-US" w:eastAsia="zh-CN"/>
              </w:rPr>
            </w:pPr>
            <w:r>
              <w:rPr>
                <w:rFonts w:hint="eastAsia" w:hAnsi="宋体" w:cs="宋体"/>
                <w:w w:val="100"/>
                <w:sz w:val="24"/>
                <w:szCs w:val="24"/>
                <w:lang w:val="en-US" w:eastAsia="zh-CN"/>
              </w:rPr>
              <w:t>扩建环卫中转中心</w:t>
            </w:r>
          </w:p>
        </w:tc>
        <w:tc>
          <w:tcPr>
            <w:tcW w:w="1487" w:type="dxa"/>
            <w:vAlign w:val="center"/>
          </w:tcPr>
          <w:p>
            <w:pPr>
              <w:pStyle w:val="10"/>
              <w:spacing w:line="360" w:lineRule="auto"/>
              <w:ind w:firstLine="0" w:firstLineChars="0"/>
              <w:rPr>
                <w:rFonts w:hint="eastAsia" w:ascii="宋体" w:hAnsi="宋体" w:eastAsia="宋体" w:cs="宋体"/>
                <w:w w:val="100"/>
                <w:sz w:val="24"/>
                <w:szCs w:val="24"/>
                <w:lang w:val="en-US" w:eastAsia="zh-CN"/>
              </w:rPr>
            </w:pPr>
            <w:r>
              <w:rPr>
                <w:rFonts w:hint="eastAsia" w:hAnsi="宋体" w:cs="宋体"/>
                <w:w w:val="100"/>
                <w:sz w:val="24"/>
                <w:szCs w:val="24"/>
                <w:lang w:val="en-US" w:eastAsia="zh-CN"/>
              </w:rPr>
              <w:t>1</w:t>
            </w:r>
          </w:p>
        </w:tc>
        <w:tc>
          <w:tcPr>
            <w:tcW w:w="3202" w:type="dxa"/>
            <w:vAlign w:val="center"/>
          </w:tcPr>
          <w:p>
            <w:pPr>
              <w:pStyle w:val="10"/>
              <w:spacing w:line="360" w:lineRule="auto"/>
              <w:ind w:firstLine="0" w:firstLineChars="0"/>
              <w:rPr>
                <w:rFonts w:hint="default" w:eastAsia="宋体"/>
                <w:w w:val="100"/>
                <w:sz w:val="24"/>
                <w:szCs w:val="24"/>
                <w:lang w:val="en-US" w:eastAsia="zh-CN"/>
              </w:rPr>
            </w:pPr>
            <w:r>
              <w:rPr>
                <w:rFonts w:hint="eastAsia"/>
                <w:w w:val="1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Align w:val="center"/>
          </w:tcPr>
          <w:p>
            <w:pPr>
              <w:pStyle w:val="10"/>
              <w:spacing w:line="360" w:lineRule="auto"/>
              <w:ind w:firstLine="0" w:firstLineChars="0"/>
              <w:rPr>
                <w:rFonts w:hint="eastAsia" w:ascii="宋体" w:hAnsi="Times New Roman" w:eastAsia="宋体" w:cs="Times New Roman"/>
                <w:snapToGrid w:val="0"/>
                <w:w w:val="100"/>
                <w:kern w:val="0"/>
                <w:sz w:val="24"/>
                <w:szCs w:val="24"/>
                <w:lang w:val="en-US" w:eastAsia="zh-CN" w:bidi="ar-SA"/>
              </w:rPr>
            </w:pPr>
            <w:r>
              <w:rPr>
                <w:rFonts w:hint="eastAsia"/>
                <w:w w:val="100"/>
                <w:sz w:val="24"/>
                <w:szCs w:val="24"/>
                <w:lang w:val="en-US" w:eastAsia="zh-CN"/>
              </w:rPr>
              <w:t>3</w:t>
            </w:r>
          </w:p>
        </w:tc>
        <w:tc>
          <w:tcPr>
            <w:tcW w:w="2769" w:type="dxa"/>
            <w:vAlign w:val="center"/>
          </w:tcPr>
          <w:p>
            <w:pPr>
              <w:pStyle w:val="10"/>
              <w:spacing w:line="360" w:lineRule="auto"/>
              <w:ind w:firstLine="0" w:firstLineChars="0"/>
              <w:rPr>
                <w:rFonts w:hint="default" w:eastAsia="宋体"/>
                <w:w w:val="100"/>
                <w:sz w:val="24"/>
                <w:szCs w:val="24"/>
                <w:lang w:val="en-US" w:eastAsia="zh-CN"/>
              </w:rPr>
            </w:pPr>
            <w:r>
              <w:rPr>
                <w:rFonts w:hint="eastAsia" w:ascii="宋体" w:hAnsi="宋体" w:eastAsia="宋体" w:cs="宋体"/>
                <w:w w:val="100"/>
                <w:sz w:val="24"/>
                <w:szCs w:val="24"/>
              </w:rPr>
              <w:t>公共厕所</w:t>
            </w:r>
          </w:p>
        </w:tc>
        <w:tc>
          <w:tcPr>
            <w:tcW w:w="1487" w:type="dxa"/>
            <w:vAlign w:val="center"/>
          </w:tcPr>
          <w:p>
            <w:pPr>
              <w:pStyle w:val="10"/>
              <w:spacing w:line="360" w:lineRule="auto"/>
              <w:ind w:firstLine="0" w:firstLineChars="0"/>
              <w:rPr>
                <w:rFonts w:hint="default"/>
                <w:w w:val="100"/>
                <w:sz w:val="24"/>
                <w:szCs w:val="24"/>
                <w:lang w:val="en-US" w:eastAsia="zh-CN"/>
              </w:rPr>
            </w:pPr>
            <w:r>
              <w:rPr>
                <w:rFonts w:hint="eastAsia" w:ascii="宋体" w:hAnsi="宋体" w:eastAsia="宋体" w:cs="宋体"/>
                <w:w w:val="100"/>
                <w:sz w:val="24"/>
                <w:szCs w:val="24"/>
                <w:lang w:val="en-US" w:eastAsia="zh-CN"/>
              </w:rPr>
              <w:t>12</w:t>
            </w:r>
          </w:p>
        </w:tc>
        <w:tc>
          <w:tcPr>
            <w:tcW w:w="3202" w:type="dxa"/>
            <w:vAlign w:val="center"/>
          </w:tcPr>
          <w:p>
            <w:pPr>
              <w:pStyle w:val="10"/>
              <w:spacing w:line="360" w:lineRule="auto"/>
              <w:ind w:firstLine="0" w:firstLineChars="0"/>
              <w:rPr>
                <w:rFonts w:hint="default" w:eastAsia="宋体"/>
                <w:w w:val="100"/>
                <w:sz w:val="24"/>
                <w:szCs w:val="24"/>
                <w:lang w:val="en-US" w:eastAsia="zh-CN"/>
              </w:rPr>
            </w:pPr>
            <w:r>
              <w:rPr>
                <w:rFonts w:hint="eastAsia"/>
                <w:w w:val="1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Align w:val="center"/>
          </w:tcPr>
          <w:p>
            <w:pPr>
              <w:pStyle w:val="10"/>
              <w:spacing w:line="360" w:lineRule="auto"/>
              <w:ind w:firstLine="0" w:firstLineChars="0"/>
              <w:rPr>
                <w:rFonts w:hint="eastAsia" w:ascii="宋体" w:hAnsi="Times New Roman" w:eastAsia="宋体" w:cs="Times New Roman"/>
                <w:snapToGrid w:val="0"/>
                <w:w w:val="100"/>
                <w:kern w:val="0"/>
                <w:sz w:val="24"/>
                <w:szCs w:val="24"/>
                <w:lang w:val="en-US" w:eastAsia="zh-CN" w:bidi="ar-SA"/>
              </w:rPr>
            </w:pPr>
            <w:r>
              <w:rPr>
                <w:rFonts w:hint="eastAsia"/>
                <w:w w:val="100"/>
                <w:sz w:val="24"/>
                <w:szCs w:val="24"/>
                <w:lang w:val="en-US" w:eastAsia="zh-CN"/>
              </w:rPr>
              <w:t>4</w:t>
            </w:r>
          </w:p>
        </w:tc>
        <w:tc>
          <w:tcPr>
            <w:tcW w:w="2769" w:type="dxa"/>
            <w:vAlign w:val="center"/>
          </w:tcPr>
          <w:p>
            <w:pPr>
              <w:pStyle w:val="10"/>
              <w:spacing w:line="360" w:lineRule="auto"/>
              <w:ind w:firstLine="0" w:firstLineChars="0"/>
              <w:rPr>
                <w:w w:val="100"/>
                <w:sz w:val="24"/>
                <w:szCs w:val="24"/>
              </w:rPr>
            </w:pPr>
            <w:r>
              <w:rPr>
                <w:rFonts w:hint="eastAsia" w:ascii="宋体" w:hAnsi="宋体" w:eastAsia="宋体" w:cs="宋体"/>
                <w:w w:val="100"/>
                <w:sz w:val="24"/>
                <w:szCs w:val="24"/>
              </w:rPr>
              <w:t>垃圾箱（房）</w:t>
            </w:r>
          </w:p>
        </w:tc>
        <w:tc>
          <w:tcPr>
            <w:tcW w:w="1487" w:type="dxa"/>
            <w:vAlign w:val="center"/>
          </w:tcPr>
          <w:p>
            <w:pPr>
              <w:pStyle w:val="10"/>
              <w:spacing w:line="360" w:lineRule="auto"/>
              <w:ind w:firstLine="0" w:firstLineChars="0"/>
              <w:rPr>
                <w:rFonts w:hint="default" w:eastAsia="宋体"/>
                <w:w w:val="100"/>
                <w:sz w:val="24"/>
                <w:szCs w:val="24"/>
                <w:lang w:val="en-US" w:eastAsia="zh-CN"/>
              </w:rPr>
            </w:pPr>
            <w:r>
              <w:rPr>
                <w:rFonts w:hint="eastAsia" w:ascii="宋体" w:hAnsi="宋体" w:eastAsia="宋体" w:cs="宋体"/>
                <w:w w:val="100"/>
                <w:sz w:val="24"/>
                <w:szCs w:val="24"/>
                <w:lang w:val="en-US" w:eastAsia="zh-CN"/>
              </w:rPr>
              <w:t>200</w:t>
            </w:r>
          </w:p>
        </w:tc>
        <w:tc>
          <w:tcPr>
            <w:tcW w:w="3202" w:type="dxa"/>
            <w:vAlign w:val="center"/>
          </w:tcPr>
          <w:p>
            <w:pPr>
              <w:pStyle w:val="10"/>
              <w:spacing w:line="360" w:lineRule="auto"/>
              <w:ind w:firstLine="0" w:firstLineChars="0"/>
              <w:rPr>
                <w:rFonts w:hint="eastAsia" w:eastAsia="宋体"/>
                <w:w w:val="100"/>
                <w:sz w:val="24"/>
                <w:szCs w:val="24"/>
                <w:lang w:val="en-US" w:eastAsia="zh-CN"/>
              </w:rPr>
            </w:pPr>
            <w:r>
              <w:rPr>
                <w:rFonts w:hint="eastAsia"/>
                <w:w w:val="1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64" w:type="dxa"/>
            <w:vAlign w:val="center"/>
          </w:tcPr>
          <w:p>
            <w:pPr>
              <w:pStyle w:val="10"/>
              <w:spacing w:line="360" w:lineRule="auto"/>
              <w:ind w:firstLine="0" w:firstLineChars="0"/>
              <w:rPr>
                <w:rFonts w:hint="eastAsia" w:ascii="宋体" w:hAnsi="Times New Roman" w:eastAsia="宋体" w:cs="Times New Roman"/>
                <w:snapToGrid w:val="0"/>
                <w:w w:val="100"/>
                <w:kern w:val="0"/>
                <w:sz w:val="24"/>
                <w:szCs w:val="24"/>
                <w:lang w:val="en-US" w:eastAsia="zh-CN" w:bidi="ar-SA"/>
              </w:rPr>
            </w:pPr>
            <w:r>
              <w:rPr>
                <w:rFonts w:hint="eastAsia"/>
                <w:w w:val="100"/>
                <w:sz w:val="24"/>
                <w:szCs w:val="24"/>
                <w:lang w:val="en-US" w:eastAsia="zh-CN"/>
              </w:rPr>
              <w:t>5</w:t>
            </w:r>
          </w:p>
        </w:tc>
        <w:tc>
          <w:tcPr>
            <w:tcW w:w="2769" w:type="dxa"/>
            <w:vAlign w:val="center"/>
          </w:tcPr>
          <w:p>
            <w:pPr>
              <w:pStyle w:val="10"/>
              <w:spacing w:line="360" w:lineRule="auto"/>
              <w:ind w:firstLine="0" w:firstLineChars="0"/>
              <w:rPr>
                <w:rFonts w:hint="default" w:eastAsia="宋体"/>
                <w:w w:val="100"/>
                <w:sz w:val="24"/>
                <w:szCs w:val="24"/>
                <w:lang w:val="en-US" w:eastAsia="zh-CN"/>
              </w:rPr>
            </w:pPr>
            <w:r>
              <w:rPr>
                <w:rFonts w:hint="eastAsia" w:hAnsi="宋体" w:cs="宋体"/>
                <w:w w:val="100"/>
                <w:sz w:val="24"/>
                <w:szCs w:val="24"/>
                <w:lang w:val="en-US" w:eastAsia="zh-CN"/>
              </w:rPr>
              <w:t>车辆调度中心</w:t>
            </w:r>
          </w:p>
        </w:tc>
        <w:tc>
          <w:tcPr>
            <w:tcW w:w="1487" w:type="dxa"/>
            <w:vAlign w:val="center"/>
          </w:tcPr>
          <w:p>
            <w:pPr>
              <w:pStyle w:val="10"/>
              <w:spacing w:line="360" w:lineRule="auto"/>
              <w:ind w:firstLine="0" w:firstLineChars="0"/>
              <w:rPr>
                <w:rFonts w:hint="default" w:eastAsia="宋体"/>
                <w:w w:val="100"/>
                <w:sz w:val="24"/>
                <w:szCs w:val="24"/>
                <w:lang w:val="en-US" w:eastAsia="zh-CN"/>
              </w:rPr>
            </w:pPr>
            <w:r>
              <w:rPr>
                <w:rFonts w:hint="eastAsia" w:ascii="宋体" w:hAnsi="宋体" w:eastAsia="宋体" w:cs="宋体"/>
                <w:w w:val="100"/>
                <w:sz w:val="24"/>
                <w:szCs w:val="24"/>
              </w:rPr>
              <w:t>1</w:t>
            </w:r>
          </w:p>
        </w:tc>
        <w:tc>
          <w:tcPr>
            <w:tcW w:w="3202" w:type="dxa"/>
            <w:vAlign w:val="center"/>
          </w:tcPr>
          <w:p>
            <w:pPr>
              <w:pStyle w:val="10"/>
              <w:spacing w:line="360" w:lineRule="auto"/>
              <w:ind w:firstLine="0" w:firstLineChars="0"/>
              <w:rPr>
                <w:rFonts w:hint="default" w:eastAsia="宋体"/>
                <w:w w:val="100"/>
                <w:sz w:val="24"/>
                <w:szCs w:val="24"/>
                <w:lang w:val="en-US" w:eastAsia="zh-CN"/>
              </w:rPr>
            </w:pPr>
            <w:r>
              <w:rPr>
                <w:rFonts w:hint="eastAsia"/>
                <w:w w:val="100"/>
                <w:sz w:val="24"/>
                <w:szCs w:val="24"/>
                <w:lang w:val="en-US" w:eastAsia="zh-CN"/>
              </w:rPr>
              <w:t>1.20ha</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eastAsia="仿宋_GB2312"/>
          <w:sz w:val="28"/>
          <w:szCs w:val="28"/>
          <w:lang w:val="en-US" w:eastAsia="zh-CN"/>
        </w:rPr>
      </w:pPr>
      <w:r>
        <w:rPr>
          <w:rFonts w:hint="eastAsia" w:eastAsia="仿宋_GB2312"/>
          <w:sz w:val="28"/>
          <w:szCs w:val="28"/>
          <w:lang w:val="en-US" w:eastAsia="zh-CN"/>
        </w:rPr>
        <w:drawing>
          <wp:inline distT="0" distB="0" distL="114300" distR="114300">
            <wp:extent cx="5247005" cy="3709035"/>
            <wp:effectExtent l="0" t="0" r="10795" b="5715"/>
            <wp:docPr id="1" name="图片 1" descr="14近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4近期1"/>
                    <pic:cNvPicPr>
                      <a:picLocks noChangeAspect="1"/>
                    </pic:cNvPicPr>
                  </pic:nvPicPr>
                  <pic:blipFill>
                    <a:blip r:embed="rId4"/>
                    <a:stretch>
                      <a:fillRect/>
                    </a:stretch>
                  </pic:blipFill>
                  <pic:spPr>
                    <a:xfrm>
                      <a:off x="0" y="0"/>
                      <a:ext cx="5247005" cy="3709035"/>
                    </a:xfrm>
                    <a:prstGeom prst="rect">
                      <a:avLst/>
                    </a:prstGeom>
                  </pic:spPr>
                </pic:pic>
              </a:graphicData>
            </a:graphic>
          </wp:inline>
        </w:drawing>
      </w:r>
      <w:r>
        <w:rPr>
          <w:rFonts w:hint="eastAsia" w:eastAsia="仿宋_GB2312"/>
          <w:sz w:val="28"/>
          <w:szCs w:val="28"/>
          <w:lang w:val="en-US" w:eastAsia="zh-CN"/>
        </w:rPr>
        <w:drawing>
          <wp:inline distT="0" distB="0" distL="114300" distR="114300">
            <wp:extent cx="5247005" cy="3709035"/>
            <wp:effectExtent l="0" t="0" r="10795" b="5715"/>
            <wp:docPr id="2" name="图片 2" descr="14近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4近期2"/>
                    <pic:cNvPicPr>
                      <a:picLocks noChangeAspect="1"/>
                    </pic:cNvPicPr>
                  </pic:nvPicPr>
                  <pic:blipFill>
                    <a:blip r:embed="rId5"/>
                    <a:stretch>
                      <a:fillRect/>
                    </a:stretch>
                  </pic:blipFill>
                  <pic:spPr>
                    <a:xfrm>
                      <a:off x="0" y="0"/>
                      <a:ext cx="5247005" cy="3709035"/>
                    </a:xfrm>
                    <a:prstGeom prst="rect">
                      <a:avLst/>
                    </a:prstGeom>
                  </pic:spPr>
                </pic:pic>
              </a:graphicData>
            </a:graphic>
          </wp:inline>
        </w:drawing>
      </w:r>
      <w:r>
        <w:rPr>
          <w:rFonts w:hint="eastAsia" w:eastAsia="仿宋_GB2312"/>
          <w:sz w:val="28"/>
          <w:szCs w:val="28"/>
          <w:lang w:val="en-US" w:eastAsia="zh-CN"/>
        </w:rPr>
        <w:drawing>
          <wp:inline distT="0" distB="0" distL="114300" distR="114300">
            <wp:extent cx="5247005" cy="3709035"/>
            <wp:effectExtent l="0" t="0" r="10795" b="5715"/>
            <wp:docPr id="3" name="图片 3" descr="14近期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4近期3"/>
                    <pic:cNvPicPr>
                      <a:picLocks noChangeAspect="1"/>
                    </pic:cNvPicPr>
                  </pic:nvPicPr>
                  <pic:blipFill>
                    <a:blip r:embed="rId6"/>
                    <a:stretch>
                      <a:fillRect/>
                    </a:stretch>
                  </pic:blipFill>
                  <pic:spPr>
                    <a:xfrm>
                      <a:off x="0" y="0"/>
                      <a:ext cx="5247005" cy="3709035"/>
                    </a:xfrm>
                    <a:prstGeom prst="rect">
                      <a:avLst/>
                    </a:prstGeom>
                  </pic:spPr>
                </pic:pic>
              </a:graphicData>
            </a:graphic>
          </wp:inline>
        </w:drawing>
      </w:r>
      <w:r>
        <w:rPr>
          <w:rFonts w:hint="eastAsia" w:eastAsia="仿宋_GB2312"/>
          <w:sz w:val="28"/>
          <w:szCs w:val="28"/>
          <w:lang w:val="en-US" w:eastAsia="zh-CN"/>
        </w:rPr>
        <w:drawing>
          <wp:inline distT="0" distB="0" distL="114300" distR="114300">
            <wp:extent cx="5247005" cy="3709035"/>
            <wp:effectExtent l="0" t="0" r="10795" b="5715"/>
            <wp:docPr id="4" name="图片 4" descr="14近期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4近期4"/>
                    <pic:cNvPicPr>
                      <a:picLocks noChangeAspect="1"/>
                    </pic:cNvPicPr>
                  </pic:nvPicPr>
                  <pic:blipFill>
                    <a:blip r:embed="rId7"/>
                    <a:stretch>
                      <a:fillRect/>
                    </a:stretch>
                  </pic:blipFill>
                  <pic:spPr>
                    <a:xfrm>
                      <a:off x="0" y="0"/>
                      <a:ext cx="5247005" cy="370903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NjEzZjk0ZDNhZTAxY2FmZjBlOGI3NWJmMThiZjUifQ=="/>
  </w:docVars>
  <w:rsids>
    <w:rsidRoot w:val="3A290060"/>
    <w:rsid w:val="382F2557"/>
    <w:rsid w:val="3A290060"/>
    <w:rsid w:val="561E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35"/>
    <w:pPr>
      <w:widowControl w:val="0"/>
      <w:topLinePunct w:val="0"/>
      <w:ind w:firstLine="456" w:firstLineChars="200"/>
      <w:jc w:val="both"/>
      <w:outlineLvl w:val="3"/>
    </w:pPr>
    <w:rPr>
      <w:rFonts w:ascii="Arial" w:hAnsi="Arial" w:cs="Arial"/>
      <w:b/>
      <w:szCs w:val="20"/>
    </w:rPr>
  </w:style>
  <w:style w:type="paragraph" w:styleId="3">
    <w:name w:val="Subtitle"/>
    <w:basedOn w:val="1"/>
    <w:next w:val="1"/>
    <w:qFormat/>
    <w:uiPriority w:val="11"/>
    <w:pPr>
      <w:widowControl w:val="0"/>
      <w:ind w:firstLine="0" w:firstLineChars="0"/>
      <w:jc w:val="center"/>
      <w:outlineLvl w:val="1"/>
    </w:pPr>
    <w:rPr>
      <w:rFonts w:ascii="Cambria" w:hAnsi="Cambria" w:eastAsia="微软雅黑" w:cs="Times New Roman"/>
      <w:b/>
      <w:bCs/>
      <w:sz w:val="30"/>
      <w:szCs w:val="32"/>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5">
    <w:name w:val="Title"/>
    <w:basedOn w:val="3"/>
    <w:next w:val="1"/>
    <w:qFormat/>
    <w:uiPriority w:val="10"/>
    <w:pPr>
      <w:outlineLvl w:val="2"/>
    </w:pPr>
    <w:rPr>
      <w:rFonts w:asciiTheme="majorHAnsi" w:hAnsiTheme="majorHAnsi" w:cstheme="majorBidi"/>
      <w:bCs w:val="0"/>
      <w:sz w:val="2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表格标题"/>
    <w:next w:val="10"/>
    <w:qFormat/>
    <w:uiPriority w:val="0"/>
    <w:pPr>
      <w:widowControl w:val="0"/>
      <w:adjustRightInd w:val="0"/>
      <w:snapToGrid w:val="0"/>
      <w:jc w:val="center"/>
      <w:outlineLvl w:val="4"/>
    </w:pPr>
    <w:rPr>
      <w:rFonts w:ascii="Times New Roman" w:hAnsi="Times New Roman" w:eastAsia="宋体" w:cs="Times New Roman"/>
      <w:snapToGrid w:val="0"/>
      <w:w w:val="100"/>
      <w:kern w:val="0"/>
      <w:sz w:val="24"/>
      <w:szCs w:val="28"/>
      <w:lang w:val="en-US" w:eastAsia="zh-CN" w:bidi="ar-SA"/>
    </w:rPr>
  </w:style>
  <w:style w:type="paragraph" w:customStyle="1" w:styleId="10">
    <w:name w:val="表格（图）-RG"/>
    <w:basedOn w:val="1"/>
    <w:qFormat/>
    <w:uiPriority w:val="0"/>
    <w:pPr>
      <w:adjustRightInd/>
      <w:snapToGrid/>
      <w:spacing w:line="240" w:lineRule="atLeast"/>
      <w:ind w:firstLine="0" w:firstLineChars="0"/>
      <w:jc w:val="center"/>
    </w:pPr>
    <w:rPr>
      <w:rFonts w:hAnsi="Times New Roman" w:cs="Times New Roman"/>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7041</Words>
  <Characters>7678</Characters>
  <Lines>0</Lines>
  <Paragraphs>0</Paragraphs>
  <TotalTime>6</TotalTime>
  <ScaleCrop>false</ScaleCrop>
  <LinksUpToDate>false</LinksUpToDate>
  <CharactersWithSpaces>7694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2023-07-31T01:17:00Z</dcterms:created>
  <dc:creator>缪缪</dc:creator>
  <cp:lastModifiedBy>曾是好少年.  </cp:lastModifiedBy>
  <dcterms:modified xsi:type="dcterms:W3CDTF">2023-07-31T08:25:54Z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35FA7C8D05C14390BB465390460F28B1_11</vt:lpwstr>
  </property>
</Properties>
</file>